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韶关市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南雄市居民自用电动汽车充电设施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安装指南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880" w:firstLineChars="200"/>
        <w:jc w:val="both"/>
        <w:textAlignment w:val="auto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一、适用范围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本指南适用于在韶关市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南雄市辖区内</w:t>
      </w:r>
      <w:r>
        <w:rPr>
          <w:rFonts w:hint="eastAsia" w:ascii="仿宋_GB2312" w:hAnsi="仿宋_GB2312" w:eastAsia="仿宋_GB2312" w:cs="仿宋_GB2312"/>
          <w:sz w:val="32"/>
          <w:szCs w:val="32"/>
        </w:rPr>
        <w:t>，向供电企业报装接电的所有</w:t>
      </w:r>
      <w:r>
        <w:rPr>
          <w:rFonts w:hint="eastAsia" w:ascii="仿宋_GB2312" w:eastAsia="仿宋_GB2312"/>
          <w:sz w:val="32"/>
          <w:szCs w:val="32"/>
        </w:rPr>
        <w:t>居民自有产权（使用权）</w:t>
      </w:r>
      <w:r>
        <w:rPr>
          <w:rFonts w:hint="eastAsia" w:ascii="仿宋_GB2312" w:hAnsi="仿宋_GB2312" w:eastAsia="仿宋_GB2312" w:cs="仿宋_GB2312"/>
          <w:sz w:val="32"/>
          <w:szCs w:val="32"/>
        </w:rPr>
        <w:t>固定停车位电动汽车充电基础设施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的居民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二、用电业务办理途径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拟安装自用电动汽车充电设施的居民</w:t>
      </w:r>
      <w:r>
        <w:rPr>
          <w:rFonts w:hint="eastAsia" w:ascii="仿宋_GB2312" w:hAnsi="仿宋_GB2312" w:eastAsia="仿宋_GB2312" w:cs="仿宋_GB2312"/>
          <w:sz w:val="32"/>
          <w:szCs w:val="32"/>
        </w:rPr>
        <w:t>可通过登陆广东电网公司网上营业厅（https://95598.gd.csg.cn）、或“南网在线”微信公众号或“南网在线”APP等互联网渠道进行业务办理申请，请在注册时确保信息的真实可靠。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居民</w:t>
      </w:r>
      <w:r>
        <w:rPr>
          <w:rFonts w:hint="eastAsia" w:ascii="仿宋_GB2312" w:hAnsi="仿宋_GB2312" w:eastAsia="仿宋_GB2312" w:cs="仿宋_GB2312"/>
          <w:sz w:val="32"/>
          <w:szCs w:val="32"/>
        </w:rPr>
        <w:t>可亲临用电辖区内的供电营业窗口办理。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三、办理流程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居民电动汽车充电基础设施报装业务办理流程可分为</w:t>
      </w:r>
      <w:r>
        <w:rPr>
          <w:rFonts w:hint="eastAsia" w:ascii="仿宋_GB2312" w:eastAsia="仿宋_GB2312"/>
          <w:sz w:val="32"/>
          <w:szCs w:val="32"/>
        </w:rPr>
        <w:t>业务受理、装表接电2个环节。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详细的流程图见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文末示意图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（一）业务受理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办理相关用电业务时应提供以下报装资料，同时确保报装资料的准确及真实。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（1）用户身份证明材料，如居民身份证、军人证（现役）、户口簿、护照、回乡证（台胞证）等。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（2）经办人身份证明资料及授权委托书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（用户本人办理无需此项）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center" w:pos="44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（3）用电地址物业权属证明资料（固定车位产权或一年以上（含一年）使用权证明）。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如用户仅租用车位，同时需提供车位拥有者的同意材料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（租赁协议书）。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如用户在乡镇自建房报装，需提供房屋产权证明或乡村建设规划许可证。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（4）供电监管机构明文要求提供的其它资料。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（二）装表接电</w:t>
      </w:r>
    </w:p>
    <w:p>
      <w:pPr>
        <w:keepNext w:val="0"/>
        <w:keepLines w:val="0"/>
        <w:pageBreakBefore w:val="0"/>
        <w:widowControl w:val="0"/>
        <w:tabs>
          <w:tab w:val="center" w:pos="44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1、在受理客户的用电申请后，供电企业将与客户沟通确认现场勘查时间，并派出工作人员进行现场勘查。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Times New Roman"/>
          <w:sz w:val="32"/>
          <w:szCs w:val="32"/>
        </w:rPr>
        <w:t>供电企业按照时限要求完成</w:t>
      </w:r>
      <w:r>
        <w:rPr>
          <w:rFonts w:hint="eastAsia" w:ascii="仿宋_GB2312" w:eastAsia="仿宋_GB2312"/>
          <w:sz w:val="32"/>
          <w:szCs w:val="32"/>
        </w:rPr>
        <w:t>低压充电桩客户的现场服务环节。对于充电桩电表的安装位置涉及占用公共位置的，需客户协同物业管理单位限时协调确定。</w:t>
      </w:r>
      <w:r>
        <w:rPr>
          <w:rFonts w:hint="eastAsia" w:ascii="仿宋_GB2312" w:hAnsi="仿宋_GB2312" w:eastAsia="仿宋_GB2312" w:cs="仿宋_GB2312"/>
          <w:sz w:val="32"/>
          <w:szCs w:val="32"/>
        </w:rPr>
        <w:t>办结相关手续后，供电企业将在时限要求内完成装表接电工作。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四、用电业务办理追踪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居民</w:t>
      </w:r>
      <w:r>
        <w:rPr>
          <w:rFonts w:hint="eastAsia" w:ascii="仿宋_GB2312" w:hAnsi="仿宋_GB2312" w:eastAsia="仿宋_GB2312" w:cs="仿宋_GB2312"/>
          <w:sz w:val="32"/>
          <w:szCs w:val="32"/>
        </w:rPr>
        <w:t>可凭借“用电业务办理回执”上的工作单编号登陆广东电网公司网上营业厅（https://95598.gd.csg.cn），或“南网在线”微信公众号“南网在线”APP，或亲临用电辖区内的供电营业厅查询用电业务办理进度。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五、电价执行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jc w:val="both"/>
        <w:textAlignment w:val="auto"/>
        <w:rPr>
          <w:rFonts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电动汽车充电基础设施用电价格，</w:t>
      </w:r>
      <w:r>
        <w:rPr>
          <w:rFonts w:hint="eastAsia" w:ascii="仿宋_GB2312" w:eastAsia="仿宋_GB2312" w:cs="Times New Roman"/>
          <w:sz w:val="32"/>
          <w:szCs w:val="32"/>
        </w:rPr>
        <w:t>根据广东省发展改革委《关于我省新能源汽车用电价格有关问题的通知》（粤发改价格〔2018〕313号）要求，为进一步利用价格杠杆促进新能源汽车推广应用，已安装独立电表的电动汽车充电设施用电，统一按大工业用电峰谷电价执行，免征基本电费。充电设施接入电压等级低于1千伏的，按大工业电度电价中1-10千伏对应的峰谷电价标准执行。</w:t>
      </w:r>
      <w:r>
        <w:rPr>
          <w:rFonts w:hint="eastAsia" w:ascii="仿宋_GB2312" w:eastAsia="仿宋_GB2312" w:cs="Times New Roman"/>
          <w:kern w:val="2"/>
          <w:sz w:val="32"/>
          <w:szCs w:val="32"/>
        </w:rPr>
        <w:t>若政府出台新的电价政策文件，则按照最新的电价文件执行。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widowControl/>
        <w:spacing w:line="560" w:lineRule="exact"/>
        <w:jc w:val="center"/>
        <w:rPr>
          <w:rFonts w:hint="eastAsia" w:ascii="黑体" w:hAnsi="黑体" w:eastAsia="黑体" w:cs="Times New Roman"/>
          <w:color w:val="0000FF"/>
          <w:sz w:val="28"/>
          <w:szCs w:val="32"/>
          <w:lang w:val="en-US" w:eastAsia="zh-CN"/>
        </w:rPr>
      </w:pPr>
      <w:r>
        <w:rPr>
          <w:rFonts w:hint="eastAsia" w:ascii="黑体" w:hAnsi="黑体" w:eastAsia="黑体" w:cs="Times New Roman"/>
          <w:color w:val="0000FF"/>
          <w:sz w:val="28"/>
          <w:szCs w:val="32"/>
        </w:rPr>
        <w:t>充电基础设施业务报装流程</w:t>
      </w:r>
      <w:r>
        <w:rPr>
          <w:rFonts w:hint="eastAsia" w:ascii="黑体" w:hAnsi="黑体" w:eastAsia="黑体" w:cs="Times New Roman"/>
          <w:color w:val="0000FF"/>
          <w:sz w:val="28"/>
          <w:szCs w:val="32"/>
          <w:lang w:val="en-US" w:eastAsia="zh-CN"/>
        </w:rPr>
        <w:t>示意图</w:t>
      </w:r>
    </w:p>
    <w:p>
      <w:pPr>
        <w:widowControl/>
        <w:spacing w:line="560" w:lineRule="exact"/>
        <w:ind w:firstLine="640"/>
        <w:jc w:val="left"/>
        <w:rPr>
          <w:rFonts w:ascii="黑体" w:hAnsi="黑体" w:eastAsia="黑体" w:cs="仿宋_GB2312"/>
          <w:b/>
          <w:bCs/>
          <w:kern w:val="0"/>
          <w:sz w:val="24"/>
          <w:szCs w:val="2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139700</wp:posOffset>
            </wp:positionV>
            <wp:extent cx="1581150" cy="3352800"/>
            <wp:effectExtent l="0" t="0" r="0" b="0"/>
            <wp:wrapSquare wrapText="bothSides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zYTBiODM4OTY0Y2I0NjMxY2Y2ODFjMmViZDE1NzAifQ=="/>
    <w:docVar w:name="Temp" w:val="over"/>
  </w:docVars>
  <w:rsids>
    <w:rsidRoot w:val="00CE6422"/>
    <w:rsid w:val="00006456"/>
    <w:rsid w:val="00037DC6"/>
    <w:rsid w:val="00063198"/>
    <w:rsid w:val="00071266"/>
    <w:rsid w:val="00075C41"/>
    <w:rsid w:val="00077C0B"/>
    <w:rsid w:val="000849BA"/>
    <w:rsid w:val="000A2311"/>
    <w:rsid w:val="000B0A25"/>
    <w:rsid w:val="000E0D5A"/>
    <w:rsid w:val="000F6D19"/>
    <w:rsid w:val="00103B0E"/>
    <w:rsid w:val="001325BE"/>
    <w:rsid w:val="001378FD"/>
    <w:rsid w:val="0014132F"/>
    <w:rsid w:val="00146F17"/>
    <w:rsid w:val="001639EF"/>
    <w:rsid w:val="00163F1C"/>
    <w:rsid w:val="00164C26"/>
    <w:rsid w:val="001716BA"/>
    <w:rsid w:val="00173EF7"/>
    <w:rsid w:val="00177264"/>
    <w:rsid w:val="00177435"/>
    <w:rsid w:val="001B19EF"/>
    <w:rsid w:val="001B1D97"/>
    <w:rsid w:val="001C4230"/>
    <w:rsid w:val="001E2EF0"/>
    <w:rsid w:val="001E5523"/>
    <w:rsid w:val="001E75A5"/>
    <w:rsid w:val="00210941"/>
    <w:rsid w:val="00215932"/>
    <w:rsid w:val="00225402"/>
    <w:rsid w:val="0023219F"/>
    <w:rsid w:val="002338CB"/>
    <w:rsid w:val="00236F47"/>
    <w:rsid w:val="0024664D"/>
    <w:rsid w:val="0025052B"/>
    <w:rsid w:val="00273488"/>
    <w:rsid w:val="002755F4"/>
    <w:rsid w:val="00275E64"/>
    <w:rsid w:val="00286CAD"/>
    <w:rsid w:val="0029614A"/>
    <w:rsid w:val="002A1636"/>
    <w:rsid w:val="002A1E93"/>
    <w:rsid w:val="002A44BD"/>
    <w:rsid w:val="002B1C13"/>
    <w:rsid w:val="002D77AF"/>
    <w:rsid w:val="00311210"/>
    <w:rsid w:val="0032375C"/>
    <w:rsid w:val="003267E8"/>
    <w:rsid w:val="00344441"/>
    <w:rsid w:val="00344503"/>
    <w:rsid w:val="00346540"/>
    <w:rsid w:val="00346AD6"/>
    <w:rsid w:val="00355DB7"/>
    <w:rsid w:val="0036550F"/>
    <w:rsid w:val="003762B0"/>
    <w:rsid w:val="003927C8"/>
    <w:rsid w:val="00396C34"/>
    <w:rsid w:val="003A112C"/>
    <w:rsid w:val="003B5D42"/>
    <w:rsid w:val="003D4552"/>
    <w:rsid w:val="003E303A"/>
    <w:rsid w:val="003F18CB"/>
    <w:rsid w:val="003F772C"/>
    <w:rsid w:val="0041043E"/>
    <w:rsid w:val="00410768"/>
    <w:rsid w:val="004444F0"/>
    <w:rsid w:val="004634AD"/>
    <w:rsid w:val="00463904"/>
    <w:rsid w:val="00480499"/>
    <w:rsid w:val="00482EB5"/>
    <w:rsid w:val="004D7E85"/>
    <w:rsid w:val="004E1A3A"/>
    <w:rsid w:val="004F1E16"/>
    <w:rsid w:val="004F77A1"/>
    <w:rsid w:val="005036A4"/>
    <w:rsid w:val="00516603"/>
    <w:rsid w:val="005223C3"/>
    <w:rsid w:val="005252DB"/>
    <w:rsid w:val="005276C8"/>
    <w:rsid w:val="005301B8"/>
    <w:rsid w:val="00552A70"/>
    <w:rsid w:val="00561A6A"/>
    <w:rsid w:val="00574ED5"/>
    <w:rsid w:val="0058437C"/>
    <w:rsid w:val="0059089F"/>
    <w:rsid w:val="0059169A"/>
    <w:rsid w:val="005B6F2B"/>
    <w:rsid w:val="005C0F8F"/>
    <w:rsid w:val="005D67B2"/>
    <w:rsid w:val="005E1E4D"/>
    <w:rsid w:val="005F73DA"/>
    <w:rsid w:val="00623317"/>
    <w:rsid w:val="006243B6"/>
    <w:rsid w:val="00636B0B"/>
    <w:rsid w:val="0064514F"/>
    <w:rsid w:val="006535F0"/>
    <w:rsid w:val="00656999"/>
    <w:rsid w:val="0067536F"/>
    <w:rsid w:val="00696017"/>
    <w:rsid w:val="006B4193"/>
    <w:rsid w:val="006C22E0"/>
    <w:rsid w:val="006F0493"/>
    <w:rsid w:val="006F13FA"/>
    <w:rsid w:val="006F52F5"/>
    <w:rsid w:val="006F71F1"/>
    <w:rsid w:val="00713739"/>
    <w:rsid w:val="00724087"/>
    <w:rsid w:val="00736BF8"/>
    <w:rsid w:val="00740C1A"/>
    <w:rsid w:val="0074165C"/>
    <w:rsid w:val="007702A9"/>
    <w:rsid w:val="00775443"/>
    <w:rsid w:val="00784713"/>
    <w:rsid w:val="007927F2"/>
    <w:rsid w:val="00793C29"/>
    <w:rsid w:val="007A6026"/>
    <w:rsid w:val="007B483C"/>
    <w:rsid w:val="007C1F66"/>
    <w:rsid w:val="007C538F"/>
    <w:rsid w:val="007E17B2"/>
    <w:rsid w:val="007E5E47"/>
    <w:rsid w:val="007F4554"/>
    <w:rsid w:val="007F7202"/>
    <w:rsid w:val="00800B4F"/>
    <w:rsid w:val="00800D25"/>
    <w:rsid w:val="00807814"/>
    <w:rsid w:val="00820564"/>
    <w:rsid w:val="0082619A"/>
    <w:rsid w:val="00846CAF"/>
    <w:rsid w:val="0085582B"/>
    <w:rsid w:val="00862EB9"/>
    <w:rsid w:val="00870CCC"/>
    <w:rsid w:val="00871D56"/>
    <w:rsid w:val="008733C6"/>
    <w:rsid w:val="00875221"/>
    <w:rsid w:val="00882F1F"/>
    <w:rsid w:val="0089089B"/>
    <w:rsid w:val="008A15AB"/>
    <w:rsid w:val="008A1E8B"/>
    <w:rsid w:val="008A3D92"/>
    <w:rsid w:val="008A6EB9"/>
    <w:rsid w:val="008A7916"/>
    <w:rsid w:val="008B2D34"/>
    <w:rsid w:val="008B3ECE"/>
    <w:rsid w:val="008B485A"/>
    <w:rsid w:val="008E3236"/>
    <w:rsid w:val="008F7815"/>
    <w:rsid w:val="00900C40"/>
    <w:rsid w:val="00922AD6"/>
    <w:rsid w:val="00930C9D"/>
    <w:rsid w:val="009359AF"/>
    <w:rsid w:val="00937D08"/>
    <w:rsid w:val="00944A00"/>
    <w:rsid w:val="00953458"/>
    <w:rsid w:val="00955E8D"/>
    <w:rsid w:val="009653E7"/>
    <w:rsid w:val="00970DAC"/>
    <w:rsid w:val="00992C2B"/>
    <w:rsid w:val="00992FB9"/>
    <w:rsid w:val="00995DD8"/>
    <w:rsid w:val="009A0E65"/>
    <w:rsid w:val="009A2E3B"/>
    <w:rsid w:val="009D4C3B"/>
    <w:rsid w:val="009E03C7"/>
    <w:rsid w:val="009E1336"/>
    <w:rsid w:val="009E6FD0"/>
    <w:rsid w:val="00A02CF2"/>
    <w:rsid w:val="00A17669"/>
    <w:rsid w:val="00A27AD3"/>
    <w:rsid w:val="00A41055"/>
    <w:rsid w:val="00A42D6E"/>
    <w:rsid w:val="00A50447"/>
    <w:rsid w:val="00A52D02"/>
    <w:rsid w:val="00A577AA"/>
    <w:rsid w:val="00A675C2"/>
    <w:rsid w:val="00A675E5"/>
    <w:rsid w:val="00A67EA0"/>
    <w:rsid w:val="00A70904"/>
    <w:rsid w:val="00A715D0"/>
    <w:rsid w:val="00A77A00"/>
    <w:rsid w:val="00A927A4"/>
    <w:rsid w:val="00AA1628"/>
    <w:rsid w:val="00AA456A"/>
    <w:rsid w:val="00AB1771"/>
    <w:rsid w:val="00AC26EE"/>
    <w:rsid w:val="00AC5F8E"/>
    <w:rsid w:val="00AD2BE5"/>
    <w:rsid w:val="00AD570D"/>
    <w:rsid w:val="00AD6AA8"/>
    <w:rsid w:val="00AE0D2D"/>
    <w:rsid w:val="00AE1B4B"/>
    <w:rsid w:val="00AE57C9"/>
    <w:rsid w:val="00AF62E0"/>
    <w:rsid w:val="00B048EA"/>
    <w:rsid w:val="00B054FD"/>
    <w:rsid w:val="00B075F0"/>
    <w:rsid w:val="00B10D26"/>
    <w:rsid w:val="00B30368"/>
    <w:rsid w:val="00B40F25"/>
    <w:rsid w:val="00B41524"/>
    <w:rsid w:val="00B44006"/>
    <w:rsid w:val="00B45972"/>
    <w:rsid w:val="00B47945"/>
    <w:rsid w:val="00B52ACD"/>
    <w:rsid w:val="00B55D66"/>
    <w:rsid w:val="00B77C8A"/>
    <w:rsid w:val="00B93F79"/>
    <w:rsid w:val="00BA0205"/>
    <w:rsid w:val="00BA448E"/>
    <w:rsid w:val="00BB3E4C"/>
    <w:rsid w:val="00BC2FD4"/>
    <w:rsid w:val="00BC463A"/>
    <w:rsid w:val="00BE59FF"/>
    <w:rsid w:val="00BF0465"/>
    <w:rsid w:val="00C027D6"/>
    <w:rsid w:val="00C123E2"/>
    <w:rsid w:val="00C147D3"/>
    <w:rsid w:val="00C16010"/>
    <w:rsid w:val="00C16C97"/>
    <w:rsid w:val="00C24F60"/>
    <w:rsid w:val="00C26FBC"/>
    <w:rsid w:val="00C45CC8"/>
    <w:rsid w:val="00C4710C"/>
    <w:rsid w:val="00C548A2"/>
    <w:rsid w:val="00C557EB"/>
    <w:rsid w:val="00C56230"/>
    <w:rsid w:val="00C61898"/>
    <w:rsid w:val="00C867FF"/>
    <w:rsid w:val="00C95CCB"/>
    <w:rsid w:val="00CA17C7"/>
    <w:rsid w:val="00CB2E80"/>
    <w:rsid w:val="00CC6580"/>
    <w:rsid w:val="00CD06D3"/>
    <w:rsid w:val="00CE6422"/>
    <w:rsid w:val="00D10229"/>
    <w:rsid w:val="00D1045D"/>
    <w:rsid w:val="00D163EB"/>
    <w:rsid w:val="00D24AAD"/>
    <w:rsid w:val="00D370D9"/>
    <w:rsid w:val="00D37B70"/>
    <w:rsid w:val="00D82DDC"/>
    <w:rsid w:val="00D83066"/>
    <w:rsid w:val="00D8615D"/>
    <w:rsid w:val="00D916FF"/>
    <w:rsid w:val="00DB1081"/>
    <w:rsid w:val="00DC12D7"/>
    <w:rsid w:val="00DD033A"/>
    <w:rsid w:val="00DD23D3"/>
    <w:rsid w:val="00DE773B"/>
    <w:rsid w:val="00E04133"/>
    <w:rsid w:val="00E13058"/>
    <w:rsid w:val="00E1446D"/>
    <w:rsid w:val="00E20228"/>
    <w:rsid w:val="00E26D99"/>
    <w:rsid w:val="00E40D83"/>
    <w:rsid w:val="00E57D15"/>
    <w:rsid w:val="00E823C6"/>
    <w:rsid w:val="00E8275E"/>
    <w:rsid w:val="00E871EE"/>
    <w:rsid w:val="00EA35EF"/>
    <w:rsid w:val="00EB655F"/>
    <w:rsid w:val="00EC0F26"/>
    <w:rsid w:val="00ED6E65"/>
    <w:rsid w:val="00F01E76"/>
    <w:rsid w:val="00F25229"/>
    <w:rsid w:val="00F2639E"/>
    <w:rsid w:val="00F266D8"/>
    <w:rsid w:val="00F273A2"/>
    <w:rsid w:val="00F32117"/>
    <w:rsid w:val="00F5473A"/>
    <w:rsid w:val="00F662B2"/>
    <w:rsid w:val="00F954E4"/>
    <w:rsid w:val="00FA6DA7"/>
    <w:rsid w:val="00FB44F0"/>
    <w:rsid w:val="00FC77C7"/>
    <w:rsid w:val="00FD55C2"/>
    <w:rsid w:val="00FE5E15"/>
    <w:rsid w:val="025A4A9C"/>
    <w:rsid w:val="04EC7E2D"/>
    <w:rsid w:val="059B070C"/>
    <w:rsid w:val="07070C96"/>
    <w:rsid w:val="0A1C0997"/>
    <w:rsid w:val="0B453438"/>
    <w:rsid w:val="0F4517DC"/>
    <w:rsid w:val="114B6C7F"/>
    <w:rsid w:val="129A152A"/>
    <w:rsid w:val="154A2FFE"/>
    <w:rsid w:val="1A361802"/>
    <w:rsid w:val="21486F9B"/>
    <w:rsid w:val="2494490F"/>
    <w:rsid w:val="24B07FD2"/>
    <w:rsid w:val="25A30350"/>
    <w:rsid w:val="26CD0D37"/>
    <w:rsid w:val="2AC85053"/>
    <w:rsid w:val="2D675A16"/>
    <w:rsid w:val="338F55A8"/>
    <w:rsid w:val="34E238D0"/>
    <w:rsid w:val="35677F7D"/>
    <w:rsid w:val="39B03534"/>
    <w:rsid w:val="3AE3235D"/>
    <w:rsid w:val="3E00326F"/>
    <w:rsid w:val="3F850146"/>
    <w:rsid w:val="40835909"/>
    <w:rsid w:val="491D3975"/>
    <w:rsid w:val="4B170A42"/>
    <w:rsid w:val="4CF237CB"/>
    <w:rsid w:val="4DB12077"/>
    <w:rsid w:val="4FC86627"/>
    <w:rsid w:val="53A53210"/>
    <w:rsid w:val="56A9133E"/>
    <w:rsid w:val="5B7C2E16"/>
    <w:rsid w:val="602B6C33"/>
    <w:rsid w:val="627821ED"/>
    <w:rsid w:val="639B3AE6"/>
    <w:rsid w:val="6B6F39D5"/>
    <w:rsid w:val="6CE931BD"/>
    <w:rsid w:val="6D3E06C9"/>
    <w:rsid w:val="6E8A5DD4"/>
    <w:rsid w:val="6F394390"/>
    <w:rsid w:val="72E67909"/>
    <w:rsid w:val="755C3F1C"/>
    <w:rsid w:val="77C96AB5"/>
    <w:rsid w:val="7A0A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5">
    <w:name w:val="annotation text"/>
    <w:basedOn w:val="1"/>
    <w:unhideWhenUsed/>
    <w:qFormat/>
    <w:uiPriority w:val="99"/>
    <w:pPr>
      <w:jc w:val="left"/>
    </w:pPr>
  </w:style>
  <w:style w:type="paragraph" w:styleId="6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Hyperlink"/>
    <w:unhideWhenUsed/>
    <w:qFormat/>
    <w:uiPriority w:val="99"/>
    <w:rPr>
      <w:color w:val="0000FF"/>
      <w:u w:val="single"/>
    </w:rPr>
  </w:style>
  <w:style w:type="paragraph" w:customStyle="1" w:styleId="12">
    <w:name w:val="标题2"/>
    <w:basedOn w:val="4"/>
    <w:link w:val="18"/>
    <w:qFormat/>
    <w:uiPriority w:val="99"/>
    <w:pPr>
      <w:spacing w:before="0" w:after="0" w:line="240" w:lineRule="auto"/>
      <w:jc w:val="left"/>
    </w:pPr>
    <w:rPr>
      <w:rFonts w:ascii="宋体" w:hAnsi="宋体" w:cs="宋体"/>
      <w:color w:val="000000"/>
      <w:kern w:val="0"/>
      <w:sz w:val="21"/>
      <w:szCs w:val="21"/>
    </w:rPr>
  </w:style>
  <w:style w:type="paragraph" w:customStyle="1" w:styleId="13">
    <w:name w:val="段"/>
    <w:qFormat/>
    <w:uiPriority w:val="99"/>
    <w:pPr>
      <w:spacing w:line="360" w:lineRule="auto"/>
      <w:ind w:firstLine="200" w:firstLineChars="200"/>
      <w:jc w:val="both"/>
    </w:pPr>
    <w:rPr>
      <w:rFonts w:ascii="宋体" w:hAnsi="Times New Roman" w:eastAsia="宋体" w:cs="宋体"/>
      <w:sz w:val="21"/>
      <w:szCs w:val="21"/>
      <w:lang w:val="en-US" w:eastAsia="zh-CN" w:bidi="ar-SA"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  <w:rPr>
      <w:rFonts w:cs="Calibri"/>
    </w:rPr>
  </w:style>
  <w:style w:type="character" w:customStyle="1" w:styleId="15">
    <w:name w:val="标题 2 Char"/>
    <w:link w:val="4"/>
    <w:semiHidden/>
    <w:qFormat/>
    <w:uiPriority w:val="9"/>
    <w:rPr>
      <w:rFonts w:ascii="Cambria" w:hAnsi="Cambria" w:eastAsia="宋体" w:cs="黑体"/>
      <w:b/>
      <w:bCs/>
      <w:sz w:val="32"/>
      <w:szCs w:val="32"/>
    </w:rPr>
  </w:style>
  <w:style w:type="character" w:customStyle="1" w:styleId="16">
    <w:name w:val="页眉 Char"/>
    <w:link w:val="8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7">
    <w:name w:val="页脚 Char"/>
    <w:link w:val="7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8">
    <w:name w:val="标题2 Char"/>
    <w:link w:val="12"/>
    <w:qFormat/>
    <w:locked/>
    <w:uiPriority w:val="99"/>
    <w:rPr>
      <w:rFonts w:ascii="宋体" w:hAnsi="宋体" w:eastAsia="宋体" w:cs="宋体"/>
      <w:b/>
      <w:bCs/>
      <w:color w:val="000000"/>
      <w:kern w:val="0"/>
      <w:szCs w:val="21"/>
    </w:rPr>
  </w:style>
  <w:style w:type="character" w:customStyle="1" w:styleId="19">
    <w:name w:val="批注框文本 Char"/>
    <w:link w:val="6"/>
    <w:semiHidden/>
    <w:qFormat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151</Words>
  <Characters>866</Characters>
  <Lines>7</Lines>
  <Paragraphs>2</Paragraphs>
  <TotalTime>18</TotalTime>
  <ScaleCrop>false</ScaleCrop>
  <LinksUpToDate>false</LinksUpToDate>
  <CharactersWithSpaces>1015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2016-01-08T01:34:00Z</dcterms:created>
  <dc:creator>叶枝平</dc:creator>
  <cp:lastModifiedBy>Administrator</cp:lastModifiedBy>
  <cp:lastPrinted>2016-01-12T03:14:00Z</cp:lastPrinted>
  <dcterms:modified xsi:type="dcterms:W3CDTF">2023-11-13T07:28:11Z</dcterms:modified>
  <dc:title>一、适用范围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A9A4F18632E2475C89BA2BA29256A024</vt:lpwstr>
  </property>
</Properties>
</file>