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C043">
      <w:pPr>
        <w:spacing w:line="259" w:lineRule="auto"/>
        <w:rPr>
          <w:rFonts w:hint="eastAsia" w:eastAsia="宋体"/>
          <w:lang w:val="en-US" w:eastAsia="zh-CN"/>
        </w:rPr>
      </w:pPr>
    </w:p>
    <w:p w14:paraId="5059BAC0">
      <w:pPr>
        <w:spacing w:line="259" w:lineRule="auto"/>
      </w:pPr>
    </w:p>
    <w:p w14:paraId="18218493">
      <w:pPr>
        <w:spacing w:line="259" w:lineRule="auto"/>
      </w:pPr>
    </w:p>
    <w:p w14:paraId="43F0CDBC">
      <w:pPr>
        <w:spacing w:line="259" w:lineRule="auto"/>
      </w:pPr>
    </w:p>
    <w:p w14:paraId="008B32EA">
      <w:pPr>
        <w:spacing w:line="259" w:lineRule="auto"/>
        <w:rPr>
          <w:rFonts w:hint="eastAsia" w:ascii="微软雅黑" w:hAnsi="微软雅黑" w:eastAsia="微软雅黑" w:cs="微软雅黑"/>
        </w:rPr>
      </w:pPr>
    </w:p>
    <w:p w14:paraId="353B42E8">
      <w:pPr>
        <w:spacing w:line="260" w:lineRule="auto"/>
        <w:rPr>
          <w:rFonts w:hint="eastAsia" w:ascii="微软雅黑" w:hAnsi="微软雅黑" w:eastAsia="微软雅黑" w:cs="微软雅黑"/>
        </w:rPr>
      </w:pPr>
    </w:p>
    <w:p w14:paraId="5934E7A0">
      <w:pPr>
        <w:spacing w:line="260" w:lineRule="auto"/>
        <w:rPr>
          <w:rFonts w:hint="eastAsia" w:ascii="微软雅黑" w:hAnsi="微软雅黑" w:eastAsia="微软雅黑" w:cs="微软雅黑"/>
        </w:rPr>
      </w:pPr>
    </w:p>
    <w:p w14:paraId="60BB9782">
      <w:pPr>
        <w:spacing w:line="260" w:lineRule="auto"/>
        <w:rPr>
          <w:rFonts w:hint="eastAsia" w:ascii="微软雅黑" w:hAnsi="微软雅黑" w:eastAsia="微软雅黑" w:cs="微软雅黑"/>
        </w:rPr>
      </w:pPr>
    </w:p>
    <w:p w14:paraId="22223EA1">
      <w:pPr>
        <w:spacing w:before="185" w:line="318" w:lineRule="auto"/>
        <w:ind w:left="21" w:firstLine="24"/>
        <w:jc w:val="center"/>
        <w:rPr>
          <w:rFonts w:hint="eastAsia" w:ascii="微软雅黑" w:hAnsi="微软雅黑" w:eastAsia="微软雅黑" w:cs="微软雅黑"/>
          <w:sz w:val="36"/>
          <w:szCs w:val="36"/>
        </w:rPr>
      </w:pPr>
      <w:r>
        <w:rPr>
          <w:rFonts w:hint="eastAsia" w:ascii="微软雅黑" w:hAnsi="微软雅黑" w:eastAsia="微软雅黑" w:cs="微软雅黑"/>
          <w:spacing w:val="12"/>
          <w:sz w:val="36"/>
          <w:szCs w:val="36"/>
        </w:rPr>
        <w:t>韶关市</w:t>
      </w:r>
      <w:bookmarkStart w:id="0" w:name="OLE_LINK7"/>
      <w:bookmarkStart w:id="1" w:name="OLE_LINK1"/>
      <w:r>
        <w:rPr>
          <w:rFonts w:hint="eastAsia" w:ascii="微软雅黑" w:hAnsi="微软雅黑" w:eastAsia="微软雅黑" w:cs="微软雅黑"/>
          <w:spacing w:val="12"/>
          <w:sz w:val="36"/>
          <w:szCs w:val="36"/>
          <w:lang w:eastAsia="zh-CN"/>
        </w:rPr>
        <w:t>南雄市</w:t>
      </w:r>
      <w:r>
        <w:rPr>
          <w:rFonts w:hint="eastAsia" w:ascii="微软雅黑" w:hAnsi="微软雅黑" w:eastAsia="微软雅黑" w:cs="微软雅黑"/>
          <w:spacing w:val="12"/>
          <w:sz w:val="36"/>
          <w:szCs w:val="36"/>
        </w:rPr>
        <w:t>城</w:t>
      </w:r>
      <w:r>
        <w:rPr>
          <w:rFonts w:hint="eastAsia" w:ascii="微软雅黑" w:hAnsi="微软雅黑" w:eastAsia="微软雅黑" w:cs="微软雅黑"/>
          <w:spacing w:val="37"/>
          <w:sz w:val="36"/>
          <w:szCs w:val="36"/>
        </w:rPr>
        <w:t>镇</w:t>
      </w:r>
      <w:r>
        <w:rPr>
          <w:rFonts w:hint="eastAsia" w:ascii="微软雅黑" w:hAnsi="微软雅黑" w:eastAsia="微软雅黑" w:cs="微软雅黑"/>
          <w:spacing w:val="25"/>
          <w:sz w:val="36"/>
          <w:szCs w:val="36"/>
        </w:rPr>
        <w:t>建设用地规模</w:t>
      </w:r>
      <w:bookmarkEnd w:id="0"/>
      <w:r>
        <w:rPr>
          <w:rFonts w:hint="eastAsia" w:ascii="微软雅黑" w:hAnsi="微软雅黑" w:eastAsia="微软雅黑" w:cs="微软雅黑"/>
          <w:spacing w:val="25"/>
          <w:sz w:val="36"/>
          <w:szCs w:val="36"/>
        </w:rPr>
        <w:t>落实</w:t>
      </w:r>
      <w:bookmarkEnd w:id="1"/>
      <w:r>
        <w:rPr>
          <w:rFonts w:hint="eastAsia" w:ascii="微软雅黑" w:hAnsi="微软雅黑" w:eastAsia="微软雅黑" w:cs="微软雅黑"/>
          <w:spacing w:val="25"/>
          <w:sz w:val="36"/>
          <w:szCs w:val="36"/>
          <w:lang w:val="en-US" w:eastAsia="zh-CN"/>
        </w:rPr>
        <w:t>方案</w:t>
      </w:r>
      <w:r>
        <w:rPr>
          <w:rFonts w:hint="eastAsia" w:ascii="微软雅黑" w:hAnsi="微软雅黑" w:eastAsia="微软雅黑" w:cs="微软雅黑"/>
          <w:spacing w:val="25"/>
          <w:sz w:val="36"/>
          <w:szCs w:val="36"/>
          <w:lang w:eastAsia="zh-CN"/>
        </w:rPr>
        <w:t>（珠玑古巷</w:t>
      </w:r>
      <w:r>
        <w:rPr>
          <w:rFonts w:hint="eastAsia" w:ascii="微软雅黑" w:hAnsi="微软雅黑" w:eastAsia="微软雅黑" w:cs="微软雅黑"/>
          <w:spacing w:val="25"/>
          <w:sz w:val="36"/>
          <w:szCs w:val="36"/>
          <w:lang w:val="en-US" w:eastAsia="zh-CN"/>
        </w:rPr>
        <w:t>文化配套设施</w:t>
      </w:r>
      <w:r>
        <w:rPr>
          <w:rFonts w:hint="eastAsia" w:ascii="微软雅黑" w:hAnsi="微软雅黑" w:eastAsia="微软雅黑" w:cs="微软雅黑"/>
          <w:spacing w:val="25"/>
          <w:sz w:val="36"/>
          <w:szCs w:val="36"/>
          <w:lang w:eastAsia="zh-CN"/>
        </w:rPr>
        <w:t>项目</w:t>
      </w:r>
      <w:r>
        <w:rPr>
          <w:rFonts w:hint="eastAsia" w:ascii="微软雅黑" w:hAnsi="微软雅黑" w:eastAsia="微软雅黑" w:cs="微软雅黑"/>
          <w:spacing w:val="25"/>
          <w:sz w:val="36"/>
          <w:szCs w:val="36"/>
          <w:lang w:val="en-US" w:eastAsia="zh-CN"/>
        </w:rPr>
        <w:t>等2个项目</w:t>
      </w:r>
      <w:r>
        <w:rPr>
          <w:rFonts w:hint="eastAsia" w:ascii="微软雅黑" w:hAnsi="微软雅黑" w:eastAsia="微软雅黑" w:cs="微软雅黑"/>
          <w:spacing w:val="25"/>
          <w:sz w:val="36"/>
          <w:szCs w:val="36"/>
          <w:lang w:eastAsia="zh-CN"/>
        </w:rPr>
        <w:t>）</w:t>
      </w:r>
    </w:p>
    <w:p w14:paraId="2C71D8AD">
      <w:pPr>
        <w:spacing w:before="185" w:line="318" w:lineRule="auto"/>
        <w:ind w:left="21" w:firstLine="24"/>
        <w:jc w:val="center"/>
        <w:rPr>
          <w:rFonts w:hint="eastAsia" w:ascii="微软雅黑" w:hAnsi="微软雅黑" w:eastAsia="微软雅黑" w:cs="微软雅黑"/>
          <w:spacing w:val="12"/>
          <w:sz w:val="36"/>
          <w:szCs w:val="36"/>
          <w:lang w:val="en-US" w:eastAsia="zh-CN"/>
        </w:rPr>
      </w:pPr>
      <w:bookmarkStart w:id="6" w:name="_GoBack"/>
      <w:bookmarkEnd w:id="6"/>
    </w:p>
    <w:p w14:paraId="47CF7F3F">
      <w:pPr>
        <w:spacing w:line="243" w:lineRule="auto"/>
        <w:rPr>
          <w:rFonts w:hint="eastAsia" w:ascii="微软雅黑" w:hAnsi="微软雅黑" w:eastAsia="微软雅黑" w:cs="微软雅黑"/>
        </w:rPr>
      </w:pPr>
    </w:p>
    <w:p w14:paraId="280C8E5B">
      <w:pPr>
        <w:spacing w:line="243" w:lineRule="auto"/>
        <w:rPr>
          <w:rFonts w:hint="eastAsia" w:ascii="微软雅黑" w:hAnsi="微软雅黑" w:eastAsia="微软雅黑" w:cs="微软雅黑"/>
        </w:rPr>
      </w:pPr>
    </w:p>
    <w:p w14:paraId="3E4B3957">
      <w:pPr>
        <w:spacing w:line="243" w:lineRule="auto"/>
        <w:rPr>
          <w:rFonts w:hint="eastAsia" w:ascii="微软雅黑" w:hAnsi="微软雅黑" w:eastAsia="微软雅黑" w:cs="微软雅黑"/>
        </w:rPr>
      </w:pPr>
    </w:p>
    <w:p w14:paraId="18FF37DF">
      <w:pPr>
        <w:spacing w:line="243" w:lineRule="auto"/>
        <w:rPr>
          <w:rFonts w:hint="eastAsia" w:ascii="微软雅黑" w:hAnsi="微软雅黑" w:eastAsia="微软雅黑" w:cs="微软雅黑"/>
        </w:rPr>
      </w:pPr>
    </w:p>
    <w:p w14:paraId="150E24E4">
      <w:pPr>
        <w:spacing w:line="243" w:lineRule="auto"/>
        <w:rPr>
          <w:rFonts w:hint="eastAsia" w:ascii="微软雅黑" w:hAnsi="微软雅黑" w:eastAsia="微软雅黑" w:cs="微软雅黑"/>
        </w:rPr>
      </w:pPr>
    </w:p>
    <w:p w14:paraId="06B9BFA2">
      <w:pPr>
        <w:spacing w:line="243" w:lineRule="auto"/>
        <w:rPr>
          <w:rFonts w:hint="eastAsia" w:ascii="微软雅黑" w:hAnsi="微软雅黑" w:eastAsia="微软雅黑" w:cs="微软雅黑"/>
        </w:rPr>
      </w:pPr>
    </w:p>
    <w:p w14:paraId="51B1A291">
      <w:pPr>
        <w:spacing w:line="243" w:lineRule="auto"/>
        <w:rPr>
          <w:rFonts w:hint="eastAsia" w:ascii="微软雅黑" w:hAnsi="微软雅黑" w:eastAsia="微软雅黑" w:cs="微软雅黑"/>
        </w:rPr>
      </w:pPr>
    </w:p>
    <w:p w14:paraId="4EEEEB0D">
      <w:pPr>
        <w:spacing w:line="243" w:lineRule="auto"/>
        <w:rPr>
          <w:rFonts w:hint="eastAsia" w:ascii="微软雅黑" w:hAnsi="微软雅黑" w:eastAsia="微软雅黑" w:cs="微软雅黑"/>
        </w:rPr>
      </w:pPr>
    </w:p>
    <w:p w14:paraId="1BF870ED">
      <w:pPr>
        <w:spacing w:line="243" w:lineRule="auto"/>
        <w:rPr>
          <w:rFonts w:hint="eastAsia" w:ascii="微软雅黑" w:hAnsi="微软雅黑" w:eastAsia="微软雅黑" w:cs="微软雅黑"/>
        </w:rPr>
      </w:pPr>
    </w:p>
    <w:p w14:paraId="154F1AE9">
      <w:pPr>
        <w:spacing w:line="243" w:lineRule="auto"/>
        <w:rPr>
          <w:rFonts w:hint="eastAsia" w:ascii="微软雅黑" w:hAnsi="微软雅黑" w:eastAsia="微软雅黑" w:cs="微软雅黑"/>
        </w:rPr>
      </w:pPr>
    </w:p>
    <w:p w14:paraId="005BE482">
      <w:pPr>
        <w:spacing w:line="243" w:lineRule="auto"/>
        <w:rPr>
          <w:rFonts w:hint="eastAsia" w:ascii="微软雅黑" w:hAnsi="微软雅黑" w:eastAsia="微软雅黑" w:cs="微软雅黑"/>
        </w:rPr>
      </w:pPr>
    </w:p>
    <w:p w14:paraId="41A0460E">
      <w:pPr>
        <w:spacing w:line="243" w:lineRule="auto"/>
        <w:rPr>
          <w:rFonts w:hint="eastAsia" w:ascii="微软雅黑" w:hAnsi="微软雅黑" w:eastAsia="微软雅黑" w:cs="微软雅黑"/>
        </w:rPr>
      </w:pPr>
    </w:p>
    <w:p w14:paraId="1BE118FD">
      <w:pPr>
        <w:spacing w:line="243" w:lineRule="auto"/>
        <w:rPr>
          <w:rFonts w:hint="eastAsia" w:ascii="微软雅黑" w:hAnsi="微软雅黑" w:eastAsia="微软雅黑" w:cs="微软雅黑"/>
        </w:rPr>
      </w:pPr>
    </w:p>
    <w:p w14:paraId="4F734271">
      <w:pPr>
        <w:spacing w:line="243" w:lineRule="auto"/>
        <w:rPr>
          <w:rFonts w:hint="eastAsia" w:ascii="微软雅黑" w:hAnsi="微软雅黑" w:eastAsia="微软雅黑" w:cs="微软雅黑"/>
        </w:rPr>
      </w:pPr>
    </w:p>
    <w:p w14:paraId="707248AB">
      <w:pPr>
        <w:spacing w:line="243" w:lineRule="auto"/>
        <w:rPr>
          <w:rFonts w:hint="eastAsia" w:ascii="微软雅黑" w:hAnsi="微软雅黑" w:eastAsia="微软雅黑" w:cs="微软雅黑"/>
        </w:rPr>
      </w:pPr>
    </w:p>
    <w:p w14:paraId="733FD0A4">
      <w:pPr>
        <w:spacing w:line="243" w:lineRule="auto"/>
        <w:rPr>
          <w:rFonts w:hint="eastAsia" w:ascii="微软雅黑" w:hAnsi="微软雅黑" w:eastAsia="微软雅黑" w:cs="微软雅黑"/>
        </w:rPr>
      </w:pPr>
    </w:p>
    <w:p w14:paraId="359BB7C7">
      <w:pPr>
        <w:spacing w:line="243" w:lineRule="auto"/>
        <w:rPr>
          <w:rFonts w:hint="eastAsia" w:ascii="微软雅黑" w:hAnsi="微软雅黑" w:eastAsia="微软雅黑" w:cs="微软雅黑"/>
        </w:rPr>
      </w:pPr>
    </w:p>
    <w:p w14:paraId="79C77A92">
      <w:pPr>
        <w:spacing w:line="244" w:lineRule="auto"/>
        <w:jc w:val="center"/>
        <w:rPr>
          <w:rFonts w:hint="eastAsia" w:ascii="微软雅黑" w:hAnsi="微软雅黑" w:eastAsia="微软雅黑" w:cs="微软雅黑"/>
        </w:rPr>
      </w:pPr>
    </w:p>
    <w:p w14:paraId="043C89D1">
      <w:pPr>
        <w:spacing w:before="100" w:line="623" w:lineRule="exact"/>
        <w:jc w:val="center"/>
        <w:rPr>
          <w:rFonts w:hint="eastAsia" w:ascii="微软雅黑" w:hAnsi="微软雅黑" w:eastAsia="微软雅黑" w:cs="微软雅黑"/>
          <w:sz w:val="31"/>
          <w:szCs w:val="31"/>
        </w:rPr>
      </w:pPr>
      <w:r>
        <w:rPr>
          <w:rFonts w:hint="eastAsia" w:ascii="微软雅黑" w:hAnsi="微软雅黑" w:eastAsia="微软雅黑" w:cs="微软雅黑"/>
          <w:spacing w:val="14"/>
          <w:position w:val="23"/>
          <w:sz w:val="31"/>
          <w:szCs w:val="31"/>
        </w:rPr>
        <w:t>编制</w:t>
      </w:r>
      <w:r>
        <w:rPr>
          <w:rFonts w:hint="eastAsia" w:ascii="微软雅黑" w:hAnsi="微软雅黑" w:eastAsia="微软雅黑" w:cs="微软雅黑"/>
          <w:spacing w:val="8"/>
          <w:position w:val="23"/>
          <w:sz w:val="31"/>
          <w:szCs w:val="31"/>
        </w:rPr>
        <w:t>单</w:t>
      </w:r>
      <w:r>
        <w:rPr>
          <w:rFonts w:hint="eastAsia" w:ascii="微软雅黑" w:hAnsi="微软雅黑" w:eastAsia="微软雅黑" w:cs="微软雅黑"/>
          <w:spacing w:val="7"/>
          <w:position w:val="23"/>
          <w:sz w:val="31"/>
          <w:szCs w:val="31"/>
        </w:rPr>
        <w:t xml:space="preserve">位： </w:t>
      </w:r>
      <w:r>
        <w:rPr>
          <w:rFonts w:hint="eastAsia" w:ascii="微软雅黑" w:hAnsi="微软雅黑" w:eastAsia="微软雅黑" w:cs="微软雅黑"/>
          <w:spacing w:val="7"/>
          <w:position w:val="23"/>
          <w:sz w:val="31"/>
          <w:szCs w:val="31"/>
          <w:lang w:eastAsia="zh-CN"/>
        </w:rPr>
        <w:t>南雄市</w:t>
      </w:r>
      <w:r>
        <w:rPr>
          <w:rFonts w:hint="eastAsia" w:ascii="微软雅黑" w:hAnsi="微软雅黑" w:eastAsia="微软雅黑" w:cs="微软雅黑"/>
          <w:spacing w:val="7"/>
          <w:position w:val="23"/>
          <w:sz w:val="31"/>
          <w:szCs w:val="31"/>
        </w:rPr>
        <w:t>自然资源局</w:t>
      </w:r>
    </w:p>
    <w:p w14:paraId="49F22264">
      <w:pPr>
        <w:spacing w:line="227" w:lineRule="auto"/>
        <w:jc w:val="center"/>
        <w:rPr>
          <w:rFonts w:hint="eastAsia" w:ascii="微软雅黑" w:hAnsi="微软雅黑" w:eastAsia="微软雅黑" w:cs="微软雅黑"/>
          <w:sz w:val="31"/>
          <w:szCs w:val="31"/>
          <w:lang w:eastAsia="zh-CN"/>
        </w:rPr>
      </w:pPr>
      <w:r>
        <w:rPr>
          <w:rFonts w:hint="eastAsia" w:ascii="微软雅黑" w:hAnsi="微软雅黑" w:eastAsia="微软雅黑" w:cs="微软雅黑"/>
          <w:spacing w:val="12"/>
          <w:sz w:val="31"/>
          <w:szCs w:val="31"/>
        </w:rPr>
        <w:t>编</w:t>
      </w:r>
      <w:r>
        <w:rPr>
          <w:rFonts w:hint="eastAsia" w:ascii="微软雅黑" w:hAnsi="微软雅黑" w:eastAsia="微软雅黑" w:cs="微软雅黑"/>
          <w:spacing w:val="8"/>
          <w:sz w:val="31"/>
          <w:szCs w:val="31"/>
        </w:rPr>
        <w:t>制</w:t>
      </w:r>
      <w:r>
        <w:rPr>
          <w:rFonts w:hint="eastAsia" w:ascii="微软雅黑" w:hAnsi="微软雅黑" w:eastAsia="微软雅黑" w:cs="微软雅黑"/>
          <w:spacing w:val="6"/>
          <w:sz w:val="31"/>
          <w:szCs w:val="31"/>
        </w:rPr>
        <w:t>时间： 二〇二</w:t>
      </w:r>
      <w:r>
        <w:rPr>
          <w:rFonts w:hint="eastAsia" w:ascii="微软雅黑" w:hAnsi="微软雅黑" w:eastAsia="微软雅黑" w:cs="微软雅黑"/>
          <w:spacing w:val="6"/>
          <w:sz w:val="31"/>
          <w:szCs w:val="31"/>
          <w:lang w:val="en-US" w:eastAsia="zh-CN"/>
        </w:rPr>
        <w:t>六</w:t>
      </w:r>
      <w:r>
        <w:rPr>
          <w:rFonts w:hint="eastAsia" w:ascii="微软雅黑" w:hAnsi="微软雅黑" w:eastAsia="微软雅黑" w:cs="微软雅黑"/>
          <w:spacing w:val="6"/>
          <w:sz w:val="31"/>
          <w:szCs w:val="31"/>
        </w:rPr>
        <w:t>年</w:t>
      </w:r>
      <w:r>
        <w:rPr>
          <w:rFonts w:hint="eastAsia" w:ascii="微软雅黑" w:hAnsi="微软雅黑" w:eastAsia="微软雅黑" w:cs="微软雅黑"/>
          <w:spacing w:val="6"/>
          <w:sz w:val="31"/>
          <w:szCs w:val="31"/>
          <w:lang w:val="en-US" w:eastAsia="zh-CN"/>
        </w:rPr>
        <w:t>四</w:t>
      </w:r>
      <w:r>
        <w:rPr>
          <w:rFonts w:hint="eastAsia" w:ascii="微软雅黑" w:hAnsi="微软雅黑" w:eastAsia="微软雅黑" w:cs="微软雅黑"/>
          <w:spacing w:val="6"/>
          <w:sz w:val="31"/>
          <w:szCs w:val="31"/>
          <w:lang w:eastAsia="zh-CN"/>
        </w:rPr>
        <w:t>月</w:t>
      </w:r>
    </w:p>
    <w:p w14:paraId="752EB307">
      <w:pPr>
        <w:sectPr>
          <w:pgSz w:w="11906" w:h="16838"/>
          <w:pgMar w:top="1431" w:right="1343" w:bottom="1142" w:left="1785" w:header="0" w:footer="943" w:gutter="0"/>
          <w:cols w:space="720" w:num="1"/>
        </w:sectPr>
      </w:pPr>
    </w:p>
    <w:p w14:paraId="5601BD7D"/>
    <w:p w14:paraId="4BDC6DE5">
      <w:pPr>
        <w:spacing w:line="94" w:lineRule="auto"/>
        <w:rPr>
          <w:sz w:val="2"/>
        </w:rPr>
      </w:pPr>
    </w:p>
    <w:tbl>
      <w:tblPr>
        <w:tblStyle w:val="15"/>
        <w:tblW w:w="97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8980"/>
      </w:tblGrid>
      <w:tr w14:paraId="70AB7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9" w:hRule="atLeast"/>
        </w:trPr>
        <w:tc>
          <w:tcPr>
            <w:tcW w:w="734" w:type="dxa"/>
            <w:tcBorders>
              <w:top w:val="single" w:color="auto" w:sz="4" w:space="0"/>
              <w:left w:val="single" w:color="auto" w:sz="4" w:space="0"/>
              <w:bottom w:val="single" w:color="auto" w:sz="4" w:space="0"/>
            </w:tcBorders>
          </w:tcPr>
          <w:p w14:paraId="571B8935">
            <w:pPr>
              <w:spacing w:line="247" w:lineRule="auto"/>
              <w:rPr>
                <w:rFonts w:hint="default" w:ascii="Times New Roman" w:hAnsi="Times New Roman" w:eastAsia="仿宋" w:cs="Times New Roman"/>
                <w:sz w:val="24"/>
                <w:szCs w:val="24"/>
              </w:rPr>
            </w:pPr>
          </w:p>
          <w:p w14:paraId="7459E1E9">
            <w:pPr>
              <w:spacing w:line="248" w:lineRule="auto"/>
              <w:rPr>
                <w:rFonts w:hint="default" w:ascii="Times New Roman" w:hAnsi="Times New Roman" w:eastAsia="仿宋" w:cs="Times New Roman"/>
                <w:sz w:val="24"/>
                <w:szCs w:val="24"/>
              </w:rPr>
            </w:pPr>
          </w:p>
          <w:p w14:paraId="2F20B343">
            <w:pPr>
              <w:spacing w:line="248" w:lineRule="auto"/>
              <w:rPr>
                <w:rFonts w:hint="default" w:ascii="Times New Roman" w:hAnsi="Times New Roman" w:eastAsia="仿宋" w:cs="Times New Roman"/>
                <w:sz w:val="24"/>
                <w:szCs w:val="24"/>
              </w:rPr>
            </w:pPr>
          </w:p>
          <w:p w14:paraId="0EE41F5D">
            <w:pPr>
              <w:spacing w:line="248" w:lineRule="auto"/>
              <w:rPr>
                <w:rFonts w:hint="default" w:ascii="Times New Roman" w:hAnsi="Times New Roman" w:eastAsia="仿宋" w:cs="Times New Roman"/>
                <w:sz w:val="24"/>
                <w:szCs w:val="24"/>
              </w:rPr>
            </w:pPr>
          </w:p>
          <w:p w14:paraId="105C538C">
            <w:pPr>
              <w:spacing w:line="248" w:lineRule="auto"/>
              <w:rPr>
                <w:rFonts w:hint="default" w:ascii="Times New Roman" w:hAnsi="Times New Roman" w:eastAsia="仿宋" w:cs="Times New Roman"/>
                <w:sz w:val="24"/>
                <w:szCs w:val="24"/>
              </w:rPr>
            </w:pPr>
          </w:p>
          <w:p w14:paraId="668A73B5">
            <w:pPr>
              <w:spacing w:line="248" w:lineRule="auto"/>
              <w:rPr>
                <w:rFonts w:hint="default" w:ascii="Times New Roman" w:hAnsi="Times New Roman" w:eastAsia="仿宋" w:cs="Times New Roman"/>
                <w:sz w:val="24"/>
                <w:szCs w:val="24"/>
              </w:rPr>
            </w:pPr>
          </w:p>
          <w:p w14:paraId="192B3594">
            <w:pPr>
              <w:spacing w:line="248" w:lineRule="auto"/>
              <w:rPr>
                <w:rFonts w:hint="default" w:ascii="Times New Roman" w:hAnsi="Times New Roman" w:eastAsia="仿宋" w:cs="Times New Roman"/>
                <w:sz w:val="24"/>
                <w:szCs w:val="24"/>
              </w:rPr>
            </w:pPr>
          </w:p>
          <w:p w14:paraId="2498D3FF">
            <w:pPr>
              <w:spacing w:line="248" w:lineRule="auto"/>
              <w:rPr>
                <w:rFonts w:hint="default" w:ascii="Times New Roman" w:hAnsi="Times New Roman" w:eastAsia="仿宋" w:cs="Times New Roman"/>
                <w:sz w:val="24"/>
                <w:szCs w:val="24"/>
              </w:rPr>
            </w:pPr>
          </w:p>
          <w:p w14:paraId="2879A407">
            <w:pPr>
              <w:spacing w:line="248" w:lineRule="auto"/>
              <w:rPr>
                <w:rFonts w:hint="default" w:ascii="Times New Roman" w:hAnsi="Times New Roman" w:eastAsia="仿宋" w:cs="Times New Roman"/>
                <w:sz w:val="24"/>
                <w:szCs w:val="24"/>
              </w:rPr>
            </w:pPr>
          </w:p>
          <w:p w14:paraId="33F4D59B">
            <w:pPr>
              <w:spacing w:line="248" w:lineRule="auto"/>
              <w:rPr>
                <w:rFonts w:hint="default" w:ascii="Times New Roman" w:hAnsi="Times New Roman" w:eastAsia="仿宋" w:cs="Times New Roman"/>
                <w:sz w:val="24"/>
                <w:szCs w:val="24"/>
              </w:rPr>
            </w:pPr>
          </w:p>
          <w:p w14:paraId="09F86ADE">
            <w:pPr>
              <w:spacing w:line="248" w:lineRule="auto"/>
              <w:rPr>
                <w:rFonts w:hint="default" w:ascii="Times New Roman" w:hAnsi="Times New Roman" w:eastAsia="仿宋" w:cs="Times New Roman"/>
                <w:sz w:val="24"/>
                <w:szCs w:val="24"/>
              </w:rPr>
            </w:pPr>
          </w:p>
          <w:p w14:paraId="23913906">
            <w:pPr>
              <w:spacing w:line="248" w:lineRule="auto"/>
              <w:rPr>
                <w:rFonts w:hint="default" w:ascii="Times New Roman" w:hAnsi="Times New Roman" w:eastAsia="仿宋" w:cs="Times New Roman"/>
                <w:sz w:val="24"/>
                <w:szCs w:val="24"/>
              </w:rPr>
            </w:pPr>
          </w:p>
          <w:p w14:paraId="7A43A4CC">
            <w:pPr>
              <w:spacing w:line="248" w:lineRule="auto"/>
              <w:rPr>
                <w:rFonts w:hint="default" w:ascii="Times New Roman" w:hAnsi="Times New Roman" w:eastAsia="仿宋" w:cs="Times New Roman"/>
                <w:sz w:val="24"/>
                <w:szCs w:val="24"/>
              </w:rPr>
            </w:pPr>
          </w:p>
          <w:p w14:paraId="7DD6EB17">
            <w:pPr>
              <w:spacing w:line="248" w:lineRule="auto"/>
              <w:rPr>
                <w:rFonts w:hint="default" w:ascii="Times New Roman" w:hAnsi="Times New Roman" w:eastAsia="仿宋" w:cs="Times New Roman"/>
                <w:sz w:val="24"/>
                <w:szCs w:val="24"/>
              </w:rPr>
            </w:pPr>
          </w:p>
          <w:p w14:paraId="306F3140">
            <w:pPr>
              <w:spacing w:line="248" w:lineRule="auto"/>
              <w:rPr>
                <w:rFonts w:hint="default" w:ascii="Times New Roman" w:hAnsi="Times New Roman" w:eastAsia="仿宋" w:cs="Times New Roman"/>
                <w:sz w:val="24"/>
                <w:szCs w:val="24"/>
              </w:rPr>
            </w:pPr>
          </w:p>
          <w:p w14:paraId="387DA3B8">
            <w:pPr>
              <w:spacing w:line="248" w:lineRule="auto"/>
              <w:rPr>
                <w:rFonts w:hint="default" w:ascii="Times New Roman" w:hAnsi="Times New Roman" w:eastAsia="仿宋" w:cs="Times New Roman"/>
                <w:sz w:val="24"/>
                <w:szCs w:val="24"/>
              </w:rPr>
            </w:pPr>
          </w:p>
          <w:p w14:paraId="539FF2FB">
            <w:pPr>
              <w:spacing w:line="248" w:lineRule="auto"/>
              <w:rPr>
                <w:rFonts w:hint="default" w:ascii="Times New Roman" w:hAnsi="Times New Roman" w:eastAsia="仿宋" w:cs="Times New Roman"/>
                <w:sz w:val="24"/>
                <w:szCs w:val="24"/>
              </w:rPr>
            </w:pPr>
          </w:p>
          <w:p w14:paraId="1B8A6C6B">
            <w:pPr>
              <w:spacing w:before="75" w:line="253" w:lineRule="auto"/>
              <w:ind w:left="123" w:right="107" w:firstLine="5"/>
              <w:rPr>
                <w:rFonts w:hint="default" w:ascii="Times New Roman" w:hAnsi="Times New Roman" w:eastAsia="仿宋" w:cs="Times New Roman"/>
                <w:sz w:val="24"/>
                <w:szCs w:val="24"/>
              </w:rPr>
            </w:pPr>
            <w:r>
              <w:rPr>
                <w:rFonts w:hint="eastAsia" w:ascii="Times New Roman" w:hAnsi="Times New Roman" w:eastAsia="仿宋" w:cs="Times New Roman"/>
                <w:spacing w:val="-29"/>
                <w:sz w:val="24"/>
                <w:szCs w:val="24"/>
                <w:lang w:val="en-US" w:eastAsia="zh-CN"/>
              </w:rPr>
              <w:t>城镇建设用地规模落实情况说明</w:t>
            </w:r>
          </w:p>
        </w:tc>
        <w:tc>
          <w:tcPr>
            <w:tcW w:w="8980" w:type="dxa"/>
            <w:tcBorders>
              <w:top w:val="single" w:color="auto" w:sz="4" w:space="0"/>
              <w:bottom w:val="single" w:color="auto" w:sz="4" w:space="0"/>
              <w:right w:val="single" w:color="auto" w:sz="4" w:space="0"/>
            </w:tcBorders>
          </w:tcPr>
          <w:p w14:paraId="4D45DF5F">
            <w:pPr>
              <w:spacing w:before="136" w:line="337" w:lineRule="auto"/>
              <w:ind w:left="123" w:firstLine="454"/>
              <w:jc w:val="both"/>
              <w:rPr>
                <w:rFonts w:hint="default" w:ascii="Times New Roman" w:hAnsi="Times New Roman" w:eastAsia="仿宋" w:cs="Times New Roman"/>
                <w:spacing w:val="-5"/>
                <w:sz w:val="24"/>
                <w:szCs w:val="24"/>
                <w14:textOutline w14:w="4394" w14:cap="flat" w14:cmpd="sng" w14:algn="ctr">
                  <w14:solidFill>
                    <w14:srgbClr w14:val="000000"/>
                  </w14:solidFill>
                  <w14:prstDash w14:val="solid"/>
                  <w14:miter w14:val="0"/>
                </w14:textOutline>
              </w:rPr>
            </w:pPr>
            <w:r>
              <w:rPr>
                <w:rFonts w:hint="default" w:ascii="Times New Roman" w:hAnsi="Times New Roman" w:eastAsia="仿宋" w:cs="Times New Roman"/>
                <w:spacing w:val="-5"/>
                <w:sz w:val="24"/>
                <w:szCs w:val="24"/>
                <w14:textOutline w14:w="4394" w14:cap="flat" w14:cmpd="sng" w14:algn="ctr">
                  <w14:solidFill>
                    <w14:srgbClr w14:val="000000"/>
                  </w14:solidFill>
                  <w14:prstDash w14:val="solid"/>
                  <w14:miter w14:val="0"/>
                </w14:textOutline>
              </w:rPr>
              <w:t>一、</w:t>
            </w:r>
            <w:r>
              <w:rPr>
                <w:rFonts w:hint="default" w:ascii="Times New Roman" w:hAnsi="Times New Roman" w:eastAsia="仿宋" w:cs="Times New Roman"/>
                <w:spacing w:val="16"/>
                <w:sz w:val="24"/>
                <w:szCs w:val="24"/>
                <w14:textOutline w14:w="4394" w14:cap="flat" w14:cmpd="sng" w14:algn="ctr">
                  <w14:solidFill>
                    <w14:srgbClr w14:val="000000"/>
                  </w14:solidFill>
                  <w14:prstDash w14:val="solid"/>
                  <w14:miter w14:val="0"/>
                </w14:textOutline>
              </w:rPr>
              <w:t>城镇开发边界外新增城镇建设用地规模落实使用的背景及必要性</w:t>
            </w:r>
            <w:r>
              <w:rPr>
                <w:rFonts w:hint="eastAsia" w:ascii="Times New Roman" w:hAnsi="Times New Roman" w:eastAsia="仿宋" w:cs="Times New Roman"/>
                <w:spacing w:val="16"/>
                <w:sz w:val="24"/>
                <w:szCs w:val="24"/>
                <w:lang w:eastAsia="zh-CN"/>
                <w14:textOutline w14:w="4394" w14:cap="flat" w14:cmpd="sng" w14:algn="ctr">
                  <w14:solidFill>
                    <w14:srgbClr w14:val="000000"/>
                  </w14:solidFill>
                  <w14:prstDash w14:val="solid"/>
                  <w14:miter w14:val="0"/>
                </w14:textOutline>
              </w:rPr>
              <w:t>（</w:t>
            </w:r>
            <w:r>
              <w:rPr>
                <w:rFonts w:hint="default" w:ascii="Times New Roman" w:hAnsi="Times New Roman" w:eastAsia="仿宋" w:cs="Times New Roman"/>
                <w:spacing w:val="16"/>
                <w:sz w:val="24"/>
                <w:szCs w:val="24"/>
                <w14:textOutline w14:w="4394" w14:cap="flat" w14:cmpd="sng" w14:algn="ctr">
                  <w14:solidFill>
                    <w14:srgbClr w14:val="000000"/>
                  </w14:solidFill>
                  <w14:prstDash w14:val="solid"/>
                  <w14:miter w14:val="0"/>
                </w14:textOutline>
              </w:rPr>
              <w:t>项目简</w:t>
            </w:r>
            <w:r>
              <w:rPr>
                <w:rFonts w:hint="default" w:ascii="Times New Roman" w:hAnsi="Times New Roman" w:eastAsia="仿宋" w:cs="Times New Roman"/>
                <w:spacing w:val="-6"/>
                <w:sz w:val="24"/>
                <w:szCs w:val="24"/>
                <w14:textOutline w14:w="4394" w14:cap="flat" w14:cmpd="sng" w14:algn="ctr">
                  <w14:solidFill>
                    <w14:srgbClr w14:val="000000"/>
                  </w14:solidFill>
                  <w14:prstDash w14:val="solid"/>
                  <w14:miter w14:val="0"/>
                </w14:textOutline>
              </w:rPr>
              <w:t>介</w:t>
            </w:r>
            <w:r>
              <w:rPr>
                <w:rFonts w:hint="eastAsia" w:ascii="Times New Roman" w:hAnsi="Times New Roman" w:eastAsia="仿宋" w:cs="Times New Roman"/>
                <w:spacing w:val="-6"/>
                <w:sz w:val="24"/>
                <w:szCs w:val="24"/>
                <w:lang w:eastAsia="zh-CN"/>
                <w14:textOutline w14:w="4394" w14:cap="flat" w14:cmpd="sng" w14:algn="ctr">
                  <w14:solidFill>
                    <w14:srgbClr w14:val="000000"/>
                  </w14:solidFill>
                  <w14:prstDash w14:val="solid"/>
                  <w14:miter w14:val="0"/>
                </w14:textOutline>
              </w:rPr>
              <w:t>）</w:t>
            </w:r>
          </w:p>
          <w:p w14:paraId="16E31E17">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hint="eastAsia" w:ascii="Times New Roman" w:hAnsi="Times New Roman" w:eastAsia="仿宋" w:cs="Times New Roman"/>
                <w:b/>
                <w:bCs/>
                <w:spacing w:val="3"/>
                <w:sz w:val="24"/>
                <w:szCs w:val="24"/>
                <w:lang w:eastAsia="zh-CN"/>
              </w:rPr>
              <w:t>珠玑古巷</w:t>
            </w:r>
            <w:r>
              <w:rPr>
                <w:rFonts w:hint="eastAsia" w:ascii="Times New Roman" w:hAnsi="Times New Roman" w:eastAsia="仿宋" w:cs="Times New Roman"/>
                <w:b/>
                <w:bCs/>
                <w:spacing w:val="3"/>
                <w:sz w:val="24"/>
                <w:szCs w:val="24"/>
                <w:lang w:val="en-US" w:eastAsia="zh-CN"/>
              </w:rPr>
              <w:t>文化</w:t>
            </w:r>
            <w:r>
              <w:rPr>
                <w:rFonts w:hint="eastAsia" w:ascii="Times New Roman" w:hAnsi="Times New Roman" w:eastAsia="仿宋" w:cs="Times New Roman"/>
                <w:b/>
                <w:bCs/>
                <w:spacing w:val="3"/>
                <w:sz w:val="24"/>
                <w:szCs w:val="24"/>
                <w:lang w:eastAsia="zh-CN"/>
              </w:rPr>
              <w:t>配套设施项目</w:t>
            </w:r>
            <w:r>
              <w:rPr>
                <w:rFonts w:hint="default" w:ascii="Times New Roman" w:hAnsi="Times New Roman" w:eastAsia="仿宋" w:cs="Times New Roman"/>
                <w:b/>
                <w:bCs/>
                <w:spacing w:val="3"/>
                <w:sz w:val="24"/>
                <w:szCs w:val="24"/>
              </w:rPr>
              <w:t>：</w:t>
            </w:r>
            <w:r>
              <w:rPr>
                <w:rFonts w:hint="eastAsia" w:ascii="Times New Roman" w:hAnsi="Times New Roman" w:eastAsia="仿宋" w:cs="Times New Roman"/>
                <w:spacing w:val="3"/>
                <w:sz w:val="24"/>
                <w:szCs w:val="24"/>
              </w:rPr>
              <w:t>珠玑古巷文化配套设施项目</w:t>
            </w:r>
            <w:r>
              <w:rPr>
                <w:rFonts w:hint="eastAsia" w:ascii="Times New Roman" w:hAnsi="Times New Roman" w:eastAsia="仿宋" w:cs="Times New Roman"/>
                <w:spacing w:val="3"/>
                <w:sz w:val="24"/>
                <w:szCs w:val="24"/>
                <w:lang w:val="en-US" w:eastAsia="zh-CN"/>
              </w:rPr>
              <w:t>属于南雄市珠玑古巷保护活化利用项目中的人居环境整治项目和市政道路工程建设项目</w:t>
            </w:r>
            <w:r>
              <w:rPr>
                <w:rFonts w:hint="default"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2024年9月11日南雄市政府党组会议，原则同意由市住建局为项目建设单位，市代建中心为项目代建单位，实施南雄市珠玑古巷保护活化利用项目。</w:t>
            </w:r>
            <w:r>
              <w:rPr>
                <w:rFonts w:hint="eastAsia" w:ascii="Times New Roman" w:hAnsi="Times New Roman" w:eastAsia="仿宋" w:cs="Times New Roman"/>
                <w:spacing w:val="3"/>
                <w:sz w:val="24"/>
                <w:szCs w:val="24"/>
              </w:rPr>
              <w:t>2024年7月5日《南雄市珠玑古巷保护活化利用项目可行性研究报告》取得批复</w:t>
            </w:r>
            <w:r>
              <w:rPr>
                <w:rFonts w:hint="eastAsia" w:ascii="Times New Roman" w:hAnsi="Times New Roman" w:eastAsia="仿宋" w:cs="Times New Roman"/>
                <w:spacing w:val="3"/>
                <w:sz w:val="24"/>
                <w:szCs w:val="24"/>
                <w:lang w:eastAsia="zh-CN"/>
              </w:rPr>
              <w:t>。珠玑古巷</w:t>
            </w:r>
            <w:r>
              <w:rPr>
                <w:rFonts w:hint="eastAsia" w:ascii="Times New Roman" w:hAnsi="Times New Roman" w:eastAsia="仿宋" w:cs="Times New Roman"/>
                <w:spacing w:val="3"/>
                <w:sz w:val="24"/>
                <w:szCs w:val="24"/>
                <w:lang w:val="en-US" w:eastAsia="zh-CN"/>
              </w:rPr>
              <w:t>内部文化开敞空间环境较差，</w:t>
            </w:r>
            <w:r>
              <w:rPr>
                <w:rFonts w:hint="eastAsia" w:ascii="Times New Roman" w:hAnsi="Times New Roman" w:eastAsia="仿宋" w:cs="Times New Roman"/>
                <w:spacing w:val="3"/>
                <w:sz w:val="24"/>
                <w:szCs w:val="24"/>
              </w:rPr>
              <w:t>路网结构薄弱</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随着景区辐射范围的扩大，</w:t>
            </w:r>
            <w:r>
              <w:rPr>
                <w:rFonts w:hint="eastAsia" w:ascii="Times New Roman" w:hAnsi="Times New Roman" w:eastAsia="仿宋" w:cs="Times New Roman"/>
                <w:spacing w:val="3"/>
                <w:sz w:val="24"/>
                <w:szCs w:val="24"/>
              </w:rPr>
              <w:t>通行需求量增加，为考虑长远发展，项目拟</w:t>
            </w:r>
            <w:r>
              <w:rPr>
                <w:rFonts w:hint="eastAsia" w:ascii="Times New Roman" w:hAnsi="Times New Roman" w:eastAsia="仿宋" w:cs="Times New Roman"/>
                <w:spacing w:val="3"/>
                <w:sz w:val="24"/>
                <w:szCs w:val="24"/>
                <w:lang w:val="en-US" w:eastAsia="zh-CN"/>
              </w:rPr>
              <w:t>开展人居环境整治，打通文化活动开敞空间，</w:t>
            </w:r>
            <w:r>
              <w:rPr>
                <w:rFonts w:hint="eastAsia" w:ascii="Times New Roman" w:hAnsi="Times New Roman" w:eastAsia="仿宋" w:cs="Times New Roman"/>
                <w:spacing w:val="3"/>
                <w:sz w:val="24"/>
                <w:szCs w:val="24"/>
              </w:rPr>
              <w:t>建设道路打通珠玑古巷西南</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rPr>
              <w:t>东北侧</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完善景区内部路网格局</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highlight w:val="none"/>
                <w:lang w:val="en-US" w:eastAsia="zh-CN"/>
              </w:rPr>
              <w:t>本</w:t>
            </w:r>
            <w:r>
              <w:rPr>
                <w:rFonts w:hint="default" w:ascii="Times New Roman" w:hAnsi="Times New Roman" w:eastAsia="仿宋" w:cs="Times New Roman"/>
                <w:spacing w:val="3"/>
                <w:sz w:val="24"/>
                <w:szCs w:val="24"/>
                <w:highlight w:val="none"/>
                <w:lang w:val="en-US" w:eastAsia="zh-CN"/>
              </w:rPr>
              <w:t>项目落实</w:t>
            </w:r>
            <w:r>
              <w:rPr>
                <w:rFonts w:hint="eastAsia" w:ascii="Times New Roman" w:hAnsi="Times New Roman" w:eastAsia="仿宋" w:cs="Times New Roman"/>
                <w:spacing w:val="3"/>
                <w:sz w:val="24"/>
                <w:szCs w:val="24"/>
                <w:highlight w:val="none"/>
                <w:lang w:val="en-US" w:eastAsia="zh-CN"/>
              </w:rPr>
              <w:t>后，</w:t>
            </w:r>
            <w:r>
              <w:rPr>
                <w:rFonts w:hint="default" w:ascii="Times New Roman" w:hAnsi="Times New Roman" w:eastAsia="仿宋" w:cs="Times New Roman"/>
                <w:spacing w:val="3"/>
                <w:sz w:val="24"/>
                <w:szCs w:val="24"/>
                <w:highlight w:val="none"/>
              </w:rPr>
              <w:t>一方面有利于</w:t>
            </w:r>
            <w:r>
              <w:rPr>
                <w:rFonts w:hint="eastAsia" w:ascii="Times New Roman" w:hAnsi="Times New Roman" w:eastAsia="仿宋" w:cs="Times New Roman"/>
                <w:spacing w:val="3"/>
                <w:sz w:val="24"/>
                <w:szCs w:val="24"/>
                <w:highlight w:val="none"/>
                <w:lang w:val="en-US" w:eastAsia="zh-CN"/>
              </w:rPr>
              <w:t>增加珠玑古巷开敞空间和文化活动场所</w:t>
            </w:r>
            <w:r>
              <w:rPr>
                <w:rFonts w:hint="default" w:ascii="Times New Roman" w:hAnsi="Times New Roman" w:eastAsia="仿宋" w:cs="Times New Roman"/>
                <w:spacing w:val="3"/>
                <w:sz w:val="24"/>
                <w:szCs w:val="24"/>
                <w:highlight w:val="none"/>
              </w:rPr>
              <w:t>，</w:t>
            </w:r>
            <w:r>
              <w:rPr>
                <w:rFonts w:hint="eastAsia" w:ascii="Times New Roman" w:hAnsi="Times New Roman" w:eastAsia="仿宋" w:cs="Times New Roman"/>
                <w:spacing w:val="3"/>
                <w:sz w:val="24"/>
                <w:szCs w:val="24"/>
                <w:highlight w:val="none"/>
                <w:lang w:val="en-US" w:eastAsia="zh-CN"/>
              </w:rPr>
              <w:t>提升游客观赏游玩的体验感，增加文化设施，</w:t>
            </w:r>
            <w:r>
              <w:rPr>
                <w:rFonts w:hint="default" w:ascii="Times New Roman" w:hAnsi="Times New Roman" w:eastAsia="仿宋" w:cs="Times New Roman"/>
                <w:spacing w:val="3"/>
                <w:sz w:val="24"/>
                <w:szCs w:val="24"/>
                <w:highlight w:val="none"/>
              </w:rPr>
              <w:t>营造良好的文化环境</w:t>
            </w:r>
            <w:r>
              <w:rPr>
                <w:rFonts w:hint="eastAsia" w:ascii="Times New Roman" w:hAnsi="Times New Roman" w:eastAsia="仿宋" w:cs="Times New Roman"/>
                <w:spacing w:val="3"/>
                <w:sz w:val="24"/>
                <w:szCs w:val="24"/>
                <w:highlight w:val="none"/>
                <w:lang w:eastAsia="zh-CN"/>
              </w:rPr>
              <w:t>，</w:t>
            </w:r>
            <w:r>
              <w:rPr>
                <w:rFonts w:hint="default" w:ascii="Times New Roman" w:hAnsi="Times New Roman" w:eastAsia="仿宋" w:cs="Times New Roman"/>
                <w:spacing w:val="3"/>
                <w:sz w:val="24"/>
                <w:szCs w:val="24"/>
                <w:highlight w:val="none"/>
              </w:rPr>
              <w:t>另一方面</w:t>
            </w:r>
            <w:r>
              <w:rPr>
                <w:rFonts w:hint="eastAsia" w:ascii="Times New Roman" w:hAnsi="Times New Roman" w:eastAsia="仿宋" w:cs="Times New Roman"/>
                <w:spacing w:val="3"/>
                <w:sz w:val="24"/>
                <w:szCs w:val="24"/>
                <w:highlight w:val="none"/>
                <w:lang w:val="en-US" w:eastAsia="zh-CN"/>
              </w:rPr>
              <w:t>能够提高珠玑古巷的通达度</w:t>
            </w:r>
            <w:r>
              <w:rPr>
                <w:rFonts w:hint="default" w:ascii="Times New Roman" w:hAnsi="Times New Roman" w:eastAsia="仿宋" w:cs="Times New Roman"/>
                <w:spacing w:val="3"/>
                <w:sz w:val="24"/>
                <w:szCs w:val="24"/>
                <w:highlight w:val="none"/>
              </w:rPr>
              <w:t>，</w:t>
            </w:r>
            <w:r>
              <w:rPr>
                <w:rFonts w:hint="eastAsia" w:ascii="Times New Roman" w:hAnsi="Times New Roman" w:eastAsia="仿宋" w:cs="Times New Roman"/>
                <w:spacing w:val="3"/>
                <w:sz w:val="24"/>
                <w:szCs w:val="24"/>
                <w:highlight w:val="none"/>
                <w:lang w:val="en-US" w:eastAsia="zh-CN"/>
              </w:rPr>
              <w:t>满足游客高峰期的通行需求，同时助力</w:t>
            </w:r>
            <w:r>
              <w:rPr>
                <w:rFonts w:hint="eastAsia" w:ascii="Times New Roman" w:hAnsi="Times New Roman" w:eastAsia="仿宋" w:cs="Times New Roman"/>
                <w:spacing w:val="3"/>
                <w:sz w:val="24"/>
                <w:szCs w:val="24"/>
                <w:highlight w:val="none"/>
              </w:rPr>
              <w:t>南雄市</w:t>
            </w:r>
            <w:r>
              <w:rPr>
                <w:rFonts w:hint="eastAsia" w:ascii="Times New Roman" w:hAnsi="Times New Roman" w:eastAsia="仿宋" w:cs="Times New Roman"/>
                <w:spacing w:val="3"/>
                <w:sz w:val="24"/>
                <w:szCs w:val="24"/>
                <w:highlight w:val="none"/>
                <w:lang w:val="en-US" w:eastAsia="zh-CN"/>
              </w:rPr>
              <w:t>珠玑古巷</w:t>
            </w:r>
            <w:r>
              <w:rPr>
                <w:rFonts w:hint="eastAsia" w:ascii="Times New Roman" w:hAnsi="Times New Roman" w:eastAsia="仿宋" w:cs="Times New Roman"/>
                <w:spacing w:val="3"/>
                <w:sz w:val="24"/>
                <w:szCs w:val="24"/>
                <w:highlight w:val="none"/>
              </w:rPr>
              <w:t>建设</w:t>
            </w:r>
            <w:r>
              <w:rPr>
                <w:rFonts w:hint="eastAsia" w:ascii="Times New Roman" w:hAnsi="Times New Roman" w:eastAsia="仿宋" w:cs="Times New Roman"/>
                <w:spacing w:val="3"/>
                <w:sz w:val="24"/>
                <w:szCs w:val="24"/>
                <w:highlight w:val="none"/>
                <w:lang w:val="en-US" w:eastAsia="zh-CN"/>
              </w:rPr>
              <w:t>工作</w:t>
            </w:r>
            <w:r>
              <w:rPr>
                <w:rFonts w:hint="default" w:ascii="Times New Roman" w:hAnsi="Times New Roman" w:eastAsia="仿宋" w:cs="Times New Roman"/>
                <w:spacing w:val="3"/>
                <w:sz w:val="24"/>
                <w:szCs w:val="24"/>
              </w:rPr>
              <w:t>。</w:t>
            </w:r>
            <w:r>
              <w:rPr>
                <w:rFonts w:hint="default" w:ascii="Times New Roman" w:hAnsi="Times New Roman" w:eastAsia="仿宋" w:cs="Times New Roman"/>
                <w:spacing w:val="3"/>
                <w:sz w:val="24"/>
                <w:szCs w:val="24"/>
                <w:lang w:val="en-US" w:eastAsia="zh-CN"/>
              </w:rPr>
              <w:t>项目选址位于南雄市</w:t>
            </w:r>
            <w:r>
              <w:rPr>
                <w:rFonts w:hint="eastAsia" w:ascii="Times New Roman" w:hAnsi="Times New Roman" w:eastAsia="仿宋" w:cs="Times New Roman"/>
                <w:spacing w:val="3"/>
                <w:sz w:val="24"/>
                <w:szCs w:val="24"/>
                <w:lang w:val="en-US" w:eastAsia="zh-CN"/>
              </w:rPr>
              <w:t>珠玑</w:t>
            </w:r>
            <w:r>
              <w:rPr>
                <w:rFonts w:hint="default" w:ascii="Times New Roman" w:hAnsi="Times New Roman" w:eastAsia="仿宋" w:cs="Times New Roman"/>
                <w:spacing w:val="3"/>
                <w:sz w:val="24"/>
                <w:szCs w:val="24"/>
                <w:lang w:val="en-US" w:eastAsia="zh-CN"/>
              </w:rPr>
              <w:t>镇</w:t>
            </w:r>
            <w:r>
              <w:rPr>
                <w:rFonts w:hint="eastAsia" w:ascii="Times New Roman" w:hAnsi="Times New Roman" w:eastAsia="仿宋" w:cs="Times New Roman"/>
                <w:spacing w:val="3"/>
                <w:sz w:val="24"/>
                <w:szCs w:val="24"/>
                <w:lang w:val="en-US" w:eastAsia="zh-CN"/>
              </w:rPr>
              <w:t>珠玑</w:t>
            </w:r>
            <w:r>
              <w:rPr>
                <w:rFonts w:hint="default" w:ascii="Times New Roman" w:hAnsi="Times New Roman" w:eastAsia="仿宋" w:cs="Times New Roman"/>
                <w:spacing w:val="3"/>
                <w:sz w:val="24"/>
                <w:szCs w:val="24"/>
                <w:lang w:val="en-US" w:eastAsia="zh-CN"/>
              </w:rPr>
              <w:t>村，总用地面积</w:t>
            </w:r>
            <w:r>
              <w:rPr>
                <w:rFonts w:hint="eastAsia" w:ascii="Times New Roman" w:hAnsi="Times New Roman" w:eastAsia="仿宋" w:cs="Times New Roman"/>
                <w:spacing w:val="3"/>
                <w:sz w:val="24"/>
                <w:szCs w:val="24"/>
                <w:lang w:val="en-US" w:eastAsia="zh-CN"/>
              </w:rPr>
              <w:t>1.2591</w:t>
            </w:r>
            <w:r>
              <w:rPr>
                <w:rFonts w:hint="default" w:ascii="Times New Roman" w:hAnsi="Times New Roman" w:eastAsia="仿宋" w:cs="Times New Roman"/>
                <w:spacing w:val="3"/>
                <w:sz w:val="24"/>
                <w:szCs w:val="24"/>
                <w:lang w:val="en-US" w:eastAsia="zh-CN"/>
              </w:rPr>
              <w:t>公顷。</w:t>
            </w:r>
          </w:p>
          <w:p w14:paraId="21224488">
            <w:pPr>
              <w:spacing w:before="136" w:line="337" w:lineRule="auto"/>
              <w:ind w:left="123" w:firstLine="454"/>
              <w:jc w:val="both"/>
              <w:rPr>
                <w:rFonts w:hint="default" w:ascii="Times New Roman" w:hAnsi="Times New Roman" w:eastAsia="仿宋" w:cs="Times New Roman"/>
                <w:spacing w:val="3"/>
                <w:sz w:val="24"/>
                <w:szCs w:val="24"/>
              </w:rPr>
            </w:pPr>
            <w:r>
              <w:rPr>
                <w:rFonts w:hint="default" w:ascii="Times New Roman" w:hAnsi="Times New Roman" w:eastAsia="仿宋" w:cs="Times New Roman"/>
                <w:b/>
                <w:bCs/>
                <w:spacing w:val="3"/>
                <w:sz w:val="24"/>
                <w:szCs w:val="24"/>
              </w:rPr>
              <w:t>南雄市珠玑镇群众活动综合体（梅岭片区）项目</w:t>
            </w:r>
            <w:r>
              <w:rPr>
                <w:rFonts w:hint="default" w:ascii="Times New Roman" w:hAnsi="Times New Roman" w:eastAsia="仿宋" w:cs="Times New Roman"/>
                <w:b/>
                <w:bCs/>
                <w:spacing w:val="3"/>
                <w:sz w:val="24"/>
                <w:szCs w:val="24"/>
                <w:highlight w:val="none"/>
              </w:rPr>
              <w:t>：</w:t>
            </w:r>
            <w:r>
              <w:rPr>
                <w:rFonts w:hint="eastAsia" w:ascii="Times New Roman" w:hAnsi="Times New Roman" w:eastAsia="仿宋" w:cs="Times New Roman"/>
                <w:spacing w:val="3"/>
                <w:sz w:val="24"/>
                <w:szCs w:val="24"/>
                <w:highlight w:val="none"/>
                <w:lang w:val="en-US" w:eastAsia="zh-CN"/>
              </w:rPr>
              <w:t>由于梅岭片区缺少独立的群众活动空间</w:t>
            </w:r>
            <w:r>
              <w:rPr>
                <w:rFonts w:hint="default" w:ascii="Times New Roman" w:hAnsi="Times New Roman" w:eastAsia="仿宋" w:cs="Times New Roman"/>
                <w:spacing w:val="3"/>
                <w:sz w:val="24"/>
                <w:szCs w:val="24"/>
                <w:highlight w:val="none"/>
              </w:rPr>
              <w:t>，</w:t>
            </w:r>
            <w:r>
              <w:rPr>
                <w:rFonts w:hint="eastAsia" w:ascii="Times New Roman" w:hAnsi="Times New Roman" w:eastAsia="仿宋" w:cs="Times New Roman"/>
                <w:spacing w:val="3"/>
                <w:sz w:val="24"/>
                <w:szCs w:val="24"/>
                <w:highlight w:val="none"/>
                <w:lang w:val="en-US" w:eastAsia="zh-CN"/>
              </w:rPr>
              <w:t>经镇政府班子会议决定</w:t>
            </w:r>
            <w:r>
              <w:rPr>
                <w:rFonts w:hint="default" w:ascii="Times New Roman" w:hAnsi="Times New Roman" w:eastAsia="仿宋" w:cs="Times New Roman"/>
                <w:spacing w:val="3"/>
                <w:sz w:val="24"/>
                <w:szCs w:val="24"/>
                <w:highlight w:val="none"/>
              </w:rPr>
              <w:t>，</w:t>
            </w:r>
            <w:r>
              <w:rPr>
                <w:rFonts w:hint="eastAsia" w:ascii="Times New Roman" w:hAnsi="Times New Roman" w:eastAsia="仿宋" w:cs="Times New Roman"/>
                <w:spacing w:val="3"/>
                <w:sz w:val="24"/>
                <w:szCs w:val="24"/>
                <w:highlight w:val="none"/>
                <w:lang w:val="en-US" w:eastAsia="zh-CN"/>
              </w:rPr>
              <w:t>将原梅岭镇政府打造成为梅岭片区的群众活动综合体</w:t>
            </w:r>
            <w:r>
              <w:rPr>
                <w:rFonts w:hint="default" w:ascii="Times New Roman" w:hAnsi="Times New Roman" w:eastAsia="仿宋" w:cs="Times New Roman"/>
                <w:spacing w:val="3"/>
                <w:sz w:val="24"/>
                <w:szCs w:val="24"/>
                <w:highlight w:val="none"/>
                <w:lang w:val="en-US" w:eastAsia="zh-CN"/>
              </w:rPr>
              <w:t>，</w:t>
            </w:r>
            <w:r>
              <w:rPr>
                <w:rFonts w:hint="eastAsia" w:ascii="Times New Roman" w:hAnsi="Times New Roman" w:eastAsia="仿宋" w:cs="Times New Roman"/>
                <w:spacing w:val="3"/>
                <w:sz w:val="24"/>
                <w:szCs w:val="24"/>
                <w:highlight w:val="none"/>
                <w:lang w:val="en-US" w:eastAsia="zh-CN"/>
              </w:rPr>
              <w:t>该地块权属在20世纪80年代就已经征为国有用地</w:t>
            </w:r>
            <w:r>
              <w:rPr>
                <w:rFonts w:hint="default" w:ascii="Times New Roman" w:hAnsi="Times New Roman" w:eastAsia="仿宋" w:cs="Times New Roman"/>
                <w:spacing w:val="3"/>
                <w:sz w:val="24"/>
                <w:szCs w:val="24"/>
                <w:highlight w:val="none"/>
                <w:lang w:val="en-US" w:eastAsia="zh-CN"/>
              </w:rPr>
              <w:t>，</w:t>
            </w:r>
            <w:r>
              <w:rPr>
                <w:rFonts w:hint="eastAsia" w:ascii="Times New Roman" w:hAnsi="Times New Roman" w:eastAsia="仿宋" w:cs="Times New Roman"/>
                <w:spacing w:val="3"/>
                <w:sz w:val="24"/>
                <w:szCs w:val="24"/>
                <w:highlight w:val="none"/>
                <w:lang w:val="en-US" w:eastAsia="zh-CN"/>
              </w:rPr>
              <w:t>为政府资产。</w:t>
            </w:r>
            <w:r>
              <w:rPr>
                <w:rFonts w:hint="default" w:ascii="Times New Roman" w:hAnsi="Times New Roman" w:eastAsia="仿宋" w:cs="Times New Roman"/>
                <w:spacing w:val="3"/>
                <w:sz w:val="24"/>
                <w:szCs w:val="24"/>
                <w:highlight w:val="none"/>
                <w:lang w:val="en-US" w:eastAsia="zh-CN"/>
              </w:rPr>
              <w:t>项目</w:t>
            </w:r>
            <w:r>
              <w:rPr>
                <w:rFonts w:hint="eastAsia" w:ascii="Times New Roman" w:hAnsi="Times New Roman" w:eastAsia="仿宋" w:cs="Times New Roman"/>
                <w:spacing w:val="3"/>
                <w:sz w:val="24"/>
                <w:szCs w:val="24"/>
                <w:highlight w:val="none"/>
                <w:lang w:val="en-US" w:eastAsia="zh-CN"/>
              </w:rPr>
              <w:t>落实</w:t>
            </w:r>
            <w:r>
              <w:rPr>
                <w:rFonts w:hint="default" w:ascii="Times New Roman" w:hAnsi="Times New Roman" w:eastAsia="仿宋" w:cs="Times New Roman"/>
                <w:spacing w:val="3"/>
                <w:sz w:val="24"/>
                <w:szCs w:val="24"/>
                <w:highlight w:val="none"/>
              </w:rPr>
              <w:t>后，</w:t>
            </w:r>
            <w:r>
              <w:rPr>
                <w:rFonts w:hint="eastAsia" w:ascii="Times New Roman" w:hAnsi="Times New Roman" w:eastAsia="仿宋" w:cs="Times New Roman"/>
                <w:spacing w:val="3"/>
                <w:sz w:val="24"/>
                <w:szCs w:val="24"/>
                <w:highlight w:val="none"/>
                <w:lang w:val="en-US" w:eastAsia="zh-CN"/>
              </w:rPr>
              <w:t>增加了梅岭片区群众文化活动空间，</w:t>
            </w:r>
            <w:r>
              <w:rPr>
                <w:rFonts w:hint="default" w:ascii="Times New Roman" w:hAnsi="Times New Roman" w:eastAsia="仿宋" w:cs="Times New Roman"/>
                <w:spacing w:val="3"/>
                <w:sz w:val="24"/>
                <w:szCs w:val="24"/>
                <w:highlight w:val="none"/>
              </w:rPr>
              <w:t>有利于</w:t>
            </w:r>
            <w:r>
              <w:rPr>
                <w:rFonts w:hint="eastAsia" w:ascii="Times New Roman" w:hAnsi="Times New Roman" w:eastAsia="仿宋" w:cs="Times New Roman"/>
                <w:spacing w:val="3"/>
                <w:sz w:val="24"/>
                <w:szCs w:val="24"/>
                <w:highlight w:val="none"/>
                <w:lang w:val="en-US" w:eastAsia="zh-CN"/>
              </w:rPr>
              <w:t>提高群众文化生活质量和居住幸福感</w:t>
            </w:r>
            <w:r>
              <w:rPr>
                <w:rFonts w:hint="default" w:ascii="Times New Roman" w:hAnsi="Times New Roman" w:eastAsia="仿宋" w:cs="Times New Roman"/>
                <w:spacing w:val="3"/>
                <w:sz w:val="24"/>
                <w:szCs w:val="24"/>
                <w:lang w:val="en-US" w:eastAsia="zh-CN"/>
              </w:rPr>
              <w:t>。</w:t>
            </w:r>
            <w:r>
              <w:rPr>
                <w:rFonts w:hint="default" w:ascii="Times New Roman" w:hAnsi="Times New Roman" w:eastAsia="仿宋" w:cs="Times New Roman"/>
                <w:spacing w:val="3"/>
                <w:sz w:val="24"/>
                <w:szCs w:val="24"/>
                <w:highlight w:val="none"/>
              </w:rPr>
              <w:t>南雄市珠玑镇群众活动综合体（梅岭片区）项目通过珠玑镇</w:t>
            </w:r>
            <w:r>
              <w:rPr>
                <w:rFonts w:hint="eastAsia" w:ascii="Times New Roman" w:hAnsi="Times New Roman" w:eastAsia="仿宋" w:cs="Times New Roman"/>
                <w:spacing w:val="3"/>
                <w:sz w:val="24"/>
                <w:szCs w:val="24"/>
                <w:highlight w:val="none"/>
                <w:lang w:val="en-US" w:eastAsia="zh-CN"/>
              </w:rPr>
              <w:t>党委</w:t>
            </w:r>
            <w:r>
              <w:rPr>
                <w:rFonts w:hint="default" w:ascii="Times New Roman" w:hAnsi="Times New Roman" w:eastAsia="仿宋" w:cs="Times New Roman"/>
                <w:spacing w:val="3"/>
                <w:sz w:val="24"/>
                <w:szCs w:val="24"/>
                <w:highlight w:val="none"/>
              </w:rPr>
              <w:t>会议，会议将该项目纳入2026年</w:t>
            </w:r>
            <w:r>
              <w:rPr>
                <w:rFonts w:hint="eastAsia" w:ascii="Times New Roman" w:hAnsi="Times New Roman" w:eastAsia="仿宋" w:cs="Times New Roman"/>
                <w:spacing w:val="3"/>
                <w:sz w:val="24"/>
                <w:szCs w:val="24"/>
                <w:highlight w:val="none"/>
                <w:lang w:val="en-US" w:eastAsia="zh-CN"/>
              </w:rPr>
              <w:t>南雄市</w:t>
            </w:r>
            <w:r>
              <w:rPr>
                <w:rFonts w:hint="default" w:ascii="Times New Roman" w:hAnsi="Times New Roman" w:eastAsia="仿宋" w:cs="Times New Roman"/>
                <w:spacing w:val="3"/>
                <w:sz w:val="24"/>
                <w:szCs w:val="24"/>
                <w:highlight w:val="none"/>
              </w:rPr>
              <w:t>“百千万</w:t>
            </w:r>
            <w:r>
              <w:rPr>
                <w:rFonts w:hint="eastAsia" w:ascii="Times New Roman" w:hAnsi="Times New Roman" w:eastAsia="仿宋" w:cs="Times New Roman"/>
                <w:spacing w:val="3"/>
                <w:sz w:val="24"/>
                <w:szCs w:val="24"/>
                <w:highlight w:val="none"/>
                <w:lang w:val="en-US" w:eastAsia="zh-CN"/>
              </w:rPr>
              <w:t>工程</w:t>
            </w:r>
            <w:r>
              <w:rPr>
                <w:rFonts w:hint="default" w:ascii="Times New Roman" w:hAnsi="Times New Roman" w:eastAsia="仿宋" w:cs="Times New Roman"/>
                <w:spacing w:val="3"/>
                <w:sz w:val="24"/>
                <w:szCs w:val="24"/>
                <w:highlight w:val="none"/>
              </w:rPr>
              <w:t>”重点项目清单</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使用东莞帮扶资金建设</w:t>
            </w:r>
            <w:r>
              <w:rPr>
                <w:rFonts w:hint="default" w:ascii="Times New Roman" w:hAnsi="Times New Roman" w:eastAsia="仿宋" w:cs="Times New Roman"/>
                <w:spacing w:val="3"/>
                <w:sz w:val="24"/>
                <w:szCs w:val="24"/>
                <w:highlight w:val="none"/>
              </w:rPr>
              <w:t>。</w:t>
            </w:r>
            <w:r>
              <w:rPr>
                <w:rFonts w:hint="default" w:ascii="Times New Roman" w:hAnsi="Times New Roman" w:eastAsia="仿宋" w:cs="Times New Roman"/>
                <w:spacing w:val="3"/>
                <w:sz w:val="24"/>
                <w:szCs w:val="24"/>
              </w:rPr>
              <w:t>项目选址位于</w:t>
            </w:r>
            <w:r>
              <w:rPr>
                <w:rFonts w:hint="default" w:ascii="Times New Roman" w:hAnsi="Times New Roman" w:eastAsia="仿宋" w:cs="Times New Roman"/>
                <w:spacing w:val="3"/>
                <w:sz w:val="24"/>
                <w:szCs w:val="24"/>
                <w:lang w:eastAsia="zh-CN"/>
              </w:rPr>
              <w:t>南雄市</w:t>
            </w:r>
            <w:r>
              <w:rPr>
                <w:rFonts w:hint="eastAsia" w:ascii="Times New Roman" w:hAnsi="Times New Roman" w:eastAsia="仿宋" w:cs="Times New Roman"/>
                <w:spacing w:val="3"/>
                <w:sz w:val="24"/>
                <w:szCs w:val="24"/>
                <w:lang w:val="en-US" w:eastAsia="zh-CN"/>
              </w:rPr>
              <w:t>珠玑</w:t>
            </w:r>
            <w:r>
              <w:rPr>
                <w:rFonts w:hint="default" w:ascii="Times New Roman" w:hAnsi="Times New Roman" w:eastAsia="仿宋" w:cs="Times New Roman"/>
                <w:spacing w:val="3"/>
                <w:sz w:val="24"/>
                <w:szCs w:val="24"/>
              </w:rPr>
              <w:t>镇</w:t>
            </w:r>
            <w:r>
              <w:rPr>
                <w:rFonts w:hint="eastAsia" w:ascii="Times New Roman" w:hAnsi="Times New Roman" w:eastAsia="仿宋" w:cs="Times New Roman"/>
                <w:spacing w:val="3"/>
                <w:sz w:val="24"/>
                <w:szCs w:val="24"/>
                <w:lang w:val="en-US" w:eastAsia="zh-CN"/>
              </w:rPr>
              <w:t>泰源</w:t>
            </w:r>
            <w:r>
              <w:rPr>
                <w:rFonts w:hint="default" w:ascii="Times New Roman" w:hAnsi="Times New Roman" w:eastAsia="仿宋" w:cs="Times New Roman"/>
                <w:spacing w:val="3"/>
                <w:sz w:val="24"/>
                <w:szCs w:val="24"/>
              </w:rPr>
              <w:t>村，总用地面积</w:t>
            </w:r>
            <w:r>
              <w:rPr>
                <w:rFonts w:hint="eastAsia" w:ascii="Times New Roman" w:hAnsi="Times New Roman" w:eastAsia="仿宋" w:cs="Times New Roman"/>
                <w:spacing w:val="3"/>
                <w:sz w:val="24"/>
                <w:szCs w:val="24"/>
                <w:lang w:val="en-US" w:eastAsia="zh-CN"/>
              </w:rPr>
              <w:t>0.5404</w:t>
            </w:r>
            <w:r>
              <w:rPr>
                <w:rFonts w:hint="default" w:ascii="Times New Roman" w:hAnsi="Times New Roman" w:eastAsia="仿宋" w:cs="Times New Roman"/>
                <w:spacing w:val="3"/>
                <w:sz w:val="24"/>
                <w:szCs w:val="24"/>
              </w:rPr>
              <w:t>公顷。</w:t>
            </w:r>
          </w:p>
          <w:p w14:paraId="35B37F80">
            <w:pPr>
              <w:spacing w:before="136" w:line="337" w:lineRule="auto"/>
              <w:ind w:left="123" w:firstLine="454"/>
              <w:jc w:val="both"/>
              <w:rPr>
                <w:rFonts w:hint="default" w:ascii="Times New Roman" w:hAnsi="Times New Roman" w:eastAsia="仿宋" w:cs="Times New Roman"/>
                <w:spacing w:val="-5"/>
                <w:sz w:val="24"/>
                <w:szCs w:val="24"/>
                <w14:textOutline w14:w="4394" w14:cap="flat" w14:cmpd="sng" w14:algn="ctr">
                  <w14:solidFill>
                    <w14:srgbClr w14:val="000000"/>
                  </w14:solidFill>
                  <w14:prstDash w14:val="solid"/>
                  <w14:miter w14:val="0"/>
                </w14:textOutline>
              </w:rPr>
            </w:pPr>
            <w:r>
              <w:rPr>
                <w:rFonts w:hint="default" w:ascii="Times New Roman" w:hAnsi="Times New Roman" w:eastAsia="仿宋" w:cs="Times New Roman"/>
                <w:spacing w:val="-5"/>
                <w:sz w:val="24"/>
                <w:szCs w:val="24"/>
                <w14:textOutline w14:w="4394" w14:cap="flat" w14:cmpd="sng" w14:algn="ctr">
                  <w14:solidFill>
                    <w14:srgbClr w14:val="000000"/>
                  </w14:solidFill>
                  <w14:prstDash w14:val="solid"/>
                  <w14:miter w14:val="0"/>
                </w14:textOutline>
              </w:rPr>
              <w:t>二、城镇开发边界外新增城镇建设用地规模落实使用的合理性</w:t>
            </w:r>
          </w:p>
          <w:p w14:paraId="32E28074">
            <w:pPr>
              <w:spacing w:before="136" w:line="337" w:lineRule="auto"/>
              <w:ind w:left="123" w:firstLine="454"/>
              <w:jc w:val="both"/>
              <w:rPr>
                <w:rFonts w:hint="default" w:ascii="Times New Roman" w:hAnsi="Times New Roman" w:eastAsia="仿宋" w:cs="Times New Roman"/>
                <w:spacing w:val="3"/>
                <w:sz w:val="24"/>
                <w:szCs w:val="24"/>
                <w:highlight w:val="yellow"/>
              </w:rPr>
            </w:pPr>
            <w:r>
              <w:rPr>
                <w:rFonts w:hint="default" w:ascii="Times New Roman" w:hAnsi="Times New Roman" w:eastAsia="仿宋" w:cs="Times New Roman"/>
                <w:spacing w:val="3"/>
                <w:sz w:val="24"/>
                <w:szCs w:val="24"/>
                <w:highlight w:val="none"/>
                <w:lang w:eastAsia="zh-CN"/>
              </w:rPr>
              <w:t>南雄市</w:t>
            </w:r>
            <w:r>
              <w:rPr>
                <w:rFonts w:hint="default" w:ascii="Times New Roman" w:hAnsi="Times New Roman" w:eastAsia="仿宋" w:cs="Times New Roman"/>
                <w:spacing w:val="3"/>
                <w:sz w:val="24"/>
                <w:szCs w:val="24"/>
                <w:highlight w:val="none"/>
              </w:rPr>
              <w:t>国土空间总体规划新增城镇建设用地规模共</w:t>
            </w:r>
            <w:r>
              <w:rPr>
                <w:rFonts w:hint="default" w:ascii="Times New Roman" w:hAnsi="Times New Roman" w:eastAsia="仿宋" w:cs="Times New Roman"/>
                <w:spacing w:val="3"/>
                <w:sz w:val="24"/>
                <w:szCs w:val="24"/>
                <w:highlight w:val="none"/>
                <w:lang w:val="en-US" w:eastAsia="zh-CN"/>
              </w:rPr>
              <w:t>645.6676</w:t>
            </w:r>
            <w:r>
              <w:rPr>
                <w:rFonts w:hint="default" w:ascii="Times New Roman" w:hAnsi="Times New Roman" w:eastAsia="仿宋" w:cs="Times New Roman"/>
                <w:spacing w:val="3"/>
                <w:sz w:val="24"/>
                <w:szCs w:val="24"/>
                <w:highlight w:val="none"/>
              </w:rPr>
              <w:t>公顷。本次新增城镇建设用地规模使用前，城镇开发边界外可</w:t>
            </w:r>
            <w:r>
              <w:rPr>
                <w:rFonts w:hint="eastAsia" w:ascii="Times New Roman" w:hAnsi="Times New Roman" w:eastAsia="仿宋" w:cs="Times New Roman"/>
                <w:spacing w:val="3"/>
                <w:sz w:val="24"/>
                <w:szCs w:val="24"/>
                <w:highlight w:val="none"/>
                <w:lang w:val="en-US" w:eastAsia="zh-CN"/>
              </w:rPr>
              <w:t>落实布局</w:t>
            </w:r>
            <w:r>
              <w:rPr>
                <w:rFonts w:hint="default" w:ascii="Times New Roman" w:hAnsi="Times New Roman" w:eastAsia="仿宋" w:cs="Times New Roman"/>
                <w:spacing w:val="3"/>
                <w:sz w:val="24"/>
                <w:szCs w:val="24"/>
                <w:highlight w:val="none"/>
              </w:rPr>
              <w:t>新增城镇建设用地规模</w:t>
            </w:r>
            <w:r>
              <w:rPr>
                <w:rFonts w:hint="eastAsia" w:ascii="Times New Roman" w:hAnsi="Times New Roman" w:eastAsia="仿宋" w:cs="Times New Roman"/>
                <w:spacing w:val="3"/>
                <w:sz w:val="24"/>
                <w:szCs w:val="24"/>
                <w:highlight w:val="none"/>
                <w:lang w:val="en-US" w:eastAsia="zh-CN"/>
              </w:rPr>
              <w:t>为172.9623公顷，其中</w:t>
            </w:r>
            <w:r>
              <w:rPr>
                <w:rFonts w:hint="default" w:ascii="Times New Roman" w:hAnsi="Times New Roman" w:eastAsia="仿宋" w:cs="Times New Roman"/>
                <w:spacing w:val="3"/>
                <w:sz w:val="24"/>
                <w:szCs w:val="24"/>
                <w:highlight w:val="none"/>
              </w:rPr>
              <w:t>城镇开发边界外</w:t>
            </w:r>
            <w:r>
              <w:rPr>
                <w:rFonts w:hint="eastAsia" w:ascii="Times New Roman" w:hAnsi="Times New Roman" w:eastAsia="仿宋" w:cs="Times New Roman"/>
                <w:spacing w:val="3"/>
                <w:sz w:val="24"/>
                <w:szCs w:val="24"/>
                <w:highlight w:val="none"/>
                <w:lang w:val="en-US" w:eastAsia="zh-CN"/>
              </w:rPr>
              <w:t>已落实布局规模为172.2454公顷，城镇开发边界外</w:t>
            </w:r>
            <w:r>
              <w:rPr>
                <w:rFonts w:hint="eastAsia" w:ascii="Times New Roman" w:hAnsi="Times New Roman" w:eastAsia="仿宋" w:cs="Times New Roman"/>
                <w:spacing w:val="3"/>
                <w:sz w:val="24"/>
                <w:szCs w:val="24"/>
                <w:highlight w:val="none"/>
              </w:rPr>
              <w:t>剩余可落实布局规</w:t>
            </w:r>
            <w:r>
              <w:rPr>
                <w:rFonts w:hint="eastAsia" w:ascii="Times New Roman" w:hAnsi="Times New Roman" w:eastAsia="仿宋" w:cs="Times New Roman"/>
                <w:spacing w:val="3"/>
                <w:sz w:val="24"/>
                <w:szCs w:val="24"/>
                <w:highlight w:val="none"/>
                <w:lang w:eastAsia="zh-CN"/>
              </w:rPr>
              <w:t>模为</w:t>
            </w:r>
            <w:r>
              <w:rPr>
                <w:rFonts w:hint="eastAsia" w:ascii="Times New Roman" w:hAnsi="Times New Roman" w:eastAsia="仿宋" w:cs="Times New Roman"/>
                <w:spacing w:val="3"/>
                <w:sz w:val="24"/>
                <w:szCs w:val="24"/>
                <w:highlight w:val="none"/>
                <w:lang w:val="en-US" w:eastAsia="zh-CN"/>
              </w:rPr>
              <w:t>0.7169公顷</w:t>
            </w:r>
            <w:r>
              <w:rPr>
                <w:rFonts w:hint="default" w:ascii="Times New Roman" w:hAnsi="Times New Roman" w:eastAsia="仿宋" w:cs="Times New Roman"/>
                <w:spacing w:val="3"/>
                <w:sz w:val="24"/>
                <w:szCs w:val="24"/>
                <w:highlight w:val="none"/>
              </w:rPr>
              <w:t>。</w:t>
            </w:r>
          </w:p>
          <w:p w14:paraId="36C01701">
            <w:pPr>
              <w:spacing w:before="136" w:line="337" w:lineRule="auto"/>
              <w:ind w:left="123" w:firstLine="454"/>
              <w:jc w:val="both"/>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由于</w:t>
            </w:r>
            <w:r>
              <w:rPr>
                <w:rFonts w:hint="eastAsia" w:ascii="Times New Roman" w:hAnsi="Times New Roman" w:eastAsia="仿宋" w:cs="Times New Roman"/>
                <w:spacing w:val="3"/>
                <w:sz w:val="24"/>
                <w:szCs w:val="24"/>
                <w:highlight w:val="none"/>
              </w:rPr>
              <w:t>城镇开发边界外规划布局规模</w:t>
            </w:r>
            <w:r>
              <w:rPr>
                <w:rFonts w:hint="eastAsia" w:ascii="Times New Roman" w:hAnsi="Times New Roman" w:eastAsia="仿宋" w:cs="Times New Roman"/>
                <w:spacing w:val="3"/>
                <w:sz w:val="24"/>
                <w:szCs w:val="24"/>
                <w:highlight w:val="none"/>
                <w:lang w:val="en-US" w:eastAsia="zh-CN"/>
              </w:rPr>
              <w:t>超过</w:t>
            </w:r>
            <w:r>
              <w:rPr>
                <w:rFonts w:hint="default" w:ascii="Times New Roman" w:hAnsi="Times New Roman" w:eastAsia="仿宋" w:cs="Times New Roman"/>
                <w:spacing w:val="3"/>
                <w:sz w:val="24"/>
                <w:szCs w:val="24"/>
                <w:highlight w:val="none"/>
              </w:rPr>
              <w:t>城镇开发边界外可规划新增城镇建设用地规模</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本次拟划定调出地块WTC01、WTC02，总面积3.1110公顷。其中地块WTC01位于南雄市主田镇大坝村，面积共计1.6630公顷，调整前规划用地用海为工业用地，调整后规划用地用海为林地1.6630公顷，调整前用地用海规划分区为工业发展区，调整后用地用海规划分区为林业</w:t>
            </w:r>
            <w:r>
              <w:rPr>
                <w:rFonts w:hint="eastAsia" w:ascii="Times New Roman" w:hAnsi="Times New Roman" w:eastAsia="仿宋" w:cs="Times New Roman"/>
                <w:spacing w:val="3"/>
                <w:sz w:val="24"/>
                <w:szCs w:val="24"/>
                <w:highlight w:val="none"/>
              </w:rPr>
              <w:t>发展区</w:t>
            </w:r>
            <w:r>
              <w:rPr>
                <w:rFonts w:hint="eastAsia" w:ascii="Times New Roman" w:hAnsi="Times New Roman" w:eastAsia="仿宋" w:cs="Times New Roman"/>
                <w:spacing w:val="3"/>
                <w:sz w:val="24"/>
                <w:szCs w:val="24"/>
                <w:highlight w:val="none"/>
                <w:lang w:val="en-US" w:eastAsia="zh-CN"/>
              </w:rPr>
              <w:t>；地块WTC02位于南雄市澜河镇葛坪村，面积共计1.4481公顷，调整前规划用地用海为工业用地，调整后规划用地用海为林地，调整前用地用海规划分区为工业发展</w:t>
            </w:r>
            <w:r>
              <w:rPr>
                <w:rFonts w:hint="eastAsia" w:ascii="Times New Roman" w:hAnsi="Times New Roman" w:eastAsia="仿宋" w:cs="Times New Roman"/>
                <w:spacing w:val="3"/>
                <w:sz w:val="24"/>
                <w:szCs w:val="24"/>
                <w:highlight w:val="none"/>
              </w:rPr>
              <w:t>区</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调整后用地用海规划分区为林业发展区。本次调出地块均不涉及最新年度变更调查的现状建设用地，不涉及非县级数据库的规划新增城镇建设用地。</w:t>
            </w:r>
          </w:p>
          <w:p w14:paraId="513FEDD5">
            <w:pPr>
              <w:spacing w:before="136" w:line="337" w:lineRule="auto"/>
              <w:ind w:left="123" w:firstLine="454"/>
              <w:jc w:val="both"/>
              <w:rPr>
                <w:rFonts w:hint="default" w:ascii="Times New Roman" w:hAnsi="Times New Roman" w:eastAsia="仿宋" w:cs="Times New Roman"/>
                <w:spacing w:val="3"/>
                <w:sz w:val="24"/>
                <w:szCs w:val="24"/>
                <w:highlight w:val="none"/>
              </w:rPr>
            </w:pPr>
            <w:r>
              <w:rPr>
                <w:rFonts w:hint="default" w:ascii="Times New Roman" w:hAnsi="Times New Roman" w:eastAsia="仿宋" w:cs="Times New Roman"/>
                <w:spacing w:val="3"/>
                <w:sz w:val="24"/>
                <w:szCs w:val="24"/>
                <w:highlight w:val="none"/>
              </w:rPr>
              <w:t>本次新增城镇建设用地规模使用后，</w:t>
            </w:r>
            <w:r>
              <w:rPr>
                <w:rFonts w:hint="eastAsia" w:ascii="Times New Roman" w:hAnsi="Times New Roman" w:eastAsia="仿宋" w:cs="Times New Roman"/>
                <w:spacing w:val="3"/>
                <w:sz w:val="24"/>
                <w:szCs w:val="24"/>
                <w:highlight w:val="none"/>
                <w:lang w:val="en-US" w:eastAsia="zh-CN"/>
              </w:rPr>
              <w:t>城镇开发边界外规划布局规模调出3.1110公顷，调入1.7995公顷，</w:t>
            </w:r>
            <w:r>
              <w:rPr>
                <w:rFonts w:hint="default" w:ascii="Times New Roman" w:hAnsi="Times New Roman" w:eastAsia="仿宋" w:cs="Times New Roman"/>
                <w:spacing w:val="3"/>
                <w:sz w:val="24"/>
                <w:szCs w:val="24"/>
                <w:highlight w:val="none"/>
              </w:rPr>
              <w:t>城镇开发边界外</w:t>
            </w:r>
            <w:r>
              <w:rPr>
                <w:rFonts w:hint="eastAsia" w:ascii="Times New Roman" w:hAnsi="Times New Roman" w:eastAsia="仿宋" w:cs="Times New Roman"/>
                <w:spacing w:val="3"/>
                <w:sz w:val="24"/>
                <w:szCs w:val="24"/>
                <w:highlight w:val="none"/>
                <w:lang w:val="en-US" w:eastAsia="zh-CN"/>
              </w:rPr>
              <w:t>累积落实布局规模</w:t>
            </w:r>
            <w:r>
              <w:rPr>
                <w:rFonts w:hint="eastAsia" w:ascii="Times New Roman" w:hAnsi="Times New Roman" w:eastAsia="仿宋" w:cs="Times New Roman"/>
                <w:spacing w:val="3"/>
                <w:sz w:val="24"/>
                <w:szCs w:val="24"/>
                <w:highlight w:val="none"/>
                <w:lang w:eastAsia="zh-CN"/>
              </w:rPr>
              <w:t>170.9339</w:t>
            </w:r>
            <w:r>
              <w:rPr>
                <w:rFonts w:hint="eastAsia" w:ascii="Times New Roman" w:hAnsi="Times New Roman" w:eastAsia="仿宋" w:cs="Times New Roman"/>
                <w:spacing w:val="3"/>
                <w:sz w:val="24"/>
                <w:szCs w:val="24"/>
                <w:highlight w:val="none"/>
                <w:lang w:val="en-US" w:eastAsia="zh-CN"/>
              </w:rPr>
              <w:t>公顷</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剩余可落实布局规模2.0285公顷</w:t>
            </w:r>
            <w:r>
              <w:rPr>
                <w:rFonts w:hint="default" w:ascii="Times New Roman" w:hAnsi="Times New Roman" w:eastAsia="仿宋" w:cs="Times New Roman"/>
                <w:spacing w:val="3"/>
                <w:sz w:val="24"/>
                <w:szCs w:val="24"/>
                <w:highlight w:val="none"/>
              </w:rPr>
              <w:t>。</w:t>
            </w:r>
          </w:p>
          <w:p w14:paraId="6A19459D">
            <w:pPr>
              <w:spacing w:before="136" w:line="337" w:lineRule="auto"/>
              <w:ind w:left="123" w:firstLine="454"/>
              <w:jc w:val="both"/>
              <w:rPr>
                <w:rFonts w:hint="default" w:ascii="Times New Roman" w:hAnsi="Times New Roman" w:eastAsia="仿宋" w:cs="Times New Roman"/>
                <w:spacing w:val="3"/>
                <w:sz w:val="24"/>
                <w:szCs w:val="24"/>
              </w:rPr>
            </w:pPr>
            <w:r>
              <w:rPr>
                <w:rFonts w:hint="default" w:ascii="Times New Roman" w:hAnsi="Times New Roman" w:eastAsia="仿宋" w:cs="Times New Roman"/>
                <w:spacing w:val="3"/>
                <w:sz w:val="24"/>
                <w:szCs w:val="24"/>
              </w:rPr>
              <w:t>(一)</w:t>
            </w:r>
            <w:r>
              <w:rPr>
                <w:rFonts w:hint="eastAsia" w:ascii="Times New Roman" w:hAnsi="Times New Roman" w:eastAsia="仿宋" w:cs="Times New Roman"/>
                <w:spacing w:val="3"/>
                <w:sz w:val="24"/>
                <w:szCs w:val="24"/>
                <w:lang w:val="en-US" w:eastAsia="zh-CN"/>
              </w:rPr>
              <w:t>政策符合性</w:t>
            </w:r>
          </w:p>
          <w:p w14:paraId="4D02C716">
            <w:pPr>
              <w:spacing w:before="136" w:line="337" w:lineRule="auto"/>
              <w:ind w:left="123" w:firstLine="454"/>
              <w:jc w:val="both"/>
              <w:rPr>
                <w:rFonts w:hint="default" w:ascii="Times New Roman" w:hAnsi="Times New Roman" w:eastAsia="仿宋" w:cs="Times New Roman"/>
                <w:spacing w:val="22"/>
                <w:sz w:val="24"/>
                <w:szCs w:val="24"/>
              </w:rPr>
            </w:pPr>
            <w:r>
              <w:rPr>
                <w:rFonts w:hint="eastAsia" w:ascii="Times New Roman" w:hAnsi="Times New Roman" w:eastAsia="仿宋" w:cs="Times New Roman"/>
                <w:spacing w:val="22"/>
                <w:sz w:val="24"/>
                <w:szCs w:val="24"/>
                <w:lang w:val="en-US" w:eastAsia="zh-CN"/>
              </w:rPr>
              <w:t>1</w:t>
            </w:r>
            <w:r>
              <w:rPr>
                <w:rFonts w:hint="default" w:ascii="Times New Roman" w:hAnsi="Times New Roman" w:eastAsia="仿宋" w:cs="Times New Roman"/>
                <w:spacing w:val="22"/>
                <w:sz w:val="24"/>
                <w:szCs w:val="24"/>
              </w:rPr>
              <w:t>.</w:t>
            </w:r>
            <w:r>
              <w:rPr>
                <w:rFonts w:hint="eastAsia" w:ascii="Times New Roman" w:hAnsi="Times New Roman" w:eastAsia="仿宋" w:cs="Times New Roman"/>
                <w:spacing w:val="22"/>
                <w:sz w:val="24"/>
                <w:szCs w:val="24"/>
                <w:lang w:eastAsia="zh-CN"/>
              </w:rPr>
              <w:t>珠玑古巷</w:t>
            </w:r>
            <w:r>
              <w:rPr>
                <w:rFonts w:hint="eastAsia" w:ascii="Times New Roman" w:hAnsi="Times New Roman" w:eastAsia="仿宋" w:cs="Times New Roman"/>
                <w:spacing w:val="22"/>
                <w:sz w:val="24"/>
                <w:szCs w:val="24"/>
                <w:lang w:val="en-US" w:eastAsia="zh-CN"/>
              </w:rPr>
              <w:t>文化配套设施</w:t>
            </w:r>
            <w:r>
              <w:rPr>
                <w:rFonts w:hint="eastAsia" w:ascii="Times New Roman" w:hAnsi="Times New Roman" w:eastAsia="仿宋" w:cs="Times New Roman"/>
                <w:spacing w:val="22"/>
                <w:sz w:val="24"/>
                <w:szCs w:val="24"/>
                <w:lang w:eastAsia="zh-CN"/>
              </w:rPr>
              <w:t>项目</w:t>
            </w:r>
          </w:p>
          <w:p w14:paraId="10C2DD5F">
            <w:pPr>
              <w:spacing w:before="136" w:line="337" w:lineRule="auto"/>
              <w:ind w:left="123" w:firstLine="454"/>
              <w:jc w:val="both"/>
              <w:rPr>
                <w:rFonts w:hint="default" w:ascii="Times New Roman" w:hAnsi="Times New Roman" w:eastAsia="仿宋" w:cs="Times New Roman"/>
                <w:spacing w:val="22"/>
                <w:sz w:val="24"/>
                <w:szCs w:val="24"/>
              </w:rPr>
            </w:pPr>
            <w:r>
              <w:rPr>
                <w:rFonts w:hint="eastAsia" w:ascii="Times New Roman" w:hAnsi="Times New Roman" w:eastAsia="仿宋" w:cs="Times New Roman"/>
                <w:spacing w:val="22"/>
                <w:sz w:val="24"/>
                <w:szCs w:val="24"/>
                <w:lang w:eastAsia="zh-CN"/>
              </w:rPr>
              <w:t>珠玑古巷</w:t>
            </w:r>
            <w:r>
              <w:rPr>
                <w:rFonts w:hint="eastAsia" w:ascii="Times New Roman" w:hAnsi="Times New Roman" w:eastAsia="仿宋" w:cs="Times New Roman"/>
                <w:spacing w:val="22"/>
                <w:sz w:val="24"/>
                <w:szCs w:val="24"/>
                <w:lang w:val="en-US" w:eastAsia="zh-CN"/>
              </w:rPr>
              <w:t>文化配套设施</w:t>
            </w:r>
            <w:r>
              <w:rPr>
                <w:rFonts w:hint="eastAsia" w:ascii="Times New Roman" w:hAnsi="Times New Roman" w:eastAsia="仿宋" w:cs="Times New Roman"/>
                <w:spacing w:val="22"/>
                <w:sz w:val="24"/>
                <w:szCs w:val="24"/>
                <w:lang w:eastAsia="zh-CN"/>
              </w:rPr>
              <w:t>项目</w:t>
            </w:r>
            <w:r>
              <w:rPr>
                <w:rFonts w:hint="default" w:ascii="Times New Roman" w:hAnsi="Times New Roman" w:eastAsia="仿宋" w:cs="Times New Roman"/>
                <w:spacing w:val="3"/>
                <w:sz w:val="24"/>
                <w:szCs w:val="24"/>
              </w:rPr>
              <w:t>作为</w:t>
            </w:r>
            <w:r>
              <w:rPr>
                <w:rFonts w:hint="default" w:ascii="Times New Roman" w:hAnsi="Times New Roman" w:eastAsia="仿宋" w:cs="Times New Roman"/>
                <w:spacing w:val="3"/>
                <w:sz w:val="24"/>
                <w:szCs w:val="24"/>
                <w:highlight w:val="none"/>
              </w:rPr>
              <w:t>南雄市珠玑古巷保护活化利用项目中的人居环境整治项目</w:t>
            </w:r>
            <w:r>
              <w:rPr>
                <w:rFonts w:hint="eastAsia" w:ascii="Times New Roman" w:hAnsi="Times New Roman" w:eastAsia="仿宋" w:cs="Times New Roman"/>
                <w:spacing w:val="3"/>
                <w:sz w:val="24"/>
                <w:szCs w:val="24"/>
                <w:highlight w:val="none"/>
                <w:lang w:val="en-US" w:eastAsia="zh-CN"/>
              </w:rPr>
              <w:t>和</w:t>
            </w:r>
            <w:r>
              <w:rPr>
                <w:rFonts w:hint="default" w:ascii="Times New Roman" w:hAnsi="Times New Roman" w:eastAsia="仿宋" w:cs="Times New Roman"/>
                <w:spacing w:val="3"/>
                <w:sz w:val="24"/>
                <w:szCs w:val="24"/>
                <w:highlight w:val="none"/>
              </w:rPr>
              <w:t>市政道路工程建设项目</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强化</w:t>
            </w:r>
            <w:r>
              <w:rPr>
                <w:rFonts w:hint="default" w:ascii="Times New Roman" w:hAnsi="Times New Roman" w:eastAsia="仿宋" w:cs="Times New Roman"/>
                <w:spacing w:val="3"/>
                <w:sz w:val="24"/>
                <w:szCs w:val="24"/>
                <w:highlight w:val="none"/>
              </w:rPr>
              <w:t>珠玑古巷路网结构薄弱，</w:t>
            </w:r>
            <w:r>
              <w:rPr>
                <w:rFonts w:hint="eastAsia" w:ascii="Times New Roman" w:hAnsi="Times New Roman" w:eastAsia="仿宋" w:cs="Times New Roman"/>
                <w:spacing w:val="3"/>
                <w:sz w:val="24"/>
                <w:szCs w:val="24"/>
                <w:highlight w:val="none"/>
                <w:lang w:val="en-US" w:eastAsia="zh-CN"/>
              </w:rPr>
              <w:t>满足旅游高峰期</w:t>
            </w:r>
            <w:r>
              <w:rPr>
                <w:rFonts w:hint="default" w:ascii="Times New Roman" w:hAnsi="Times New Roman" w:eastAsia="仿宋" w:cs="Times New Roman"/>
                <w:spacing w:val="3"/>
                <w:sz w:val="24"/>
                <w:szCs w:val="24"/>
                <w:highlight w:val="none"/>
              </w:rPr>
              <w:t>通行需求</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rPr>
              <w:t>增加</w:t>
            </w:r>
            <w:r>
              <w:rPr>
                <w:rFonts w:hint="eastAsia" w:ascii="Times New Roman" w:hAnsi="Times New Roman" w:eastAsia="仿宋" w:cs="Times New Roman"/>
                <w:spacing w:val="3"/>
                <w:sz w:val="24"/>
                <w:szCs w:val="24"/>
                <w:highlight w:val="none"/>
                <w:lang w:val="en-US" w:eastAsia="zh-CN"/>
              </w:rPr>
              <w:t>了</w:t>
            </w:r>
            <w:r>
              <w:rPr>
                <w:rFonts w:hint="eastAsia" w:ascii="Times New Roman" w:hAnsi="Times New Roman" w:eastAsia="仿宋" w:cs="Times New Roman"/>
                <w:spacing w:val="3"/>
                <w:sz w:val="24"/>
                <w:szCs w:val="24"/>
                <w:highlight w:val="none"/>
              </w:rPr>
              <w:t>珠玑古巷</w:t>
            </w:r>
            <w:r>
              <w:rPr>
                <w:rFonts w:hint="eastAsia" w:ascii="Times New Roman" w:hAnsi="Times New Roman" w:eastAsia="仿宋" w:cs="Times New Roman"/>
                <w:spacing w:val="3"/>
                <w:sz w:val="24"/>
                <w:szCs w:val="24"/>
                <w:highlight w:val="none"/>
                <w:lang w:eastAsia="zh-CN"/>
              </w:rPr>
              <w:t>开敞空间</w:t>
            </w:r>
            <w:r>
              <w:rPr>
                <w:rFonts w:hint="eastAsia" w:ascii="Times New Roman" w:hAnsi="Times New Roman" w:eastAsia="仿宋" w:cs="Times New Roman"/>
                <w:spacing w:val="3"/>
                <w:sz w:val="24"/>
                <w:szCs w:val="24"/>
                <w:highlight w:val="none"/>
              </w:rPr>
              <w:t>和文化活动场所，提升游客观赏游玩的体验感，营造良好的文化环境</w:t>
            </w:r>
            <w:r>
              <w:rPr>
                <w:rFonts w:hint="default" w:ascii="Times New Roman" w:hAnsi="Times New Roman" w:eastAsia="仿宋" w:cs="Times New Roman"/>
                <w:spacing w:val="3"/>
                <w:sz w:val="24"/>
                <w:szCs w:val="24"/>
              </w:rPr>
              <w:t>。</w:t>
            </w:r>
            <w:r>
              <w:rPr>
                <w:rFonts w:hint="eastAsia" w:ascii="Times New Roman" w:hAnsi="Times New Roman" w:eastAsia="仿宋" w:cs="Times New Roman"/>
                <w:spacing w:val="3"/>
                <w:sz w:val="24"/>
                <w:szCs w:val="24"/>
                <w:lang w:val="en-US" w:eastAsia="zh-CN"/>
              </w:rPr>
              <w:t>由于</w:t>
            </w:r>
            <w:r>
              <w:rPr>
                <w:rFonts w:hint="eastAsia" w:ascii="Times New Roman" w:hAnsi="Times New Roman" w:eastAsia="仿宋" w:cs="Times New Roman"/>
                <w:spacing w:val="3"/>
                <w:sz w:val="24"/>
                <w:szCs w:val="24"/>
              </w:rPr>
              <w:t>城镇开发边界内均为祠堂，</w:t>
            </w:r>
            <w:r>
              <w:rPr>
                <w:rFonts w:hint="eastAsia" w:ascii="Times New Roman" w:hAnsi="Times New Roman" w:eastAsia="仿宋" w:cs="Times New Roman"/>
                <w:spacing w:val="3"/>
                <w:sz w:val="24"/>
                <w:szCs w:val="24"/>
                <w:lang w:val="en-US" w:eastAsia="zh-CN"/>
              </w:rPr>
              <w:t>旧</w:t>
            </w:r>
            <w:r>
              <w:rPr>
                <w:rFonts w:hint="eastAsia" w:ascii="Times New Roman" w:hAnsi="Times New Roman" w:eastAsia="仿宋" w:cs="Times New Roman"/>
                <w:spacing w:val="3"/>
                <w:sz w:val="24"/>
                <w:szCs w:val="24"/>
              </w:rPr>
              <w:t>建筑</w:t>
            </w:r>
            <w:r>
              <w:rPr>
                <w:rFonts w:hint="eastAsia" w:ascii="Times New Roman" w:hAnsi="Times New Roman" w:eastAsia="仿宋" w:cs="Times New Roman"/>
                <w:spacing w:val="3"/>
                <w:sz w:val="24"/>
                <w:szCs w:val="24"/>
                <w:lang w:val="en-US" w:eastAsia="zh-CN"/>
              </w:rPr>
              <w:t>，</w:t>
            </w:r>
            <w:r>
              <w:rPr>
                <w:rFonts w:hint="eastAsia" w:ascii="Times New Roman" w:hAnsi="Times New Roman" w:eastAsia="仿宋" w:cs="Times New Roman"/>
                <w:spacing w:val="3"/>
                <w:sz w:val="24"/>
                <w:szCs w:val="24"/>
              </w:rPr>
              <w:t>故该项目</w:t>
            </w:r>
            <w:r>
              <w:rPr>
                <w:rFonts w:hint="eastAsia" w:ascii="Times New Roman" w:hAnsi="Times New Roman" w:eastAsia="仿宋" w:cs="Times New Roman"/>
                <w:spacing w:val="3"/>
                <w:sz w:val="24"/>
                <w:szCs w:val="24"/>
                <w:lang w:val="en-US" w:eastAsia="zh-CN"/>
              </w:rPr>
              <w:t>范围选址于城镇开发边界外。</w:t>
            </w:r>
            <w:r>
              <w:rPr>
                <w:rFonts w:hint="default" w:ascii="Times New Roman" w:hAnsi="Times New Roman" w:eastAsia="仿宋" w:cs="Times New Roman"/>
                <w:spacing w:val="3"/>
                <w:sz w:val="24"/>
                <w:szCs w:val="24"/>
              </w:rPr>
              <w:t>项目不属于开发区和产业园区项目，不属于城镇居住用地。</w:t>
            </w:r>
          </w:p>
          <w:p w14:paraId="6C0ECFA2">
            <w:pPr>
              <w:spacing w:before="136" w:line="337" w:lineRule="auto"/>
              <w:ind w:left="123" w:firstLine="454"/>
              <w:jc w:val="both"/>
              <w:rPr>
                <w:rFonts w:hint="default" w:ascii="Times New Roman" w:hAnsi="Times New Roman" w:eastAsia="仿宋" w:cs="Times New Roman"/>
                <w:spacing w:val="22"/>
                <w:sz w:val="24"/>
                <w:szCs w:val="24"/>
              </w:rPr>
            </w:pPr>
            <w:r>
              <w:rPr>
                <w:rFonts w:hint="default" w:ascii="Times New Roman" w:hAnsi="Times New Roman" w:eastAsia="仿宋" w:cs="Times New Roman"/>
                <w:spacing w:val="22"/>
                <w:sz w:val="24"/>
                <w:szCs w:val="24"/>
                <w:lang w:eastAsia="zh-CN"/>
              </w:rPr>
              <w:t>南雄市</w:t>
            </w:r>
            <w:r>
              <w:rPr>
                <w:rFonts w:hint="eastAsia" w:ascii="Times New Roman" w:hAnsi="Times New Roman" w:eastAsia="仿宋" w:cs="Times New Roman"/>
                <w:spacing w:val="22"/>
                <w:sz w:val="24"/>
                <w:szCs w:val="24"/>
                <w:lang w:val="en-US" w:eastAsia="zh-CN"/>
              </w:rPr>
              <w:t>文化广电旅游体育局</w:t>
            </w:r>
            <w:r>
              <w:rPr>
                <w:rFonts w:hint="default" w:ascii="Times New Roman" w:hAnsi="Times New Roman" w:eastAsia="仿宋" w:cs="Times New Roman"/>
                <w:spacing w:val="22"/>
                <w:sz w:val="24"/>
                <w:szCs w:val="24"/>
              </w:rPr>
              <w:t>已出具项目符合《城镇开发边界外布局建设项目准入目录（试行）》的认定意见，属于《广东省自然资源厅关于明确市县级国土空间总体规划数据库启用条件及使用规则的通知》（粤自然资函〔</w:t>
            </w:r>
            <w:r>
              <w:rPr>
                <w:rFonts w:ascii="Times New Roman" w:hAnsi="Times New Roman" w:eastAsia="仿宋" w:cs="Times New Roman"/>
                <w:spacing w:val="22"/>
                <w:sz w:val="24"/>
                <w:szCs w:val="24"/>
              </w:rPr>
              <w:t>2023</w:t>
            </w:r>
            <w:r>
              <w:rPr>
                <w:rFonts w:hint="default" w:ascii="Times New Roman" w:hAnsi="Times New Roman" w:eastAsia="仿宋" w:cs="Times New Roman"/>
                <w:spacing w:val="22"/>
                <w:sz w:val="24"/>
                <w:szCs w:val="24"/>
              </w:rPr>
              <w:t>〕</w:t>
            </w:r>
            <w:r>
              <w:rPr>
                <w:rFonts w:ascii="Times New Roman" w:hAnsi="Times New Roman" w:eastAsia="仿宋" w:cs="Times New Roman"/>
                <w:spacing w:val="22"/>
                <w:sz w:val="24"/>
                <w:szCs w:val="24"/>
              </w:rPr>
              <w:t>630</w:t>
            </w:r>
            <w:r>
              <w:rPr>
                <w:rFonts w:hint="default" w:ascii="Times New Roman" w:hAnsi="Times New Roman" w:eastAsia="仿宋" w:cs="Times New Roman"/>
                <w:spacing w:val="22"/>
                <w:sz w:val="24"/>
                <w:szCs w:val="24"/>
              </w:rPr>
              <w:t>号）中《城镇开发边界外布局建设项目准入目录（试行）》的第</w:t>
            </w:r>
            <w:r>
              <w:rPr>
                <w:rFonts w:hint="default" w:ascii="Times New Roman" w:hAnsi="Times New Roman" w:eastAsia="仿宋" w:cs="Times New Roman"/>
                <w:spacing w:val="22"/>
                <w:sz w:val="24"/>
                <w:szCs w:val="24"/>
                <w:lang w:val="en-US" w:eastAsia="zh-CN"/>
              </w:rPr>
              <w:t>二</w:t>
            </w:r>
            <w:r>
              <w:rPr>
                <w:rFonts w:hint="default" w:ascii="Times New Roman" w:hAnsi="Times New Roman" w:eastAsia="仿宋" w:cs="Times New Roman"/>
                <w:spacing w:val="22"/>
                <w:sz w:val="24"/>
                <w:szCs w:val="24"/>
              </w:rPr>
              <w:t>种情形，即文化设施。</w:t>
            </w:r>
          </w:p>
          <w:p w14:paraId="7D925B95">
            <w:pPr>
              <w:spacing w:before="136" w:line="337" w:lineRule="auto"/>
              <w:ind w:left="123" w:firstLine="454"/>
              <w:jc w:val="both"/>
              <w:rPr>
                <w:rFonts w:hint="default" w:ascii="Times New Roman" w:hAnsi="Times New Roman" w:eastAsia="仿宋" w:cs="Times New Roman"/>
                <w:spacing w:val="22"/>
                <w:sz w:val="24"/>
                <w:szCs w:val="24"/>
              </w:rPr>
            </w:pPr>
            <w:r>
              <w:rPr>
                <w:rFonts w:hint="default" w:ascii="Times New Roman" w:hAnsi="Times New Roman" w:eastAsia="仿宋" w:cs="Times New Roman"/>
                <w:spacing w:val="22"/>
                <w:sz w:val="24"/>
                <w:szCs w:val="24"/>
              </w:rPr>
              <w:t>根据《自然资源要素支撑产业高质量发展指导目录（2024年本）》，</w:t>
            </w:r>
            <w:r>
              <w:rPr>
                <w:rFonts w:hint="eastAsia" w:ascii="Times New Roman" w:hAnsi="Times New Roman" w:eastAsia="仿宋" w:cs="Times New Roman"/>
                <w:spacing w:val="22"/>
                <w:sz w:val="24"/>
                <w:szCs w:val="24"/>
              </w:rPr>
              <w:t>珠玑古巷文化配套设施项目</w:t>
            </w:r>
            <w:r>
              <w:rPr>
                <w:rFonts w:hint="default" w:ascii="Times New Roman" w:hAnsi="Times New Roman" w:eastAsia="仿宋" w:cs="Times New Roman"/>
                <w:spacing w:val="22"/>
                <w:sz w:val="24"/>
                <w:szCs w:val="24"/>
              </w:rPr>
              <w:t>不属于限制或禁止类项目，项目建设符合供地政策。根据《产业结构调整指导目录（2024年本）》，</w:t>
            </w:r>
            <w:r>
              <w:rPr>
                <w:rFonts w:hint="eastAsia" w:ascii="Times New Roman" w:hAnsi="Times New Roman" w:eastAsia="仿宋" w:cs="Times New Roman"/>
                <w:spacing w:val="22"/>
                <w:sz w:val="24"/>
                <w:szCs w:val="24"/>
                <w:lang w:eastAsia="zh-CN"/>
              </w:rPr>
              <w:t>珠玑古巷市政道路工程项目</w:t>
            </w:r>
            <w:r>
              <w:rPr>
                <w:rFonts w:hint="default" w:ascii="Times New Roman" w:hAnsi="Times New Roman" w:eastAsia="仿宋" w:cs="Times New Roman"/>
                <w:spacing w:val="22"/>
                <w:sz w:val="24"/>
                <w:szCs w:val="24"/>
              </w:rPr>
              <w:t>属于鼓励类的</w:t>
            </w:r>
            <w:r>
              <w:rPr>
                <w:rFonts w:hint="default" w:ascii="Times New Roman" w:hAnsi="Times New Roman" w:eastAsia="仿宋" w:cs="Times New Roman"/>
                <w:spacing w:val="22"/>
                <w:sz w:val="24"/>
                <w:szCs w:val="24"/>
                <w:lang w:val="en-US" w:eastAsia="zh-CN"/>
              </w:rPr>
              <w:t>文化</w:t>
            </w:r>
            <w:r>
              <w:rPr>
                <w:rFonts w:hint="default" w:ascii="Times New Roman" w:hAnsi="Times New Roman" w:eastAsia="仿宋" w:cs="Times New Roman"/>
                <w:spacing w:val="22"/>
                <w:sz w:val="24"/>
                <w:szCs w:val="24"/>
              </w:rPr>
              <w:t>项目，项目建设符合产业政策。</w:t>
            </w:r>
          </w:p>
          <w:p w14:paraId="3D7A2FD2">
            <w:pPr>
              <w:spacing w:before="136" w:line="337" w:lineRule="auto"/>
              <w:ind w:left="123" w:firstLine="454"/>
              <w:jc w:val="both"/>
              <w:rPr>
                <w:rFonts w:hint="default" w:ascii="Times New Roman" w:hAnsi="Times New Roman" w:eastAsia="仿宋" w:cs="Times New Roman"/>
                <w:spacing w:val="22"/>
                <w:sz w:val="24"/>
                <w:szCs w:val="24"/>
              </w:rPr>
            </w:pPr>
            <w:r>
              <w:rPr>
                <w:rFonts w:hint="eastAsia" w:ascii="Times New Roman" w:hAnsi="Times New Roman" w:eastAsia="仿宋" w:cs="Times New Roman"/>
                <w:spacing w:val="22"/>
                <w:sz w:val="24"/>
                <w:szCs w:val="24"/>
                <w:lang w:val="en-US" w:eastAsia="zh-CN"/>
              </w:rPr>
              <w:t>2</w:t>
            </w:r>
            <w:r>
              <w:rPr>
                <w:rFonts w:hint="default" w:ascii="Times New Roman" w:hAnsi="Times New Roman" w:eastAsia="仿宋" w:cs="Times New Roman"/>
                <w:spacing w:val="22"/>
                <w:sz w:val="24"/>
                <w:szCs w:val="24"/>
              </w:rPr>
              <w:t>.南雄市珠玑镇群众活动综合体（梅岭片区）项目</w:t>
            </w:r>
          </w:p>
          <w:p w14:paraId="7CBCD712">
            <w:pPr>
              <w:spacing w:before="136" w:line="337" w:lineRule="auto"/>
              <w:ind w:left="123" w:firstLine="454"/>
              <w:jc w:val="both"/>
              <w:rPr>
                <w:rFonts w:hint="default" w:ascii="Times New Roman" w:hAnsi="Times New Roman" w:eastAsia="仿宋" w:cs="Times New Roman"/>
                <w:spacing w:val="22"/>
                <w:sz w:val="24"/>
                <w:szCs w:val="24"/>
                <w:highlight w:val="none"/>
              </w:rPr>
            </w:pPr>
            <w:r>
              <w:rPr>
                <w:rFonts w:hint="default" w:ascii="Times New Roman" w:hAnsi="Times New Roman" w:eastAsia="仿宋" w:cs="Times New Roman"/>
                <w:spacing w:val="22"/>
                <w:sz w:val="24"/>
                <w:szCs w:val="24"/>
              </w:rPr>
              <w:t>南雄市珠玑镇群众活动综合体（梅岭片区）项目</w:t>
            </w:r>
            <w:r>
              <w:rPr>
                <w:rFonts w:hint="eastAsia" w:ascii="Times New Roman" w:hAnsi="Times New Roman" w:eastAsia="仿宋" w:cs="Times New Roman"/>
                <w:spacing w:val="22"/>
                <w:sz w:val="24"/>
                <w:szCs w:val="24"/>
                <w:lang w:val="en-US" w:eastAsia="zh-CN"/>
              </w:rPr>
              <w:t>属于</w:t>
            </w:r>
            <w:r>
              <w:rPr>
                <w:rFonts w:hint="eastAsia" w:ascii="Times New Roman" w:hAnsi="Times New Roman" w:eastAsia="仿宋" w:cs="Times New Roman"/>
                <w:spacing w:val="22"/>
                <w:sz w:val="24"/>
                <w:szCs w:val="24"/>
                <w:highlight w:val="none"/>
                <w:lang w:val="en-US" w:eastAsia="zh-CN"/>
              </w:rPr>
              <w:t>珠玑镇2026年“百千万工程”项目</w:t>
            </w:r>
            <w:r>
              <w:rPr>
                <w:rFonts w:hint="default" w:ascii="Times New Roman" w:hAnsi="Times New Roman" w:eastAsia="仿宋" w:cs="Times New Roman"/>
                <w:spacing w:val="22"/>
                <w:sz w:val="24"/>
                <w:szCs w:val="24"/>
                <w:highlight w:val="none"/>
              </w:rPr>
              <w:t>。</w:t>
            </w:r>
            <w:r>
              <w:rPr>
                <w:rFonts w:hint="eastAsia" w:ascii="Times New Roman" w:hAnsi="Times New Roman" w:eastAsia="仿宋" w:cs="Times New Roman"/>
                <w:spacing w:val="22"/>
                <w:sz w:val="24"/>
                <w:szCs w:val="24"/>
                <w:highlight w:val="none"/>
                <w:lang w:val="en-US" w:eastAsia="zh-CN"/>
              </w:rPr>
              <w:t>由于原梅岭镇政府位于村庄</w:t>
            </w:r>
            <w:r>
              <w:rPr>
                <w:rFonts w:hint="default" w:ascii="Times New Roman" w:hAnsi="Times New Roman" w:eastAsia="仿宋" w:cs="Times New Roman"/>
                <w:spacing w:val="22"/>
                <w:sz w:val="24"/>
                <w:szCs w:val="24"/>
                <w:highlight w:val="none"/>
              </w:rPr>
              <w:t>，</w:t>
            </w:r>
            <w:r>
              <w:rPr>
                <w:rFonts w:hint="eastAsia" w:ascii="Times New Roman" w:hAnsi="Times New Roman" w:eastAsia="仿宋" w:cs="Times New Roman"/>
                <w:spacing w:val="22"/>
                <w:sz w:val="24"/>
                <w:szCs w:val="24"/>
                <w:highlight w:val="none"/>
                <w:lang w:eastAsia="zh-CN"/>
              </w:rPr>
              <w:t>故</w:t>
            </w:r>
            <w:r>
              <w:rPr>
                <w:rFonts w:hint="eastAsia" w:ascii="Times New Roman" w:hAnsi="Times New Roman" w:eastAsia="仿宋" w:cs="Times New Roman"/>
                <w:spacing w:val="22"/>
                <w:sz w:val="24"/>
                <w:szCs w:val="24"/>
                <w:highlight w:val="none"/>
                <w:lang w:val="en-US" w:eastAsia="zh-CN"/>
              </w:rPr>
              <w:t>该项目位于</w:t>
            </w:r>
            <w:r>
              <w:rPr>
                <w:rFonts w:hint="default" w:ascii="Times New Roman" w:hAnsi="Times New Roman" w:eastAsia="仿宋" w:cs="Times New Roman"/>
                <w:spacing w:val="22"/>
                <w:sz w:val="24"/>
                <w:szCs w:val="24"/>
                <w:highlight w:val="none"/>
              </w:rPr>
              <w:t>城镇开发边界外。项目不属于开发区和产业园区项目，不属于城镇居住用地。</w:t>
            </w:r>
          </w:p>
          <w:p w14:paraId="26B652D1">
            <w:pPr>
              <w:spacing w:before="136" w:line="337" w:lineRule="auto"/>
              <w:ind w:left="123" w:firstLine="454"/>
              <w:jc w:val="both"/>
              <w:rPr>
                <w:rFonts w:hint="default" w:ascii="Times New Roman" w:hAnsi="Times New Roman" w:eastAsia="仿宋" w:cs="Times New Roman"/>
                <w:spacing w:val="22"/>
                <w:sz w:val="24"/>
                <w:szCs w:val="24"/>
              </w:rPr>
            </w:pPr>
            <w:r>
              <w:rPr>
                <w:rFonts w:hint="default" w:ascii="Times New Roman" w:hAnsi="Times New Roman" w:eastAsia="仿宋" w:cs="Times New Roman"/>
                <w:spacing w:val="22"/>
                <w:sz w:val="24"/>
                <w:szCs w:val="24"/>
              </w:rPr>
              <w:t>南雄市文化广电旅游体育局已出具项目符合《城镇开发边界外布局建设项目准入目录（试行）》的认定意见，属于《广东省自然资源厅关于明确市县级国土空间总体规划数据库启用条件及使用规则的通知》（粤自然资函〔</w:t>
            </w:r>
            <w:r>
              <w:rPr>
                <w:rFonts w:ascii="Times New Roman" w:hAnsi="Times New Roman" w:eastAsia="仿宋" w:cs="Times New Roman"/>
                <w:spacing w:val="22"/>
                <w:sz w:val="24"/>
                <w:szCs w:val="24"/>
              </w:rPr>
              <w:t>2023</w:t>
            </w:r>
            <w:r>
              <w:rPr>
                <w:rFonts w:hint="default" w:ascii="Times New Roman" w:hAnsi="Times New Roman" w:eastAsia="仿宋" w:cs="Times New Roman"/>
                <w:spacing w:val="22"/>
                <w:sz w:val="24"/>
                <w:szCs w:val="24"/>
              </w:rPr>
              <w:t>〕</w:t>
            </w:r>
            <w:r>
              <w:rPr>
                <w:rFonts w:ascii="Times New Roman" w:hAnsi="Times New Roman" w:eastAsia="仿宋" w:cs="Times New Roman"/>
                <w:spacing w:val="22"/>
                <w:sz w:val="24"/>
                <w:szCs w:val="24"/>
              </w:rPr>
              <w:t>630</w:t>
            </w:r>
            <w:r>
              <w:rPr>
                <w:rFonts w:hint="default" w:ascii="Times New Roman" w:hAnsi="Times New Roman" w:eastAsia="仿宋" w:cs="Times New Roman"/>
                <w:spacing w:val="22"/>
                <w:sz w:val="24"/>
                <w:szCs w:val="24"/>
              </w:rPr>
              <w:t>号）中《城镇开发边界外布局建设项目准入目录（试行）》的第</w:t>
            </w:r>
            <w:r>
              <w:rPr>
                <w:rFonts w:hint="eastAsia" w:ascii="Times New Roman" w:hAnsi="Times New Roman" w:eastAsia="仿宋" w:cs="Times New Roman"/>
                <w:spacing w:val="22"/>
                <w:sz w:val="24"/>
                <w:szCs w:val="24"/>
                <w:lang w:val="en-US" w:eastAsia="zh-CN"/>
              </w:rPr>
              <w:t>二</w:t>
            </w:r>
            <w:r>
              <w:rPr>
                <w:rFonts w:hint="default" w:ascii="Times New Roman" w:hAnsi="Times New Roman" w:eastAsia="仿宋" w:cs="Times New Roman"/>
                <w:spacing w:val="22"/>
                <w:sz w:val="24"/>
                <w:szCs w:val="24"/>
              </w:rPr>
              <w:t>种情形，即</w:t>
            </w:r>
            <w:r>
              <w:rPr>
                <w:rFonts w:hint="eastAsia" w:ascii="Times New Roman" w:hAnsi="Times New Roman" w:eastAsia="仿宋" w:cs="Times New Roman"/>
                <w:spacing w:val="22"/>
                <w:sz w:val="24"/>
                <w:szCs w:val="24"/>
                <w:lang w:val="en-US" w:eastAsia="zh-CN"/>
              </w:rPr>
              <w:t>文化</w:t>
            </w:r>
            <w:r>
              <w:rPr>
                <w:rFonts w:hint="default" w:ascii="Times New Roman" w:hAnsi="Times New Roman" w:eastAsia="仿宋" w:cs="Times New Roman"/>
                <w:spacing w:val="22"/>
                <w:sz w:val="24"/>
                <w:szCs w:val="24"/>
              </w:rPr>
              <w:t>设施。</w:t>
            </w:r>
          </w:p>
          <w:p w14:paraId="2CFCEF44">
            <w:pPr>
              <w:spacing w:before="136" w:line="337" w:lineRule="auto"/>
              <w:ind w:left="123" w:firstLine="454"/>
              <w:jc w:val="both"/>
              <w:rPr>
                <w:rFonts w:hint="default" w:ascii="Times New Roman" w:hAnsi="Times New Roman" w:eastAsia="仿宋" w:cs="Times New Roman"/>
                <w:spacing w:val="22"/>
                <w:sz w:val="24"/>
                <w:szCs w:val="24"/>
              </w:rPr>
            </w:pPr>
            <w:r>
              <w:rPr>
                <w:rFonts w:hint="default" w:ascii="Times New Roman" w:hAnsi="Times New Roman" w:eastAsia="仿宋" w:cs="Times New Roman"/>
                <w:spacing w:val="22"/>
                <w:sz w:val="24"/>
                <w:szCs w:val="24"/>
              </w:rPr>
              <w:t>根据《自然资源要素支撑产业高质量发展指导目录（2024年本）》，南雄市珠玑镇群众活动综合体（梅岭片区）项目不属于限制或禁止类项目，项目建设符合供地政策。根据《产业结构调整指导目录（2024年本）》，南雄市珠玑镇群众活动综合体（梅岭片区）项目属于鼓励类的</w:t>
            </w:r>
            <w:r>
              <w:rPr>
                <w:rFonts w:hint="default" w:ascii="Times New Roman" w:hAnsi="Times New Roman" w:eastAsia="仿宋" w:cs="Times New Roman"/>
                <w:spacing w:val="22"/>
                <w:sz w:val="24"/>
                <w:szCs w:val="24"/>
                <w:lang w:val="en-US" w:eastAsia="zh-CN"/>
              </w:rPr>
              <w:t>公路及道路运输</w:t>
            </w:r>
            <w:r>
              <w:rPr>
                <w:rFonts w:hint="default" w:ascii="Times New Roman" w:hAnsi="Times New Roman" w:eastAsia="仿宋" w:cs="Times New Roman"/>
                <w:spacing w:val="22"/>
                <w:sz w:val="24"/>
                <w:szCs w:val="24"/>
              </w:rPr>
              <w:t>项目，项目建设符合产业政策。</w:t>
            </w:r>
          </w:p>
          <w:p w14:paraId="5F3DFB5B">
            <w:pPr>
              <w:spacing w:before="136" w:line="337" w:lineRule="auto"/>
              <w:ind w:left="123" w:firstLine="454"/>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pacing w:val="26"/>
                <w:sz w:val="24"/>
                <w:szCs w:val="24"/>
                <w:highlight w:val="none"/>
              </w:rPr>
              <w:t>(二)用地规模合理性</w:t>
            </w:r>
          </w:p>
          <w:p w14:paraId="3D1E9A9A">
            <w:pPr>
              <w:spacing w:before="136" w:line="337" w:lineRule="auto"/>
              <w:ind w:left="123" w:firstLine="454"/>
              <w:jc w:val="both"/>
              <w:rPr>
                <w:rFonts w:hint="default" w:ascii="Times New Roman" w:hAnsi="Times New Roman" w:eastAsia="仿宋" w:cs="Times New Roman"/>
                <w:spacing w:val="3"/>
                <w:sz w:val="24"/>
                <w:szCs w:val="24"/>
              </w:rPr>
            </w:pPr>
            <w:r>
              <w:rPr>
                <w:rFonts w:hint="eastAsia" w:ascii="Times New Roman" w:hAnsi="Times New Roman" w:eastAsia="仿宋" w:cs="Times New Roman"/>
                <w:spacing w:val="3"/>
                <w:sz w:val="24"/>
                <w:szCs w:val="24"/>
                <w:lang w:val="en-US" w:eastAsia="zh-CN"/>
              </w:rPr>
              <w:t>1</w:t>
            </w:r>
            <w:r>
              <w:rPr>
                <w:rFonts w:hint="default" w:ascii="Times New Roman" w:hAnsi="Times New Roman" w:eastAsia="仿宋" w:cs="Times New Roman"/>
                <w:spacing w:val="3"/>
                <w:sz w:val="24"/>
                <w:szCs w:val="24"/>
              </w:rPr>
              <w:t>.</w:t>
            </w:r>
            <w:r>
              <w:rPr>
                <w:rFonts w:hint="default" w:ascii="Times New Roman" w:hAnsi="Times New Roman" w:eastAsia="仿宋" w:cs="Times New Roman"/>
                <w:snapToGrid/>
                <w:sz w:val="24"/>
                <w:szCs w:val="24"/>
              </w:rPr>
              <w:t xml:space="preserve"> 珠玑古巷文化配套设施项目</w:t>
            </w:r>
          </w:p>
          <w:p w14:paraId="347FF32A">
            <w:pPr>
              <w:spacing w:before="136" w:line="337" w:lineRule="auto"/>
              <w:ind w:left="123" w:firstLine="454"/>
              <w:jc w:val="both"/>
              <w:rPr>
                <w:rFonts w:hint="default" w:ascii="Times New Roman" w:hAnsi="Times New Roman" w:eastAsia="仿宋" w:cs="Times New Roman"/>
                <w:spacing w:val="3"/>
                <w:sz w:val="24"/>
                <w:szCs w:val="24"/>
                <w:highlight w:val="yellow"/>
              </w:rPr>
            </w:pPr>
            <w:r>
              <w:rPr>
                <w:rFonts w:hint="default" w:ascii="Times New Roman" w:hAnsi="Times New Roman" w:eastAsia="仿宋" w:cs="Times New Roman"/>
                <w:spacing w:val="3"/>
                <w:sz w:val="24"/>
                <w:szCs w:val="24"/>
              </w:rPr>
              <w:t>珠玑古巷文化配套设施项目涉及</w:t>
            </w:r>
            <w:r>
              <w:rPr>
                <w:rFonts w:hint="eastAsia" w:ascii="Times New Roman" w:hAnsi="Times New Roman" w:eastAsia="仿宋" w:cs="Times New Roman"/>
                <w:spacing w:val="3"/>
                <w:sz w:val="24"/>
                <w:szCs w:val="24"/>
                <w:lang w:val="en-US" w:eastAsia="zh-CN"/>
              </w:rPr>
              <w:t>12</w:t>
            </w:r>
            <w:r>
              <w:rPr>
                <w:rFonts w:hint="default" w:ascii="Times New Roman" w:hAnsi="Times New Roman" w:eastAsia="仿宋" w:cs="Times New Roman"/>
                <w:spacing w:val="3"/>
                <w:sz w:val="24"/>
                <w:szCs w:val="24"/>
              </w:rPr>
              <w:t>个地块（</w:t>
            </w:r>
            <w:r>
              <w:rPr>
                <w:rFonts w:hint="eastAsia" w:ascii="Times New Roman" w:hAnsi="Times New Roman" w:eastAsia="仿宋" w:cs="Times New Roman"/>
                <w:spacing w:val="3"/>
                <w:sz w:val="24"/>
                <w:szCs w:val="24"/>
                <w:lang w:val="en-US" w:eastAsia="zh-CN"/>
              </w:rPr>
              <w:t>WTR01-WTR12</w:t>
            </w:r>
            <w:r>
              <w:rPr>
                <w:rFonts w:hint="default" w:ascii="Times New Roman" w:hAnsi="Times New Roman" w:eastAsia="仿宋" w:cs="Times New Roman"/>
                <w:spacing w:val="3"/>
                <w:sz w:val="24"/>
                <w:szCs w:val="24"/>
              </w:rPr>
              <w:t>），用地面积为</w:t>
            </w:r>
            <w:r>
              <w:rPr>
                <w:rFonts w:hint="eastAsia" w:ascii="Times New Roman" w:hAnsi="Times New Roman" w:eastAsia="仿宋" w:cs="Times New Roman"/>
                <w:spacing w:val="3"/>
                <w:sz w:val="24"/>
                <w:szCs w:val="24"/>
                <w:lang w:val="en-US" w:eastAsia="zh-CN"/>
              </w:rPr>
              <w:t>1.2591</w:t>
            </w:r>
            <w:r>
              <w:rPr>
                <w:rFonts w:hint="default" w:ascii="Times New Roman" w:hAnsi="Times New Roman" w:eastAsia="仿宋" w:cs="Times New Roman"/>
                <w:spacing w:val="3"/>
                <w:sz w:val="24"/>
                <w:szCs w:val="24"/>
              </w:rPr>
              <w:t>公顷，单个地块及总用地均未超过30公顷，不属于城镇集中建设。</w:t>
            </w:r>
            <w:r>
              <w:rPr>
                <w:rFonts w:hint="default" w:ascii="Times New Roman" w:hAnsi="Times New Roman" w:eastAsia="仿宋" w:cs="Times New Roman"/>
                <w:spacing w:val="3"/>
                <w:sz w:val="24"/>
                <w:szCs w:val="24"/>
                <w:highlight w:val="none"/>
              </w:rPr>
              <w:t>本项目</w:t>
            </w:r>
            <w:r>
              <w:rPr>
                <w:rFonts w:hint="eastAsia" w:ascii="Times New Roman" w:hAnsi="Times New Roman" w:eastAsia="仿宋" w:cs="Times New Roman"/>
                <w:spacing w:val="3"/>
                <w:sz w:val="24"/>
                <w:szCs w:val="24"/>
                <w:highlight w:val="none"/>
                <w:lang w:val="en-US" w:eastAsia="zh-CN"/>
              </w:rPr>
              <w:t>均位于珠玑古巷内，</w:t>
            </w:r>
            <w:r>
              <w:rPr>
                <w:rFonts w:hint="default" w:ascii="Times New Roman" w:hAnsi="Times New Roman" w:eastAsia="仿宋" w:cs="Times New Roman"/>
                <w:spacing w:val="3"/>
                <w:sz w:val="24"/>
                <w:szCs w:val="24"/>
                <w:highlight w:val="none"/>
              </w:rPr>
              <w:t>用于</w:t>
            </w:r>
            <w:r>
              <w:rPr>
                <w:rFonts w:hint="eastAsia" w:ascii="Times New Roman" w:hAnsi="Times New Roman" w:eastAsia="仿宋" w:cs="Times New Roman"/>
                <w:spacing w:val="3"/>
                <w:sz w:val="24"/>
                <w:szCs w:val="24"/>
                <w:highlight w:val="none"/>
                <w:lang w:val="en-US" w:eastAsia="zh-CN"/>
              </w:rPr>
              <w:t>珠玑古巷人居环境整治和</w:t>
            </w:r>
            <w:r>
              <w:rPr>
                <w:rFonts w:hint="eastAsia" w:ascii="Times New Roman" w:hAnsi="Times New Roman" w:eastAsia="仿宋" w:cs="Times New Roman"/>
                <w:spacing w:val="3"/>
                <w:sz w:val="24"/>
                <w:szCs w:val="24"/>
                <w:highlight w:val="none"/>
              </w:rPr>
              <w:t>市政道路工程</w:t>
            </w:r>
            <w:r>
              <w:rPr>
                <w:rFonts w:hint="eastAsia" w:ascii="Times New Roman" w:hAnsi="Times New Roman" w:eastAsia="仿宋" w:cs="Times New Roman"/>
                <w:spacing w:val="3"/>
                <w:sz w:val="24"/>
                <w:szCs w:val="24"/>
                <w:highlight w:val="none"/>
                <w:lang w:val="en-US" w:eastAsia="zh-CN"/>
              </w:rPr>
              <w:t>，建设文化展示开敞空间及景区内部道路</w:t>
            </w:r>
            <w:r>
              <w:rPr>
                <w:rFonts w:hint="default" w:ascii="Times New Roman" w:hAnsi="Times New Roman" w:eastAsia="仿宋" w:cs="Times New Roman"/>
                <w:spacing w:val="3"/>
                <w:sz w:val="24"/>
                <w:szCs w:val="24"/>
                <w:highlight w:val="none"/>
              </w:rPr>
              <w:t>，</w:t>
            </w:r>
            <w:r>
              <w:rPr>
                <w:rFonts w:hint="eastAsia" w:ascii="Times New Roman" w:hAnsi="Times New Roman" w:eastAsia="仿宋" w:cs="Times New Roman"/>
                <w:spacing w:val="3"/>
                <w:sz w:val="24"/>
                <w:szCs w:val="24"/>
                <w:highlight w:val="none"/>
                <w:lang w:val="en-US" w:eastAsia="zh-CN"/>
              </w:rPr>
              <w:t>其中祠堂周边人居环境整治0.5936公顷，能够打造0.5936公顷开敞空间，用于文化展览和文化活动开展；道路沿侧环境整治0.2246公顷，完成整治后能够打造长约300米的文化展示廊道；新建内部道路约300米，道路宽16米。</w:t>
            </w:r>
          </w:p>
          <w:p w14:paraId="5B155746">
            <w:pPr>
              <w:spacing w:before="136" w:line="337" w:lineRule="auto"/>
              <w:ind w:left="123" w:firstLine="454"/>
              <w:jc w:val="both"/>
              <w:rPr>
                <w:rFonts w:hint="default" w:ascii="Times New Roman" w:hAnsi="Times New Roman" w:eastAsia="仿宋" w:cs="Times New Roman"/>
                <w:spacing w:val="3"/>
                <w:sz w:val="24"/>
                <w:szCs w:val="24"/>
                <w:highlight w:val="none"/>
              </w:rPr>
            </w:pPr>
            <w:r>
              <w:rPr>
                <w:rFonts w:hint="eastAsia" w:ascii="Times New Roman" w:hAnsi="Times New Roman" w:eastAsia="仿宋" w:cs="Times New Roman"/>
                <w:b w:val="0"/>
                <w:bCs w:val="0"/>
                <w:spacing w:val="3"/>
                <w:sz w:val="24"/>
                <w:szCs w:val="24"/>
                <w:highlight w:val="none"/>
                <w:lang w:val="en-US" w:eastAsia="zh-CN"/>
              </w:rPr>
              <w:t>珠玑古巷于1982年被列为南雄市文物保护单位；2007年由广东省人民政府办公室、广东省文化厅、广东省旅游局授予“中华文化传承基地”单位；2009年入选第二批广东省历史文化名镇名村；2010年由广东省人民政府、广东省文化厅、广东省旅游局授予“广东省红色旅游示范基地”；2012年获批为国家4A景区；2016年由广东省文化厅、广东省旅游局授予“广东省文化旅游融合发展示范区”，珠玑古巷历史文化街区总面积约58.75公顷，本项目属于珠玑古巷</w:t>
            </w:r>
            <w:r>
              <w:rPr>
                <w:rFonts w:hint="eastAsia" w:ascii="Times New Roman" w:hAnsi="Times New Roman" w:eastAsia="仿宋" w:cs="Times New Roman"/>
                <w:spacing w:val="3"/>
                <w:sz w:val="24"/>
                <w:szCs w:val="24"/>
                <w:highlight w:val="none"/>
              </w:rPr>
              <w:t>保护活化利用</w:t>
            </w:r>
            <w:r>
              <w:rPr>
                <w:rFonts w:hint="eastAsia" w:ascii="Times New Roman" w:hAnsi="Times New Roman" w:eastAsia="仿宋" w:cs="Times New Roman"/>
                <w:b w:val="0"/>
                <w:bCs w:val="0"/>
                <w:spacing w:val="3"/>
                <w:sz w:val="24"/>
                <w:szCs w:val="24"/>
                <w:highlight w:val="none"/>
                <w:lang w:val="en-US" w:eastAsia="zh-CN"/>
              </w:rPr>
              <w:t>的一部分，</w:t>
            </w:r>
            <w:r>
              <w:rPr>
                <w:rFonts w:hint="eastAsia" w:ascii="Times New Roman" w:hAnsi="Times New Roman" w:eastAsia="仿宋" w:cs="Times New Roman"/>
                <w:spacing w:val="3"/>
                <w:sz w:val="24"/>
                <w:szCs w:val="24"/>
                <w:highlight w:val="none"/>
                <w:lang w:val="en-US" w:eastAsia="zh-CN"/>
              </w:rPr>
              <w:t>因此</w:t>
            </w:r>
            <w:r>
              <w:rPr>
                <w:rFonts w:hint="default" w:ascii="Times New Roman" w:hAnsi="Times New Roman" w:eastAsia="仿宋" w:cs="Times New Roman"/>
                <w:spacing w:val="3"/>
                <w:sz w:val="24"/>
                <w:szCs w:val="24"/>
                <w:highlight w:val="none"/>
              </w:rPr>
              <w:t>，本项目用地规模合理。</w:t>
            </w:r>
          </w:p>
          <w:p w14:paraId="77217525">
            <w:pPr>
              <w:spacing w:before="136" w:line="337" w:lineRule="auto"/>
              <w:ind w:left="123" w:firstLine="454"/>
              <w:jc w:val="both"/>
              <w:rPr>
                <w:rFonts w:hint="default" w:ascii="Times New Roman" w:hAnsi="Times New Roman" w:eastAsia="仿宋" w:cs="Times New Roman"/>
                <w:spacing w:val="3"/>
                <w:sz w:val="24"/>
                <w:szCs w:val="24"/>
              </w:rPr>
            </w:pPr>
            <w:r>
              <w:rPr>
                <w:rFonts w:hint="eastAsia" w:ascii="Times New Roman" w:hAnsi="Times New Roman" w:eastAsia="仿宋" w:cs="Times New Roman"/>
                <w:spacing w:val="3"/>
                <w:sz w:val="24"/>
                <w:szCs w:val="24"/>
                <w:lang w:val="en-US" w:eastAsia="zh-CN"/>
              </w:rPr>
              <w:t>2</w:t>
            </w:r>
            <w:r>
              <w:rPr>
                <w:rFonts w:hint="default" w:ascii="Times New Roman" w:hAnsi="Times New Roman" w:eastAsia="仿宋" w:cs="Times New Roman"/>
                <w:spacing w:val="3"/>
                <w:sz w:val="24"/>
                <w:szCs w:val="24"/>
              </w:rPr>
              <w:t>.</w:t>
            </w:r>
            <w:r>
              <w:rPr>
                <w:rFonts w:hint="default" w:ascii="Times New Roman" w:hAnsi="Times New Roman" w:eastAsia="仿宋" w:cs="Times New Roman"/>
                <w:snapToGrid/>
                <w:sz w:val="24"/>
                <w:szCs w:val="24"/>
              </w:rPr>
              <w:t xml:space="preserve"> 南雄市珠玑镇群众活动综合体（梅岭片区）项目</w:t>
            </w:r>
          </w:p>
          <w:p w14:paraId="036C05D0">
            <w:pPr>
              <w:spacing w:before="136" w:line="337" w:lineRule="auto"/>
              <w:ind w:left="123" w:firstLine="454"/>
              <w:jc w:val="both"/>
              <w:rPr>
                <w:rFonts w:hint="default" w:ascii="Times New Roman" w:hAnsi="Times New Roman" w:eastAsia="仿宋" w:cs="Times New Roman"/>
                <w:spacing w:val="3"/>
                <w:sz w:val="24"/>
                <w:szCs w:val="24"/>
                <w:highlight w:val="none"/>
              </w:rPr>
            </w:pPr>
            <w:r>
              <w:rPr>
                <w:rFonts w:hint="default" w:ascii="Times New Roman" w:hAnsi="Times New Roman" w:eastAsia="仿宋" w:cs="Times New Roman"/>
                <w:spacing w:val="3"/>
                <w:sz w:val="24"/>
                <w:szCs w:val="24"/>
              </w:rPr>
              <w:t>南雄市珠玑镇群众活动综合体（梅岭片区）项目涉及</w:t>
            </w:r>
            <w:r>
              <w:rPr>
                <w:rFonts w:hint="default" w:ascii="Times New Roman" w:hAnsi="Times New Roman" w:eastAsia="仿宋" w:cs="Times New Roman"/>
                <w:spacing w:val="3"/>
                <w:sz w:val="24"/>
                <w:szCs w:val="24"/>
                <w:lang w:val="en-US" w:eastAsia="zh-CN"/>
              </w:rPr>
              <w:t>1</w:t>
            </w:r>
            <w:r>
              <w:rPr>
                <w:rFonts w:hint="default" w:ascii="Times New Roman" w:hAnsi="Times New Roman" w:eastAsia="仿宋" w:cs="Times New Roman"/>
                <w:spacing w:val="3"/>
                <w:sz w:val="24"/>
                <w:szCs w:val="24"/>
              </w:rPr>
              <w:t>个地块（</w:t>
            </w:r>
            <w:r>
              <w:rPr>
                <w:rFonts w:hint="eastAsia" w:ascii="Times New Roman" w:hAnsi="Times New Roman" w:eastAsia="仿宋" w:cs="Times New Roman"/>
                <w:spacing w:val="3"/>
                <w:sz w:val="24"/>
                <w:szCs w:val="24"/>
                <w:lang w:val="en-US" w:eastAsia="zh-CN"/>
              </w:rPr>
              <w:t>WTR13</w:t>
            </w:r>
            <w:r>
              <w:rPr>
                <w:rFonts w:hint="default" w:ascii="Times New Roman" w:hAnsi="Times New Roman" w:eastAsia="仿宋" w:cs="Times New Roman"/>
                <w:spacing w:val="3"/>
                <w:sz w:val="24"/>
                <w:szCs w:val="24"/>
              </w:rPr>
              <w:t>），用地面积为</w:t>
            </w:r>
            <w:r>
              <w:rPr>
                <w:rFonts w:hint="eastAsia" w:ascii="Times New Roman" w:hAnsi="Times New Roman" w:eastAsia="仿宋" w:cs="Times New Roman"/>
                <w:spacing w:val="3"/>
                <w:sz w:val="24"/>
                <w:szCs w:val="24"/>
                <w:lang w:val="en-US" w:eastAsia="zh-CN"/>
              </w:rPr>
              <w:t>0.5404</w:t>
            </w:r>
            <w:r>
              <w:rPr>
                <w:rFonts w:hint="default" w:ascii="Times New Roman" w:hAnsi="Times New Roman" w:eastAsia="仿宋" w:cs="Times New Roman"/>
                <w:spacing w:val="3"/>
                <w:sz w:val="24"/>
                <w:szCs w:val="24"/>
              </w:rPr>
              <w:t>公顷，单个地块及总用地均未超过30公顷，不属于城镇集中建设。</w:t>
            </w:r>
            <w:r>
              <w:rPr>
                <w:rFonts w:hint="default" w:ascii="Times New Roman" w:hAnsi="Times New Roman" w:eastAsia="仿宋" w:cs="Times New Roman"/>
                <w:spacing w:val="3"/>
                <w:sz w:val="24"/>
                <w:szCs w:val="24"/>
                <w:highlight w:val="none"/>
              </w:rPr>
              <w:t>本项目用于</w:t>
            </w:r>
            <w:r>
              <w:rPr>
                <w:rFonts w:hint="eastAsia" w:ascii="Times New Roman" w:hAnsi="Times New Roman" w:eastAsia="仿宋" w:cs="Times New Roman"/>
                <w:spacing w:val="3"/>
                <w:sz w:val="24"/>
                <w:szCs w:val="24"/>
                <w:highlight w:val="none"/>
                <w:lang w:val="en-US" w:eastAsia="zh-CN"/>
              </w:rPr>
              <w:t>梅岭片区群众活动综合体</w:t>
            </w:r>
            <w:r>
              <w:rPr>
                <w:rFonts w:hint="default" w:ascii="Times New Roman" w:hAnsi="Times New Roman" w:eastAsia="仿宋" w:cs="Times New Roman"/>
                <w:spacing w:val="3"/>
                <w:sz w:val="24"/>
                <w:szCs w:val="24"/>
                <w:highlight w:val="none"/>
              </w:rPr>
              <w:t>建设</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服务整个梅岭片区，辐射珠玑镇，进而</w:t>
            </w:r>
            <w:r>
              <w:rPr>
                <w:rFonts w:hint="eastAsia" w:ascii="Times New Roman" w:hAnsi="Times New Roman" w:eastAsia="仿宋" w:cs="Times New Roman"/>
                <w:spacing w:val="3"/>
                <w:sz w:val="24"/>
                <w:szCs w:val="24"/>
                <w:highlight w:val="none"/>
              </w:rPr>
              <w:t>推进“珠玑</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rPr>
              <w:t>雄州同城化”步伐</w:t>
            </w:r>
            <w:r>
              <w:rPr>
                <w:rFonts w:hint="default" w:ascii="Times New Roman" w:hAnsi="Times New Roman" w:eastAsia="仿宋" w:cs="Times New Roman"/>
                <w:spacing w:val="3"/>
                <w:sz w:val="24"/>
                <w:szCs w:val="24"/>
                <w:highlight w:val="none"/>
              </w:rPr>
              <w:t>，</w:t>
            </w:r>
            <w:r>
              <w:rPr>
                <w:rFonts w:hint="eastAsia" w:ascii="Times New Roman" w:hAnsi="Times New Roman" w:eastAsia="仿宋" w:cs="Times New Roman"/>
                <w:spacing w:val="3"/>
                <w:sz w:val="24"/>
                <w:szCs w:val="24"/>
                <w:highlight w:val="none"/>
                <w:lang w:val="en-US" w:eastAsia="zh-CN"/>
              </w:rPr>
              <w:t>建设内容包括一栋村民活动中心、一栋配套用房、室外活动场地、室外停车场、内部道路和绿化</w:t>
            </w:r>
            <w:r>
              <w:rPr>
                <w:rFonts w:hint="default" w:ascii="Times New Roman" w:hAnsi="Times New Roman" w:eastAsia="仿宋" w:cs="Times New Roman"/>
                <w:spacing w:val="3"/>
                <w:sz w:val="24"/>
                <w:szCs w:val="24"/>
                <w:highlight w:val="none"/>
              </w:rPr>
              <w:t>。</w:t>
            </w:r>
          </w:p>
          <w:p w14:paraId="6D5BEF88">
            <w:pPr>
              <w:autoSpaceDE/>
              <w:autoSpaceDN/>
              <w:spacing w:before="136" w:line="336" w:lineRule="auto"/>
              <w:ind w:left="0" w:firstLine="0"/>
              <w:jc w:val="center"/>
              <w:rPr>
                <w:rFonts w:hint="default" w:ascii="Times New Roman" w:hAnsi="Times New Roman" w:eastAsia="仿宋" w:cs="Times New Roman"/>
                <w:spacing w:val="3"/>
                <w:sz w:val="24"/>
                <w:szCs w:val="24"/>
                <w:highlight w:val="none"/>
              </w:rPr>
            </w:pPr>
            <w:r>
              <w:rPr>
                <w:rFonts w:hint="default" w:ascii="Times New Roman" w:hAnsi="Times New Roman" w:eastAsia="仿宋" w:cs="Times New Roman"/>
                <w:b/>
                <w:bCs/>
                <w:spacing w:val="3"/>
                <w:sz w:val="24"/>
                <w:szCs w:val="24"/>
                <w:highlight w:val="none"/>
              </w:rPr>
              <w:t>表2-</w:t>
            </w:r>
            <w:r>
              <w:rPr>
                <w:rFonts w:hint="eastAsia" w:ascii="Times New Roman" w:hAnsi="Times New Roman" w:eastAsia="仿宋" w:cs="Times New Roman"/>
                <w:b/>
                <w:bCs/>
                <w:spacing w:val="3"/>
                <w:sz w:val="24"/>
                <w:szCs w:val="24"/>
                <w:highlight w:val="none"/>
                <w:lang w:val="en-US" w:eastAsia="zh-CN"/>
              </w:rPr>
              <w:t>1</w:t>
            </w:r>
            <w:r>
              <w:rPr>
                <w:rFonts w:hint="default" w:ascii="Times New Roman" w:hAnsi="Times New Roman" w:eastAsia="仿宋" w:cs="Times New Roman"/>
                <w:b/>
                <w:bCs/>
                <w:spacing w:val="3"/>
                <w:sz w:val="24"/>
                <w:szCs w:val="24"/>
                <w:highlight w:val="none"/>
              </w:rPr>
              <w:t xml:space="preserve"> 本项目用地情况表</w:t>
            </w:r>
          </w:p>
          <w:tbl>
            <w:tblPr>
              <w:tblStyle w:val="11"/>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6"/>
              <w:gridCol w:w="2236"/>
              <w:gridCol w:w="2222"/>
            </w:tblGrid>
            <w:tr w14:paraId="39FB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66" w:type="dxa"/>
                  <w:shd w:val="clear" w:color="auto" w:fill="auto"/>
                  <w:vAlign w:val="center"/>
                </w:tcPr>
                <w:p w14:paraId="223230C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rPr>
                  </w:pPr>
                  <w:r>
                    <w:rPr>
                      <w:rFonts w:hint="default" w:ascii="Times New Roman" w:hAnsi="Times New Roman" w:eastAsia="仿宋" w:cs="Times New Roman"/>
                      <w:b/>
                      <w:bCs/>
                      <w:spacing w:val="3"/>
                      <w:sz w:val="24"/>
                      <w:szCs w:val="24"/>
                      <w:highlight w:val="none"/>
                    </w:rPr>
                    <w:t>功能分区</w:t>
                  </w:r>
                </w:p>
              </w:tc>
              <w:tc>
                <w:tcPr>
                  <w:tcW w:w="2236" w:type="dxa"/>
                  <w:shd w:val="clear" w:color="auto" w:fill="auto"/>
                  <w:vAlign w:val="center"/>
                </w:tcPr>
                <w:p w14:paraId="2CBE5564">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lang w:val="en-US" w:eastAsia="zh-CN"/>
                    </w:rPr>
                  </w:pPr>
                  <w:r>
                    <w:rPr>
                      <w:rFonts w:hint="eastAsia" w:ascii="Times New Roman" w:hAnsi="Times New Roman" w:eastAsia="仿宋" w:cs="Times New Roman"/>
                      <w:b/>
                      <w:bCs/>
                      <w:spacing w:val="3"/>
                      <w:sz w:val="24"/>
                      <w:szCs w:val="24"/>
                      <w:highlight w:val="none"/>
                      <w:lang w:val="en-US" w:eastAsia="zh-CN"/>
                    </w:rPr>
                    <w:t>设施</w:t>
                  </w:r>
                </w:p>
              </w:tc>
              <w:tc>
                <w:tcPr>
                  <w:tcW w:w="2222" w:type="dxa"/>
                  <w:shd w:val="clear" w:color="auto" w:fill="auto"/>
                  <w:vAlign w:val="center"/>
                </w:tcPr>
                <w:p w14:paraId="40427D13">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lang w:val="en-US" w:eastAsia="zh-CN"/>
                    </w:rPr>
                  </w:pPr>
                  <w:r>
                    <w:rPr>
                      <w:rFonts w:hint="eastAsia" w:ascii="Times New Roman" w:hAnsi="Times New Roman" w:eastAsia="仿宋" w:cs="Times New Roman"/>
                      <w:b/>
                      <w:bCs/>
                      <w:spacing w:val="3"/>
                      <w:sz w:val="24"/>
                      <w:szCs w:val="24"/>
                      <w:highlight w:val="none"/>
                      <w:lang w:val="en-US" w:eastAsia="zh-CN"/>
                    </w:rPr>
                    <w:t>占地面积（㎡）</w:t>
                  </w:r>
                </w:p>
              </w:tc>
            </w:tr>
            <w:tr w14:paraId="61B4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066" w:type="dxa"/>
                  <w:vMerge w:val="restart"/>
                  <w:shd w:val="clear" w:color="auto" w:fill="auto"/>
                  <w:vAlign w:val="center"/>
                </w:tcPr>
                <w:p w14:paraId="6C76C748">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bidi="ar"/>
                    </w:rPr>
                    <w:t>村民活动中心</w:t>
                  </w:r>
                </w:p>
              </w:tc>
              <w:tc>
                <w:tcPr>
                  <w:tcW w:w="2236" w:type="dxa"/>
                  <w:shd w:val="clear" w:color="auto" w:fill="auto"/>
                  <w:vAlign w:val="center"/>
                </w:tcPr>
                <w:p w14:paraId="0F73A61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rPr>
                  </w:pPr>
                  <w:r>
                    <w:rPr>
                      <w:rFonts w:hint="eastAsia" w:ascii="Times New Roman" w:hAnsi="Times New Roman" w:eastAsia="仿宋" w:cs="Times New Roman"/>
                      <w:spacing w:val="3"/>
                      <w:sz w:val="24"/>
                      <w:szCs w:val="24"/>
                      <w:highlight w:val="none"/>
                      <w:lang w:val="en-US" w:eastAsia="zh-CN"/>
                    </w:rPr>
                    <w:t>专业用房</w:t>
                  </w:r>
                </w:p>
              </w:tc>
              <w:tc>
                <w:tcPr>
                  <w:tcW w:w="2222" w:type="dxa"/>
                  <w:vMerge w:val="restart"/>
                  <w:shd w:val="clear" w:color="auto" w:fill="auto"/>
                  <w:vAlign w:val="center"/>
                </w:tcPr>
                <w:p w14:paraId="4161F86C">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1260</w:t>
                  </w:r>
                </w:p>
              </w:tc>
            </w:tr>
            <w:tr w14:paraId="407D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066" w:type="dxa"/>
                  <w:vMerge w:val="continue"/>
                  <w:shd w:val="clear" w:color="auto" w:fill="auto"/>
                  <w:vAlign w:val="center"/>
                </w:tcPr>
                <w:p w14:paraId="2967B241">
                  <w:pPr>
                    <w:kinsoku/>
                    <w:autoSpaceDE/>
                    <w:autoSpaceDN/>
                    <w:adjustRightInd/>
                    <w:snapToGrid/>
                    <w:spacing w:before="0" w:line="240" w:lineRule="auto"/>
                    <w:ind w:left="0" w:firstLine="0"/>
                    <w:jc w:val="center"/>
                    <w:textAlignment w:val="auto"/>
                  </w:pPr>
                </w:p>
              </w:tc>
              <w:tc>
                <w:tcPr>
                  <w:tcW w:w="2236" w:type="dxa"/>
                  <w:shd w:val="clear" w:color="auto" w:fill="auto"/>
                  <w:vAlign w:val="center"/>
                </w:tcPr>
                <w:p w14:paraId="0590693F">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展览、阅览用房</w:t>
                  </w:r>
                </w:p>
              </w:tc>
              <w:tc>
                <w:tcPr>
                  <w:tcW w:w="2222" w:type="dxa"/>
                  <w:vMerge w:val="continue"/>
                  <w:shd w:val="clear" w:color="auto" w:fill="auto"/>
                  <w:vAlign w:val="center"/>
                </w:tcPr>
                <w:p w14:paraId="173B8F4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p>
              </w:tc>
            </w:tr>
            <w:tr w14:paraId="7076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066" w:type="dxa"/>
                  <w:vMerge w:val="continue"/>
                  <w:shd w:val="clear" w:color="auto" w:fill="auto"/>
                  <w:vAlign w:val="center"/>
                </w:tcPr>
                <w:p w14:paraId="4122F0C9">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p>
              </w:tc>
              <w:tc>
                <w:tcPr>
                  <w:tcW w:w="2236" w:type="dxa"/>
                  <w:shd w:val="clear" w:color="auto" w:fill="auto"/>
                  <w:vAlign w:val="center"/>
                </w:tcPr>
                <w:p w14:paraId="13760E91">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建设活动用房</w:t>
                  </w:r>
                </w:p>
              </w:tc>
              <w:tc>
                <w:tcPr>
                  <w:tcW w:w="2222" w:type="dxa"/>
                  <w:vMerge w:val="continue"/>
                  <w:shd w:val="clear" w:color="auto" w:fill="auto"/>
                  <w:vAlign w:val="center"/>
                </w:tcPr>
                <w:p w14:paraId="7179AE33">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p>
              </w:tc>
            </w:tr>
            <w:tr w14:paraId="0297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66" w:type="dxa"/>
                  <w:vMerge w:val="restart"/>
                  <w:shd w:val="clear" w:color="auto" w:fill="auto"/>
                  <w:vAlign w:val="center"/>
                </w:tcPr>
                <w:p w14:paraId="101F8C40">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bidi="ar"/>
                    </w:rPr>
                    <w:t>配套用房</w:t>
                  </w:r>
                </w:p>
              </w:tc>
              <w:tc>
                <w:tcPr>
                  <w:tcW w:w="2236" w:type="dxa"/>
                  <w:shd w:val="clear" w:color="auto" w:fill="auto"/>
                  <w:vAlign w:val="center"/>
                </w:tcPr>
                <w:p w14:paraId="40AF769D">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rPr>
                  </w:pPr>
                  <w:r>
                    <w:rPr>
                      <w:rFonts w:hint="eastAsia" w:ascii="Times New Roman" w:hAnsi="Times New Roman" w:eastAsia="仿宋" w:cs="Times New Roman"/>
                      <w:spacing w:val="3"/>
                      <w:sz w:val="24"/>
                      <w:szCs w:val="24"/>
                      <w:highlight w:val="none"/>
                      <w:lang w:val="en-US" w:eastAsia="zh-CN"/>
                    </w:rPr>
                    <w:t>服务用房</w:t>
                  </w:r>
                </w:p>
              </w:tc>
              <w:tc>
                <w:tcPr>
                  <w:tcW w:w="2222" w:type="dxa"/>
                  <w:vMerge w:val="restart"/>
                  <w:shd w:val="clear" w:color="auto" w:fill="auto"/>
                  <w:vAlign w:val="center"/>
                </w:tcPr>
                <w:p w14:paraId="74BC8FF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80</w:t>
                  </w:r>
                </w:p>
              </w:tc>
            </w:tr>
            <w:tr w14:paraId="3466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066" w:type="dxa"/>
                  <w:vMerge w:val="continue"/>
                  <w:shd w:val="clear" w:color="auto" w:fill="auto"/>
                  <w:vAlign w:val="center"/>
                </w:tcPr>
                <w:p w14:paraId="7924533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p>
              </w:tc>
              <w:tc>
                <w:tcPr>
                  <w:tcW w:w="2236" w:type="dxa"/>
                  <w:shd w:val="clear" w:color="auto" w:fill="auto"/>
                  <w:vAlign w:val="center"/>
                </w:tcPr>
                <w:p w14:paraId="574C68F5">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设备用房</w:t>
                  </w:r>
                </w:p>
              </w:tc>
              <w:tc>
                <w:tcPr>
                  <w:tcW w:w="2222" w:type="dxa"/>
                  <w:vMerge w:val="continue"/>
                  <w:shd w:val="clear" w:color="auto" w:fill="auto"/>
                  <w:vAlign w:val="center"/>
                </w:tcPr>
                <w:p w14:paraId="78B1400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p>
              </w:tc>
            </w:tr>
            <w:tr w14:paraId="5F0A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066" w:type="dxa"/>
                  <w:vMerge w:val="restart"/>
                  <w:shd w:val="clear" w:color="auto" w:fill="auto"/>
                  <w:vAlign w:val="center"/>
                </w:tcPr>
                <w:p w14:paraId="18CCD68F">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室外活动场地</w:t>
                  </w:r>
                </w:p>
              </w:tc>
              <w:tc>
                <w:tcPr>
                  <w:tcW w:w="2236" w:type="dxa"/>
                  <w:shd w:val="clear" w:color="auto" w:fill="auto"/>
                  <w:vAlign w:val="center"/>
                </w:tcPr>
                <w:p w14:paraId="01E4B4EB">
                  <w:pPr>
                    <w:kinsoku/>
                    <w:autoSpaceDE/>
                    <w:autoSpaceDN/>
                    <w:adjustRightInd/>
                    <w:snapToGrid/>
                    <w:spacing w:before="0" w:line="240" w:lineRule="auto"/>
                    <w:ind w:left="0" w:firstLine="0"/>
                    <w:jc w:val="center"/>
                    <w:textAlignment w:val="auto"/>
                    <w:rPr>
                      <w:rFonts w:hint="eastAsia"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篮球场</w:t>
                  </w:r>
                </w:p>
              </w:tc>
              <w:tc>
                <w:tcPr>
                  <w:tcW w:w="2222" w:type="dxa"/>
                  <w:vMerge w:val="restart"/>
                  <w:shd w:val="clear" w:color="auto" w:fill="auto"/>
                  <w:vAlign w:val="center"/>
                </w:tcPr>
                <w:p w14:paraId="2EDB085D">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bidi="ar"/>
                    </w:rPr>
                    <w:t>1180</w:t>
                  </w:r>
                </w:p>
              </w:tc>
            </w:tr>
            <w:tr w14:paraId="482E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066" w:type="dxa"/>
                  <w:vMerge w:val="continue"/>
                  <w:shd w:val="clear" w:color="auto" w:fill="auto"/>
                  <w:vAlign w:val="center"/>
                </w:tcPr>
                <w:p w14:paraId="04AB34B0">
                  <w:pPr>
                    <w:kinsoku/>
                    <w:autoSpaceDE/>
                    <w:autoSpaceDN/>
                    <w:adjustRightInd/>
                    <w:snapToGrid/>
                    <w:spacing w:before="0" w:line="240" w:lineRule="auto"/>
                    <w:ind w:left="0" w:firstLine="0"/>
                    <w:jc w:val="center"/>
                    <w:textAlignment w:val="auto"/>
                  </w:pPr>
                </w:p>
              </w:tc>
              <w:tc>
                <w:tcPr>
                  <w:tcW w:w="2236" w:type="dxa"/>
                  <w:shd w:val="clear" w:color="auto" w:fill="auto"/>
                  <w:vAlign w:val="center"/>
                </w:tcPr>
                <w:p w14:paraId="429D3F52">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羽毛球场</w:t>
                  </w:r>
                </w:p>
              </w:tc>
              <w:tc>
                <w:tcPr>
                  <w:tcW w:w="2222" w:type="dxa"/>
                  <w:vMerge w:val="continue"/>
                  <w:shd w:val="clear" w:color="auto" w:fill="auto"/>
                  <w:vAlign w:val="center"/>
                </w:tcPr>
                <w:p w14:paraId="08A8D240">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p>
              </w:tc>
            </w:tr>
            <w:tr w14:paraId="4E3D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4066" w:type="dxa"/>
                  <w:vMerge w:val="continue"/>
                  <w:shd w:val="clear" w:color="auto" w:fill="auto"/>
                  <w:vAlign w:val="center"/>
                </w:tcPr>
                <w:p w14:paraId="4D6884D6">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rPr>
                  </w:pPr>
                </w:p>
              </w:tc>
              <w:tc>
                <w:tcPr>
                  <w:tcW w:w="2236" w:type="dxa"/>
                  <w:shd w:val="clear" w:color="auto" w:fill="auto"/>
                  <w:vAlign w:val="center"/>
                </w:tcPr>
                <w:p w14:paraId="127CE42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广场舞场地</w:t>
                  </w:r>
                </w:p>
              </w:tc>
              <w:tc>
                <w:tcPr>
                  <w:tcW w:w="2222" w:type="dxa"/>
                  <w:vMerge w:val="continue"/>
                  <w:shd w:val="clear" w:color="auto" w:fill="auto"/>
                  <w:vAlign w:val="center"/>
                </w:tcPr>
                <w:p w14:paraId="2EE8F7A5">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p>
              </w:tc>
            </w:tr>
            <w:tr w14:paraId="346A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066" w:type="dxa"/>
                  <w:shd w:val="clear" w:color="auto" w:fill="auto"/>
                  <w:vAlign w:val="center"/>
                </w:tcPr>
                <w:p w14:paraId="59D60342">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rPr>
                  </w:pPr>
                  <w:r>
                    <w:rPr>
                      <w:rFonts w:hint="eastAsia" w:ascii="Times New Roman" w:hAnsi="Times New Roman" w:eastAsia="仿宋" w:cs="Times New Roman"/>
                      <w:spacing w:val="3"/>
                      <w:sz w:val="24"/>
                      <w:szCs w:val="24"/>
                      <w:highlight w:val="none"/>
                      <w:lang w:val="en-US" w:eastAsia="zh-CN" w:bidi="ar"/>
                    </w:rPr>
                    <w:t>室外停车场</w:t>
                  </w:r>
                </w:p>
              </w:tc>
              <w:tc>
                <w:tcPr>
                  <w:tcW w:w="2236" w:type="dxa"/>
                  <w:shd w:val="clear" w:color="auto" w:fill="auto"/>
                  <w:vAlign w:val="center"/>
                </w:tcPr>
                <w:p w14:paraId="34C72F13">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服务人口8000人</w:t>
                  </w:r>
                </w:p>
              </w:tc>
              <w:tc>
                <w:tcPr>
                  <w:tcW w:w="2222" w:type="dxa"/>
                  <w:shd w:val="clear" w:color="auto" w:fill="auto"/>
                  <w:vAlign w:val="center"/>
                </w:tcPr>
                <w:p w14:paraId="73B3D6D3">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1800</w:t>
                  </w:r>
                </w:p>
              </w:tc>
            </w:tr>
            <w:tr w14:paraId="3221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066" w:type="dxa"/>
                  <w:shd w:val="clear" w:color="auto" w:fill="auto"/>
                  <w:vAlign w:val="center"/>
                </w:tcPr>
                <w:p w14:paraId="5F84977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rPr>
                  </w:pPr>
                  <w:r>
                    <w:rPr>
                      <w:rFonts w:hint="eastAsia" w:ascii="Times New Roman" w:hAnsi="Times New Roman" w:eastAsia="仿宋" w:cs="Times New Roman"/>
                      <w:spacing w:val="3"/>
                      <w:sz w:val="24"/>
                      <w:szCs w:val="24"/>
                      <w:highlight w:val="none"/>
                      <w:lang w:val="en-US" w:eastAsia="zh-CN" w:bidi="ar"/>
                    </w:rPr>
                    <w:t>内部道路</w:t>
                  </w:r>
                </w:p>
              </w:tc>
              <w:tc>
                <w:tcPr>
                  <w:tcW w:w="2236" w:type="dxa"/>
                  <w:shd w:val="clear" w:color="auto" w:fill="auto"/>
                  <w:vAlign w:val="center"/>
                </w:tcPr>
                <w:p w14:paraId="194CFA2D">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按实际需求</w:t>
                  </w:r>
                </w:p>
              </w:tc>
              <w:tc>
                <w:tcPr>
                  <w:tcW w:w="2222" w:type="dxa"/>
                  <w:shd w:val="clear" w:color="auto" w:fill="auto"/>
                  <w:vAlign w:val="center"/>
                </w:tcPr>
                <w:p w14:paraId="78A0C61F">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500</w:t>
                  </w:r>
                </w:p>
              </w:tc>
            </w:tr>
            <w:tr w14:paraId="388F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066" w:type="dxa"/>
                  <w:shd w:val="clear" w:color="auto" w:fill="auto"/>
                  <w:vAlign w:val="center"/>
                </w:tcPr>
                <w:p w14:paraId="6EFEBAB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rPr>
                  </w:pPr>
                  <w:r>
                    <w:rPr>
                      <w:rFonts w:hint="eastAsia" w:ascii="Times New Roman" w:hAnsi="Times New Roman" w:eastAsia="仿宋" w:cs="Times New Roman"/>
                      <w:spacing w:val="3"/>
                      <w:sz w:val="24"/>
                      <w:szCs w:val="24"/>
                      <w:highlight w:val="none"/>
                      <w:lang w:val="en-US" w:eastAsia="zh-CN" w:bidi="ar"/>
                    </w:rPr>
                    <w:t>绿化</w:t>
                  </w:r>
                </w:p>
              </w:tc>
              <w:tc>
                <w:tcPr>
                  <w:tcW w:w="2236" w:type="dxa"/>
                  <w:shd w:val="clear" w:color="auto" w:fill="auto"/>
                  <w:vAlign w:val="center"/>
                </w:tcPr>
                <w:p w14:paraId="5EDAE78F">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按实际需求</w:t>
                  </w:r>
                </w:p>
              </w:tc>
              <w:tc>
                <w:tcPr>
                  <w:tcW w:w="2222" w:type="dxa"/>
                  <w:shd w:val="clear" w:color="auto" w:fill="auto"/>
                  <w:vAlign w:val="center"/>
                </w:tcPr>
                <w:p w14:paraId="0D65F871">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584</w:t>
                  </w:r>
                </w:p>
              </w:tc>
            </w:tr>
            <w:tr w14:paraId="6C48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066" w:type="dxa"/>
                  <w:shd w:val="clear" w:color="auto" w:fill="auto"/>
                  <w:vAlign w:val="center"/>
                </w:tcPr>
                <w:p w14:paraId="371FC9D0">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lang w:val="en-US" w:eastAsia="zh-CN" w:bidi="ar"/>
                    </w:rPr>
                  </w:pPr>
                  <w:r>
                    <w:rPr>
                      <w:rFonts w:hint="eastAsia" w:ascii="Times New Roman" w:hAnsi="Times New Roman" w:eastAsia="仿宋" w:cs="Times New Roman"/>
                      <w:b/>
                      <w:bCs/>
                      <w:spacing w:val="3"/>
                      <w:sz w:val="24"/>
                      <w:szCs w:val="24"/>
                      <w:highlight w:val="none"/>
                      <w:lang w:val="en-US" w:eastAsia="zh-CN" w:bidi="ar"/>
                    </w:rPr>
                    <w:t>总计</w:t>
                  </w:r>
                </w:p>
              </w:tc>
              <w:tc>
                <w:tcPr>
                  <w:tcW w:w="2236" w:type="dxa"/>
                  <w:shd w:val="clear" w:color="auto" w:fill="auto"/>
                  <w:vAlign w:val="center"/>
                </w:tcPr>
                <w:p w14:paraId="1D69BEF0">
                  <w:pPr>
                    <w:kinsoku/>
                    <w:autoSpaceDE/>
                    <w:autoSpaceDN/>
                    <w:adjustRightInd/>
                    <w:snapToGrid/>
                    <w:spacing w:before="0" w:line="240" w:lineRule="auto"/>
                    <w:ind w:left="0" w:firstLine="0"/>
                    <w:jc w:val="center"/>
                    <w:textAlignment w:val="auto"/>
                    <w:rPr>
                      <w:rFonts w:hint="eastAsia" w:ascii="Times New Roman" w:hAnsi="Times New Roman" w:eastAsia="仿宋" w:cs="Times New Roman"/>
                      <w:b/>
                      <w:bCs/>
                      <w:spacing w:val="3"/>
                      <w:sz w:val="24"/>
                      <w:szCs w:val="24"/>
                      <w:highlight w:val="none"/>
                      <w:lang w:val="en-US" w:eastAsia="zh-CN" w:bidi="ar"/>
                    </w:rPr>
                  </w:pPr>
                  <w:r>
                    <w:rPr>
                      <w:rFonts w:hint="eastAsia" w:ascii="Times New Roman" w:hAnsi="Times New Roman" w:eastAsia="仿宋" w:cs="Times New Roman"/>
                      <w:b/>
                      <w:bCs/>
                      <w:spacing w:val="3"/>
                      <w:sz w:val="24"/>
                      <w:szCs w:val="24"/>
                      <w:highlight w:val="none"/>
                      <w:lang w:val="en-US" w:eastAsia="zh-CN" w:bidi="ar"/>
                    </w:rPr>
                    <w:t>——</w:t>
                  </w:r>
                </w:p>
              </w:tc>
              <w:tc>
                <w:tcPr>
                  <w:tcW w:w="2222" w:type="dxa"/>
                  <w:shd w:val="clear" w:color="auto" w:fill="auto"/>
                  <w:vAlign w:val="center"/>
                </w:tcPr>
                <w:p w14:paraId="3B13777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lang w:val="en-US" w:eastAsia="zh-CN" w:bidi="ar"/>
                    </w:rPr>
                  </w:pPr>
                  <w:r>
                    <w:rPr>
                      <w:rFonts w:hint="eastAsia" w:ascii="Times New Roman" w:hAnsi="Times New Roman" w:eastAsia="仿宋" w:cs="Times New Roman"/>
                      <w:b/>
                      <w:bCs/>
                      <w:spacing w:val="3"/>
                      <w:sz w:val="24"/>
                      <w:szCs w:val="24"/>
                      <w:highlight w:val="none"/>
                      <w:lang w:val="en-US" w:eastAsia="zh-CN" w:bidi="ar"/>
                    </w:rPr>
                    <w:t>5404</w:t>
                  </w:r>
                </w:p>
              </w:tc>
            </w:tr>
          </w:tbl>
          <w:p w14:paraId="38037CAC">
            <w:pPr>
              <w:spacing w:before="136" w:line="337" w:lineRule="auto"/>
              <w:ind w:left="123" w:firstLine="454"/>
              <w:jc w:val="both"/>
              <w:rPr>
                <w:rFonts w:hint="default" w:ascii="Times New Roman" w:hAnsi="Times New Roman" w:eastAsia="仿宋" w:cs="Times New Roman"/>
                <w:spacing w:val="3"/>
                <w:sz w:val="24"/>
                <w:szCs w:val="24"/>
                <w:highlight w:val="yellow"/>
              </w:rPr>
            </w:pPr>
            <w:r>
              <w:rPr>
                <w:rFonts w:hint="eastAsia" w:ascii="Times New Roman" w:hAnsi="Times New Roman" w:eastAsia="仿宋" w:cs="Times New Roman"/>
                <w:spacing w:val="3"/>
                <w:sz w:val="24"/>
                <w:szCs w:val="24"/>
                <w:highlight w:val="none"/>
                <w:lang w:eastAsia="zh-CN"/>
              </w:rPr>
              <w:t>依据</w:t>
            </w:r>
            <w:r>
              <w:rPr>
                <w:rFonts w:hint="default" w:ascii="Times New Roman" w:hAnsi="Times New Roman" w:eastAsia="仿宋" w:cs="Times New Roman"/>
                <w:spacing w:val="3"/>
                <w:sz w:val="24"/>
                <w:szCs w:val="24"/>
                <w:highlight w:val="none"/>
              </w:rPr>
              <w:t>《镇（乡）村文化中心建筑设计规范》（JGJ156-2008）</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乡村综合文化站建设标准</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建标160-2012</w:t>
            </w:r>
            <w:r>
              <w:rPr>
                <w:rFonts w:hint="eastAsia" w:ascii="Times New Roman" w:hAnsi="Times New Roman" w:eastAsia="仿宋" w:cs="Times New Roman"/>
                <w:spacing w:val="3"/>
                <w:sz w:val="24"/>
                <w:szCs w:val="24"/>
                <w:highlight w:val="none"/>
                <w:lang w:eastAsia="zh-CN"/>
              </w:rPr>
              <w:t>）</w:t>
            </w:r>
            <w:r>
              <w:rPr>
                <w:rFonts w:hint="default" w:ascii="Times New Roman" w:hAnsi="Times New Roman" w:eastAsia="仿宋" w:cs="Times New Roman"/>
                <w:spacing w:val="3"/>
                <w:sz w:val="24"/>
                <w:szCs w:val="24"/>
                <w:highlight w:val="none"/>
              </w:rPr>
              <w:t>，</w:t>
            </w:r>
            <w:r>
              <w:rPr>
                <w:rFonts w:hint="eastAsia" w:ascii="Times New Roman" w:hAnsi="Times New Roman" w:eastAsia="仿宋" w:cs="Times New Roman"/>
                <w:spacing w:val="3"/>
                <w:sz w:val="24"/>
                <w:szCs w:val="24"/>
                <w:highlight w:val="none"/>
                <w:lang w:val="en-US" w:eastAsia="zh-CN"/>
              </w:rPr>
              <w:t>大型乡镇综合文化站建筑面积控制在800-1500㎡，层数一般为1-3层；管理用房占综合文化站7%—8%；室外活动场地控制在600-1200㎡；绿化、道路、停车场面积根据当地主管部门有关控制指标要求和实际情况确定</w:t>
            </w:r>
            <w:r>
              <w:rPr>
                <w:rFonts w:hint="default" w:ascii="Times New Roman" w:hAnsi="Times New Roman" w:eastAsia="仿宋" w:cs="Times New Roman"/>
                <w:spacing w:val="3"/>
                <w:sz w:val="24"/>
                <w:szCs w:val="24"/>
                <w:highlight w:val="none"/>
              </w:rPr>
              <w:t>。</w:t>
            </w:r>
          </w:p>
          <w:p w14:paraId="2D82E625">
            <w:pPr>
              <w:autoSpaceDE/>
              <w:autoSpaceDN/>
              <w:spacing w:before="136" w:line="336" w:lineRule="auto"/>
              <w:ind w:left="0" w:firstLine="0"/>
              <w:jc w:val="center"/>
              <w:rPr>
                <w:rFonts w:hint="default" w:ascii="Times New Roman" w:hAnsi="Times New Roman" w:eastAsia="仿宋" w:cs="Times New Roman"/>
                <w:b/>
                <w:bCs/>
                <w:spacing w:val="3"/>
                <w:sz w:val="24"/>
                <w:szCs w:val="24"/>
                <w:highlight w:val="none"/>
              </w:rPr>
            </w:pPr>
            <w:r>
              <w:rPr>
                <w:rFonts w:hint="default" w:ascii="Times New Roman" w:hAnsi="Times New Roman" w:eastAsia="仿宋" w:cs="Times New Roman"/>
                <w:b/>
                <w:bCs/>
                <w:spacing w:val="3"/>
                <w:sz w:val="24"/>
                <w:szCs w:val="24"/>
                <w:highlight w:val="none"/>
              </w:rPr>
              <w:t>表2-</w:t>
            </w:r>
            <w:r>
              <w:rPr>
                <w:rFonts w:hint="eastAsia" w:ascii="Times New Roman" w:hAnsi="Times New Roman" w:eastAsia="仿宋" w:cs="Times New Roman"/>
                <w:b/>
                <w:bCs/>
                <w:spacing w:val="3"/>
                <w:sz w:val="24"/>
                <w:szCs w:val="24"/>
                <w:highlight w:val="none"/>
                <w:lang w:val="en-US" w:eastAsia="zh-CN"/>
              </w:rPr>
              <w:t>2</w:t>
            </w:r>
            <w:r>
              <w:rPr>
                <w:rFonts w:hint="default" w:ascii="Times New Roman" w:hAnsi="Times New Roman" w:eastAsia="仿宋" w:cs="Times New Roman"/>
                <w:b/>
                <w:bCs/>
                <w:spacing w:val="3"/>
                <w:sz w:val="24"/>
                <w:szCs w:val="24"/>
                <w:highlight w:val="none"/>
              </w:rPr>
              <w:t xml:space="preserve"> 本项目用地</w:t>
            </w:r>
            <w:r>
              <w:rPr>
                <w:rFonts w:hint="default" w:ascii="Times New Roman" w:hAnsi="Times New Roman" w:eastAsia="仿宋" w:cs="Times New Roman"/>
                <w:b/>
                <w:bCs/>
                <w:spacing w:val="3"/>
                <w:sz w:val="24"/>
                <w:szCs w:val="24"/>
                <w:highlight w:val="none"/>
                <w:lang w:val="en-US" w:eastAsia="zh-CN"/>
              </w:rPr>
              <w:t>对比</w:t>
            </w:r>
            <w:r>
              <w:rPr>
                <w:rFonts w:hint="default" w:ascii="Times New Roman" w:hAnsi="Times New Roman" w:eastAsia="仿宋" w:cs="Times New Roman"/>
                <w:b/>
                <w:bCs/>
                <w:spacing w:val="3"/>
                <w:sz w:val="24"/>
                <w:szCs w:val="24"/>
                <w:highlight w:val="none"/>
              </w:rPr>
              <w:t>情况表</w:t>
            </w:r>
          </w:p>
          <w:tbl>
            <w:tblPr>
              <w:tblStyle w:val="11"/>
              <w:tblW w:w="8525" w:type="dxa"/>
              <w:jc w:val="center"/>
              <w:tblLayout w:type="fixed"/>
              <w:tblCellMar>
                <w:top w:w="0" w:type="dxa"/>
                <w:left w:w="108" w:type="dxa"/>
                <w:bottom w:w="0" w:type="dxa"/>
                <w:right w:w="108" w:type="dxa"/>
              </w:tblCellMar>
            </w:tblPr>
            <w:tblGrid>
              <w:gridCol w:w="1810"/>
              <w:gridCol w:w="2928"/>
              <w:gridCol w:w="2274"/>
              <w:gridCol w:w="1513"/>
            </w:tblGrid>
            <w:tr w14:paraId="0FD070C6">
              <w:tblPrEx>
                <w:tblCellMar>
                  <w:top w:w="0" w:type="dxa"/>
                  <w:left w:w="108" w:type="dxa"/>
                  <w:bottom w:w="0" w:type="dxa"/>
                  <w:right w:w="108" w:type="dxa"/>
                </w:tblCellMar>
              </w:tblPrEx>
              <w:trPr>
                <w:trHeight w:val="510" w:hRule="atLeast"/>
                <w:jc w:val="center"/>
              </w:trPr>
              <w:tc>
                <w:tcPr>
                  <w:tcW w:w="1810" w:type="dxa"/>
                  <w:tcBorders>
                    <w:top w:val="single" w:color="auto" w:sz="4" w:space="0"/>
                    <w:left w:val="single" w:color="000000" w:sz="4" w:space="0"/>
                    <w:bottom w:val="single" w:color="auto" w:sz="4" w:space="0"/>
                    <w:right w:val="single" w:color="auto" w:sz="4" w:space="0"/>
                  </w:tcBorders>
                  <w:shd w:val="clear" w:color="auto" w:fill="auto"/>
                  <w:vAlign w:val="center"/>
                </w:tcPr>
                <w:p w14:paraId="59F8E7C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rPr>
                  </w:pPr>
                  <w:r>
                    <w:rPr>
                      <w:rFonts w:hint="default" w:ascii="Times New Roman" w:hAnsi="Times New Roman" w:eastAsia="仿宋" w:cs="Times New Roman"/>
                      <w:b/>
                      <w:bCs/>
                      <w:spacing w:val="3"/>
                      <w:sz w:val="24"/>
                      <w:szCs w:val="24"/>
                      <w:highlight w:val="none"/>
                    </w:rPr>
                    <w:t>功能分区</w:t>
                  </w:r>
                </w:p>
              </w:tc>
              <w:tc>
                <w:tcPr>
                  <w:tcW w:w="2928" w:type="dxa"/>
                  <w:tcBorders>
                    <w:top w:val="single" w:color="auto" w:sz="4" w:space="0"/>
                    <w:left w:val="single" w:color="auto" w:sz="4" w:space="0"/>
                    <w:bottom w:val="single" w:color="auto" w:sz="4" w:space="0"/>
                    <w:right w:val="single" w:color="auto" w:sz="4" w:space="0"/>
                  </w:tcBorders>
                  <w:shd w:val="clear" w:color="auto" w:fill="auto"/>
                  <w:vAlign w:val="center"/>
                </w:tcPr>
                <w:p w14:paraId="7F134BB5">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lang w:val="en-US" w:eastAsia="zh-CN"/>
                    </w:rPr>
                  </w:pPr>
                  <w:r>
                    <w:rPr>
                      <w:rFonts w:hint="default" w:ascii="Times New Roman" w:hAnsi="Times New Roman" w:eastAsia="仿宋" w:cs="Times New Roman"/>
                      <w:b/>
                      <w:bCs/>
                      <w:spacing w:val="3"/>
                      <w:sz w:val="24"/>
                      <w:szCs w:val="24"/>
                      <w:highlight w:val="none"/>
                      <w:lang w:val="en-US" w:eastAsia="zh-CN"/>
                    </w:rPr>
                    <w:t>技术标准</w:t>
                  </w:r>
                </w:p>
              </w:tc>
              <w:tc>
                <w:tcPr>
                  <w:tcW w:w="2274" w:type="dxa"/>
                  <w:tcBorders>
                    <w:top w:val="single" w:color="auto" w:sz="4" w:space="0"/>
                    <w:left w:val="single" w:color="auto" w:sz="4" w:space="0"/>
                    <w:bottom w:val="single" w:color="auto" w:sz="4" w:space="0"/>
                    <w:right w:val="single" w:color="auto" w:sz="4" w:space="0"/>
                  </w:tcBorders>
                  <w:shd w:val="clear" w:color="auto" w:fill="auto"/>
                  <w:vAlign w:val="center"/>
                </w:tcPr>
                <w:p w14:paraId="169907A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lang w:val="en-US" w:eastAsia="zh-CN"/>
                    </w:rPr>
                  </w:pPr>
                  <w:r>
                    <w:rPr>
                      <w:rFonts w:hint="default" w:ascii="Times New Roman" w:hAnsi="Times New Roman" w:eastAsia="仿宋" w:cs="Times New Roman"/>
                      <w:b/>
                      <w:bCs/>
                      <w:spacing w:val="3"/>
                      <w:sz w:val="24"/>
                      <w:szCs w:val="24"/>
                      <w:highlight w:val="none"/>
                      <w:lang w:val="en-US" w:eastAsia="zh-CN"/>
                    </w:rPr>
                    <w:t>拟建</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54AF009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bCs/>
                      <w:spacing w:val="3"/>
                      <w:sz w:val="24"/>
                      <w:szCs w:val="24"/>
                      <w:highlight w:val="none"/>
                      <w:lang w:val="en-US" w:eastAsia="zh-CN"/>
                    </w:rPr>
                  </w:pPr>
                  <w:r>
                    <w:rPr>
                      <w:rFonts w:hint="default" w:ascii="Times New Roman" w:hAnsi="Times New Roman" w:eastAsia="仿宋" w:cs="Times New Roman"/>
                      <w:b/>
                      <w:bCs/>
                      <w:spacing w:val="3"/>
                      <w:sz w:val="24"/>
                      <w:szCs w:val="24"/>
                      <w:highlight w:val="none"/>
                      <w:lang w:val="en-US" w:eastAsia="zh-CN"/>
                    </w:rPr>
                    <w:t>对比情况</w:t>
                  </w:r>
                </w:p>
              </w:tc>
            </w:tr>
            <w:tr w14:paraId="5C85B2F9">
              <w:tblPrEx>
                <w:tblCellMar>
                  <w:top w:w="0" w:type="dxa"/>
                  <w:left w:w="108" w:type="dxa"/>
                  <w:bottom w:w="0" w:type="dxa"/>
                  <w:right w:w="108" w:type="dxa"/>
                </w:tblCellMar>
              </w:tblPrEx>
              <w:trPr>
                <w:trHeight w:val="285" w:hRule="atLeast"/>
                <w:jc w:val="center"/>
              </w:trPr>
              <w:tc>
                <w:tcPr>
                  <w:tcW w:w="1810" w:type="dxa"/>
                  <w:tcBorders>
                    <w:top w:val="single" w:color="auto" w:sz="4" w:space="0"/>
                    <w:left w:val="single" w:color="auto" w:sz="4" w:space="0"/>
                    <w:bottom w:val="single" w:color="auto" w:sz="4" w:space="0"/>
                    <w:right w:val="single" w:color="auto" w:sz="4" w:space="0"/>
                  </w:tcBorders>
                  <w:shd w:val="clear" w:color="auto" w:fill="auto"/>
                  <w:vAlign w:val="center"/>
                </w:tcPr>
                <w:p w14:paraId="618EFA75">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bidi="ar"/>
                    </w:rPr>
                    <w:t>村民活动中心</w:t>
                  </w:r>
                </w:p>
              </w:tc>
              <w:tc>
                <w:tcPr>
                  <w:tcW w:w="2928" w:type="dxa"/>
                  <w:tcBorders>
                    <w:top w:val="single" w:color="auto" w:sz="4" w:space="0"/>
                    <w:left w:val="single" w:color="auto" w:sz="4" w:space="0"/>
                    <w:bottom w:val="single" w:color="auto" w:sz="4" w:space="0"/>
                    <w:right w:val="single" w:color="auto" w:sz="4" w:space="0"/>
                  </w:tcBorders>
                  <w:shd w:val="clear" w:color="auto" w:fill="auto"/>
                  <w:vAlign w:val="center"/>
                </w:tcPr>
                <w:p w14:paraId="3089CAEE">
                  <w:pPr>
                    <w:kinsoku/>
                    <w:autoSpaceDE/>
                    <w:autoSpaceDN/>
                    <w:adjustRightInd/>
                    <w:snapToGrid/>
                    <w:spacing w:before="0" w:line="240" w:lineRule="auto"/>
                    <w:ind w:left="0" w:firstLine="0"/>
                    <w:jc w:val="center"/>
                    <w:textAlignment w:val="auto"/>
                    <w:rPr>
                      <w:rFonts w:hint="eastAsia"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建筑面积800</w:t>
                  </w:r>
                  <w:r>
                    <w:rPr>
                      <w:rFonts w:hint="eastAsia" w:ascii="Times New Roman" w:hAnsi="Times New Roman" w:eastAsia="仿宋" w:cs="Times New Roman"/>
                      <w:b w:val="0"/>
                      <w:bCs w:val="0"/>
                      <w:spacing w:val="3"/>
                      <w:sz w:val="24"/>
                      <w:szCs w:val="24"/>
                      <w:highlight w:val="none"/>
                      <w:lang w:val="en-US" w:eastAsia="zh-CN"/>
                    </w:rPr>
                    <w:t>㎡</w:t>
                  </w:r>
                  <w:r>
                    <w:rPr>
                      <w:rFonts w:hint="eastAsia" w:ascii="Times New Roman" w:hAnsi="Times New Roman" w:eastAsia="仿宋" w:cs="Times New Roman"/>
                      <w:spacing w:val="3"/>
                      <w:sz w:val="24"/>
                      <w:szCs w:val="24"/>
                      <w:highlight w:val="none"/>
                      <w:lang w:val="en-US" w:eastAsia="zh-CN"/>
                    </w:rPr>
                    <w:t>-1500</w:t>
                  </w:r>
                  <w:r>
                    <w:rPr>
                      <w:rFonts w:hint="eastAsia" w:ascii="Times New Roman" w:hAnsi="Times New Roman" w:eastAsia="仿宋" w:cs="Times New Roman"/>
                      <w:b w:val="0"/>
                      <w:bCs w:val="0"/>
                      <w:spacing w:val="3"/>
                      <w:sz w:val="24"/>
                      <w:szCs w:val="24"/>
                      <w:highlight w:val="none"/>
                      <w:lang w:val="en-US" w:eastAsia="zh-CN"/>
                    </w:rPr>
                    <w:t>㎡</w:t>
                  </w:r>
                </w:p>
                <w:p w14:paraId="28936E25">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层数1-3层</w:t>
                  </w:r>
                </w:p>
              </w:tc>
              <w:tc>
                <w:tcPr>
                  <w:tcW w:w="2274" w:type="dxa"/>
                  <w:tcBorders>
                    <w:top w:val="single" w:color="auto" w:sz="4" w:space="0"/>
                    <w:left w:val="single" w:color="auto" w:sz="4" w:space="0"/>
                    <w:bottom w:val="single" w:color="auto" w:sz="4" w:space="0"/>
                    <w:right w:val="single" w:color="auto" w:sz="4" w:space="0"/>
                  </w:tcBorders>
                  <w:shd w:val="clear" w:color="auto" w:fill="auto"/>
                  <w:vAlign w:val="center"/>
                </w:tcPr>
                <w:p w14:paraId="5E2070CE">
                  <w:pPr>
                    <w:kinsoku/>
                    <w:autoSpaceDE/>
                    <w:autoSpaceDN/>
                    <w:adjustRightInd/>
                    <w:snapToGrid/>
                    <w:spacing w:before="0" w:line="240" w:lineRule="auto"/>
                    <w:ind w:left="0" w:firstLine="0"/>
                    <w:jc w:val="center"/>
                    <w:textAlignment w:val="auto"/>
                    <w:rPr>
                      <w:rFonts w:hint="eastAsia" w:ascii="Times New Roman" w:hAnsi="Times New Roman" w:eastAsia="仿宋" w:cs="Times New Roman"/>
                      <w:b w:val="0"/>
                      <w:bCs w:val="0"/>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bidi="ar"/>
                    </w:rPr>
                    <w:t>1260</w:t>
                  </w:r>
                  <w:r>
                    <w:rPr>
                      <w:rFonts w:hint="eastAsia" w:ascii="Times New Roman" w:hAnsi="Times New Roman" w:eastAsia="仿宋" w:cs="Times New Roman"/>
                      <w:b w:val="0"/>
                      <w:bCs w:val="0"/>
                      <w:spacing w:val="3"/>
                      <w:sz w:val="24"/>
                      <w:szCs w:val="24"/>
                      <w:highlight w:val="none"/>
                      <w:lang w:val="en-US" w:eastAsia="zh-CN"/>
                    </w:rPr>
                    <w:t>㎡</w:t>
                  </w:r>
                </w:p>
                <w:p w14:paraId="5BEE977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b w:val="0"/>
                      <w:bCs w:val="0"/>
                      <w:spacing w:val="3"/>
                      <w:sz w:val="24"/>
                      <w:szCs w:val="24"/>
                      <w:highlight w:val="none"/>
                      <w:lang w:val="en-US" w:eastAsia="zh-CN"/>
                    </w:rPr>
                    <w:t>层数1层</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2A0204F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default" w:ascii="Times New Roman" w:hAnsi="Times New Roman" w:eastAsia="仿宋" w:cs="Times New Roman"/>
                      <w:spacing w:val="3"/>
                      <w:sz w:val="24"/>
                      <w:szCs w:val="24"/>
                      <w:highlight w:val="none"/>
                      <w:lang w:val="en-US" w:eastAsia="zh-CN" w:bidi="ar"/>
                    </w:rPr>
                    <w:t>符合规范</w:t>
                  </w:r>
                </w:p>
              </w:tc>
            </w:tr>
            <w:tr w14:paraId="76976D10">
              <w:tblPrEx>
                <w:tblCellMar>
                  <w:top w:w="0" w:type="dxa"/>
                  <w:left w:w="108" w:type="dxa"/>
                  <w:bottom w:w="0" w:type="dxa"/>
                  <w:right w:w="108" w:type="dxa"/>
                </w:tblCellMar>
              </w:tblPrEx>
              <w:trPr>
                <w:trHeight w:val="270" w:hRule="atLeast"/>
                <w:jc w:val="center"/>
              </w:trPr>
              <w:tc>
                <w:tcPr>
                  <w:tcW w:w="1810" w:type="dxa"/>
                  <w:tcBorders>
                    <w:top w:val="single" w:color="auto" w:sz="4" w:space="0"/>
                    <w:left w:val="single" w:color="auto" w:sz="4" w:space="0"/>
                    <w:bottom w:val="single" w:color="auto" w:sz="4" w:space="0"/>
                    <w:right w:val="single" w:color="auto" w:sz="4" w:space="0"/>
                  </w:tcBorders>
                  <w:shd w:val="clear" w:color="auto" w:fill="auto"/>
                  <w:vAlign w:val="center"/>
                </w:tcPr>
                <w:p w14:paraId="1FE332F4">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bidi="ar"/>
                    </w:rPr>
                    <w:t>配套用房</w:t>
                  </w:r>
                </w:p>
              </w:tc>
              <w:tc>
                <w:tcPr>
                  <w:tcW w:w="2928" w:type="dxa"/>
                  <w:tcBorders>
                    <w:top w:val="single" w:color="auto" w:sz="4" w:space="0"/>
                    <w:left w:val="single" w:color="auto" w:sz="4" w:space="0"/>
                    <w:bottom w:val="single" w:color="auto" w:sz="4" w:space="0"/>
                    <w:right w:val="single" w:color="auto" w:sz="4" w:space="0"/>
                  </w:tcBorders>
                  <w:shd w:val="clear" w:color="auto" w:fill="auto"/>
                  <w:vAlign w:val="center"/>
                </w:tcPr>
                <w:p w14:paraId="6D32650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56</w:t>
                  </w:r>
                  <w:r>
                    <w:rPr>
                      <w:rFonts w:hint="eastAsia" w:ascii="Times New Roman" w:hAnsi="Times New Roman" w:eastAsia="仿宋" w:cs="Times New Roman"/>
                      <w:b w:val="0"/>
                      <w:bCs w:val="0"/>
                      <w:spacing w:val="3"/>
                      <w:sz w:val="24"/>
                      <w:szCs w:val="24"/>
                      <w:highlight w:val="none"/>
                      <w:lang w:val="en-US" w:eastAsia="zh-CN"/>
                    </w:rPr>
                    <w:t>㎡</w:t>
                  </w:r>
                  <w:r>
                    <w:rPr>
                      <w:rFonts w:hint="eastAsia" w:ascii="Times New Roman" w:hAnsi="Times New Roman" w:eastAsia="仿宋" w:cs="Times New Roman"/>
                      <w:spacing w:val="3"/>
                      <w:sz w:val="24"/>
                      <w:szCs w:val="24"/>
                      <w:highlight w:val="none"/>
                      <w:lang w:val="en-US" w:eastAsia="zh-CN"/>
                    </w:rPr>
                    <w:t>-120</w:t>
                  </w:r>
                  <w:r>
                    <w:rPr>
                      <w:rFonts w:hint="eastAsia" w:ascii="Times New Roman" w:hAnsi="Times New Roman" w:eastAsia="仿宋" w:cs="Times New Roman"/>
                      <w:b w:val="0"/>
                      <w:bCs w:val="0"/>
                      <w:spacing w:val="3"/>
                      <w:sz w:val="24"/>
                      <w:szCs w:val="24"/>
                      <w:highlight w:val="none"/>
                      <w:lang w:val="en-US" w:eastAsia="zh-CN"/>
                    </w:rPr>
                    <w:t>㎡</w:t>
                  </w:r>
                </w:p>
              </w:tc>
              <w:tc>
                <w:tcPr>
                  <w:tcW w:w="2274" w:type="dxa"/>
                  <w:tcBorders>
                    <w:top w:val="single" w:color="auto" w:sz="4" w:space="0"/>
                    <w:left w:val="single" w:color="auto" w:sz="4" w:space="0"/>
                    <w:bottom w:val="single" w:color="auto" w:sz="4" w:space="0"/>
                    <w:right w:val="single" w:color="auto" w:sz="4" w:space="0"/>
                  </w:tcBorders>
                  <w:shd w:val="clear" w:color="auto" w:fill="auto"/>
                  <w:vAlign w:val="center"/>
                </w:tcPr>
                <w:p w14:paraId="2C85E459">
                  <w:pPr>
                    <w:kinsoku/>
                    <w:autoSpaceDE/>
                    <w:autoSpaceDN/>
                    <w:adjustRightInd/>
                    <w:snapToGrid/>
                    <w:spacing w:before="0" w:line="240" w:lineRule="auto"/>
                    <w:ind w:left="0" w:firstLine="0"/>
                    <w:jc w:val="center"/>
                    <w:textAlignment w:val="auto"/>
                    <w:rPr>
                      <w:rFonts w:hint="eastAsia" w:ascii="Times New Roman" w:hAnsi="Times New Roman" w:eastAsia="仿宋" w:cs="Times New Roman"/>
                      <w:b w:val="0"/>
                      <w:bCs w:val="0"/>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bidi="ar"/>
                    </w:rPr>
                    <w:t>80</w:t>
                  </w:r>
                  <w:r>
                    <w:rPr>
                      <w:rFonts w:hint="eastAsia" w:ascii="Times New Roman" w:hAnsi="Times New Roman" w:eastAsia="仿宋" w:cs="Times New Roman"/>
                      <w:b w:val="0"/>
                      <w:bCs w:val="0"/>
                      <w:spacing w:val="3"/>
                      <w:sz w:val="24"/>
                      <w:szCs w:val="24"/>
                      <w:highlight w:val="none"/>
                      <w:lang w:val="en-US" w:eastAsia="zh-CN"/>
                    </w:rPr>
                    <w:t>㎡</w:t>
                  </w:r>
                </w:p>
                <w:p w14:paraId="660B3842">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b w:val="0"/>
                      <w:bCs w:val="0"/>
                      <w:spacing w:val="3"/>
                      <w:sz w:val="24"/>
                      <w:szCs w:val="24"/>
                      <w:highlight w:val="none"/>
                      <w:lang w:val="en-US" w:eastAsia="zh-CN"/>
                    </w:rPr>
                    <w:t>层数1层</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05A2D362">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default" w:ascii="Times New Roman" w:hAnsi="Times New Roman" w:eastAsia="仿宋" w:cs="Times New Roman"/>
                      <w:spacing w:val="3"/>
                      <w:sz w:val="24"/>
                      <w:szCs w:val="24"/>
                      <w:highlight w:val="none"/>
                      <w:lang w:val="en-US" w:eastAsia="zh-CN" w:bidi="ar"/>
                    </w:rPr>
                    <w:t>符合规范</w:t>
                  </w:r>
                </w:p>
              </w:tc>
            </w:tr>
            <w:tr w14:paraId="522F1DBC">
              <w:tblPrEx>
                <w:tblCellMar>
                  <w:top w:w="0" w:type="dxa"/>
                  <w:left w:w="108" w:type="dxa"/>
                  <w:bottom w:w="0" w:type="dxa"/>
                  <w:right w:w="108" w:type="dxa"/>
                </w:tblCellMar>
              </w:tblPrEx>
              <w:trPr>
                <w:trHeight w:val="270" w:hRule="atLeast"/>
                <w:jc w:val="center"/>
              </w:trPr>
              <w:tc>
                <w:tcPr>
                  <w:tcW w:w="1810" w:type="dxa"/>
                  <w:tcBorders>
                    <w:top w:val="single" w:color="auto" w:sz="4" w:space="0"/>
                    <w:left w:val="single" w:color="auto" w:sz="4" w:space="0"/>
                    <w:bottom w:val="single" w:color="auto" w:sz="4" w:space="0"/>
                    <w:right w:val="single" w:color="auto" w:sz="4" w:space="0"/>
                  </w:tcBorders>
                  <w:shd w:val="clear" w:color="auto" w:fill="auto"/>
                  <w:vAlign w:val="center"/>
                </w:tcPr>
                <w:p w14:paraId="29F41493">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室外活动场地</w:t>
                  </w:r>
                </w:p>
              </w:tc>
              <w:tc>
                <w:tcPr>
                  <w:tcW w:w="2928" w:type="dxa"/>
                  <w:tcBorders>
                    <w:top w:val="single" w:color="auto" w:sz="4" w:space="0"/>
                    <w:left w:val="single" w:color="auto" w:sz="4" w:space="0"/>
                    <w:bottom w:val="single" w:color="auto" w:sz="4" w:space="0"/>
                    <w:right w:val="single" w:color="auto" w:sz="4" w:space="0"/>
                  </w:tcBorders>
                  <w:shd w:val="clear" w:color="auto" w:fill="auto"/>
                  <w:vAlign w:val="center"/>
                </w:tcPr>
                <w:p w14:paraId="27EAB97C">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600</w:t>
                  </w:r>
                  <w:r>
                    <w:rPr>
                      <w:rFonts w:hint="eastAsia" w:ascii="Times New Roman" w:hAnsi="Times New Roman" w:eastAsia="仿宋" w:cs="Times New Roman"/>
                      <w:b w:val="0"/>
                      <w:bCs w:val="0"/>
                      <w:spacing w:val="3"/>
                      <w:sz w:val="24"/>
                      <w:szCs w:val="24"/>
                      <w:highlight w:val="none"/>
                      <w:lang w:val="en-US" w:eastAsia="zh-CN"/>
                    </w:rPr>
                    <w:t>㎡-1200㎡</w:t>
                  </w:r>
                </w:p>
              </w:tc>
              <w:tc>
                <w:tcPr>
                  <w:tcW w:w="2274" w:type="dxa"/>
                  <w:tcBorders>
                    <w:top w:val="single" w:color="auto" w:sz="4" w:space="0"/>
                    <w:left w:val="single" w:color="auto" w:sz="4" w:space="0"/>
                    <w:bottom w:val="single" w:color="auto" w:sz="4" w:space="0"/>
                    <w:right w:val="single" w:color="auto" w:sz="4" w:space="0"/>
                  </w:tcBorders>
                  <w:shd w:val="clear" w:color="auto" w:fill="auto"/>
                  <w:vAlign w:val="center"/>
                </w:tcPr>
                <w:p w14:paraId="523B77E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b w:val="0"/>
                      <w:bCs w:val="0"/>
                      <w:spacing w:val="3"/>
                      <w:sz w:val="24"/>
                      <w:szCs w:val="24"/>
                      <w:highlight w:val="none"/>
                      <w:lang w:val="en-US" w:eastAsia="zh-CN"/>
                    </w:rPr>
                  </w:pPr>
                  <w:r>
                    <w:rPr>
                      <w:rFonts w:hint="eastAsia" w:ascii="Times New Roman" w:hAnsi="Times New Roman" w:eastAsia="仿宋" w:cs="Times New Roman"/>
                      <w:b w:val="0"/>
                      <w:bCs w:val="0"/>
                      <w:spacing w:val="3"/>
                      <w:sz w:val="24"/>
                      <w:szCs w:val="24"/>
                      <w:highlight w:val="none"/>
                      <w:lang w:val="en-US" w:eastAsia="zh-CN"/>
                    </w:rPr>
                    <w:t>1180㎡</w:t>
                  </w:r>
                </w:p>
              </w:tc>
              <w:tc>
                <w:tcPr>
                  <w:tcW w:w="1513" w:type="dxa"/>
                  <w:tcBorders>
                    <w:top w:val="single" w:color="auto" w:sz="4" w:space="0"/>
                    <w:left w:val="single" w:color="auto" w:sz="4" w:space="0"/>
                    <w:bottom w:val="single" w:color="auto" w:sz="4" w:space="0"/>
                    <w:right w:val="single" w:color="auto" w:sz="4" w:space="0"/>
                  </w:tcBorders>
                  <w:shd w:val="clear" w:color="auto" w:fill="auto"/>
                  <w:vAlign w:val="center"/>
                </w:tcPr>
                <w:p w14:paraId="06047351">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符合规范</w:t>
                  </w:r>
                </w:p>
              </w:tc>
            </w:tr>
            <w:tr w14:paraId="6D6FA792">
              <w:tblPrEx>
                <w:tblCellMar>
                  <w:top w:w="0" w:type="dxa"/>
                  <w:left w:w="108" w:type="dxa"/>
                  <w:bottom w:w="0" w:type="dxa"/>
                  <w:right w:w="108" w:type="dxa"/>
                </w:tblCellMar>
              </w:tblPrEx>
              <w:trPr>
                <w:trHeight w:val="270" w:hRule="atLeast"/>
                <w:jc w:val="center"/>
              </w:trPr>
              <w:tc>
                <w:tcPr>
                  <w:tcW w:w="1810" w:type="dxa"/>
                  <w:tcBorders>
                    <w:top w:val="single" w:color="auto" w:sz="4" w:space="0"/>
                    <w:left w:val="single" w:color="auto" w:sz="4" w:space="0"/>
                    <w:bottom w:val="single" w:color="auto" w:sz="4" w:space="0"/>
                    <w:right w:val="single" w:color="auto" w:sz="4" w:space="0"/>
                  </w:tcBorders>
                  <w:shd w:val="clear" w:color="auto" w:fill="auto"/>
                  <w:vAlign w:val="center"/>
                </w:tcPr>
                <w:p w14:paraId="274E23E2">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室外停车场</w:t>
                  </w:r>
                </w:p>
              </w:tc>
              <w:tc>
                <w:tcPr>
                  <w:tcW w:w="2928" w:type="dxa"/>
                  <w:tcBorders>
                    <w:top w:val="single" w:color="auto" w:sz="4" w:space="0"/>
                    <w:left w:val="single" w:color="auto" w:sz="4" w:space="0"/>
                    <w:bottom w:val="single" w:color="auto" w:sz="4" w:space="0"/>
                    <w:right w:val="single" w:color="auto" w:sz="4" w:space="0"/>
                  </w:tcBorders>
                  <w:shd w:val="clear" w:color="auto" w:fill="auto"/>
                  <w:vAlign w:val="center"/>
                </w:tcPr>
                <w:p w14:paraId="48886C7B">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1800</w:t>
                  </w:r>
                  <w:r>
                    <w:rPr>
                      <w:rFonts w:hint="eastAsia" w:ascii="Times New Roman" w:hAnsi="Times New Roman" w:eastAsia="仿宋" w:cs="Times New Roman"/>
                      <w:b w:val="0"/>
                      <w:bCs w:val="0"/>
                      <w:spacing w:val="3"/>
                      <w:sz w:val="24"/>
                      <w:szCs w:val="24"/>
                      <w:highlight w:val="none"/>
                      <w:lang w:val="en-US" w:eastAsia="zh-CN"/>
                    </w:rPr>
                    <w:t>㎡</w:t>
                  </w:r>
                </w:p>
              </w:tc>
              <w:tc>
                <w:tcPr>
                  <w:tcW w:w="2274" w:type="dxa"/>
                  <w:vMerge w:val="restart"/>
                  <w:tcBorders>
                    <w:top w:val="single" w:color="auto" w:sz="4" w:space="0"/>
                    <w:left w:val="single" w:color="auto" w:sz="4" w:space="0"/>
                    <w:right w:val="single" w:color="auto" w:sz="4" w:space="0"/>
                  </w:tcBorders>
                  <w:shd w:val="clear" w:color="auto" w:fill="auto"/>
                  <w:vAlign w:val="center"/>
                </w:tcPr>
                <w:p w14:paraId="642AECB4">
                  <w:pPr>
                    <w:kinsoku/>
                    <w:autoSpaceDE/>
                    <w:autoSpaceDN/>
                    <w:adjustRightInd/>
                    <w:snapToGrid/>
                    <w:spacing w:before="0" w:line="240" w:lineRule="auto"/>
                    <w:ind w:left="0" w:firstLine="0"/>
                    <w:jc w:val="center"/>
                    <w:textAlignment w:val="auto"/>
                    <w:rPr>
                      <w:rFonts w:hint="eastAsia" w:ascii="Times New Roman" w:hAnsi="Times New Roman" w:eastAsia="仿宋" w:cs="Times New Roman"/>
                      <w:b w:val="0"/>
                      <w:bCs w:val="0"/>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根据当地主管部门有关控制指标要求和实际情况确定</w:t>
                  </w:r>
                </w:p>
              </w:tc>
              <w:tc>
                <w:tcPr>
                  <w:tcW w:w="1513" w:type="dxa"/>
                  <w:vMerge w:val="restart"/>
                  <w:tcBorders>
                    <w:top w:val="single" w:color="auto" w:sz="4" w:space="0"/>
                    <w:left w:val="single" w:color="auto" w:sz="4" w:space="0"/>
                    <w:right w:val="single" w:color="auto" w:sz="4" w:space="0"/>
                  </w:tcBorders>
                  <w:shd w:val="clear" w:color="auto" w:fill="auto"/>
                  <w:vAlign w:val="center"/>
                </w:tcPr>
                <w:p w14:paraId="06517206">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符合规范</w:t>
                  </w:r>
                </w:p>
              </w:tc>
            </w:tr>
            <w:tr w14:paraId="02A6A564">
              <w:tblPrEx>
                <w:tblCellMar>
                  <w:top w:w="0" w:type="dxa"/>
                  <w:left w:w="108" w:type="dxa"/>
                  <w:bottom w:w="0" w:type="dxa"/>
                  <w:right w:w="108" w:type="dxa"/>
                </w:tblCellMar>
              </w:tblPrEx>
              <w:trPr>
                <w:trHeight w:val="270" w:hRule="atLeast"/>
                <w:jc w:val="center"/>
              </w:trPr>
              <w:tc>
                <w:tcPr>
                  <w:tcW w:w="1810" w:type="dxa"/>
                  <w:tcBorders>
                    <w:top w:val="single" w:color="auto" w:sz="4" w:space="0"/>
                    <w:left w:val="single" w:color="auto" w:sz="4" w:space="0"/>
                    <w:bottom w:val="single" w:color="auto" w:sz="4" w:space="0"/>
                    <w:right w:val="single" w:color="auto" w:sz="4" w:space="0"/>
                  </w:tcBorders>
                  <w:shd w:val="clear" w:color="auto" w:fill="auto"/>
                  <w:vAlign w:val="center"/>
                </w:tcPr>
                <w:p w14:paraId="224CEE5F">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内部道路</w:t>
                  </w:r>
                </w:p>
              </w:tc>
              <w:tc>
                <w:tcPr>
                  <w:tcW w:w="2928" w:type="dxa"/>
                  <w:tcBorders>
                    <w:top w:val="single" w:color="auto" w:sz="4" w:space="0"/>
                    <w:left w:val="single" w:color="auto" w:sz="4" w:space="0"/>
                    <w:bottom w:val="single" w:color="auto" w:sz="4" w:space="0"/>
                    <w:right w:val="single" w:color="auto" w:sz="4" w:space="0"/>
                  </w:tcBorders>
                  <w:shd w:val="clear" w:color="auto" w:fill="auto"/>
                  <w:vAlign w:val="center"/>
                </w:tcPr>
                <w:p w14:paraId="55B562E0">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500</w:t>
                  </w:r>
                  <w:r>
                    <w:rPr>
                      <w:rFonts w:hint="eastAsia" w:ascii="Times New Roman" w:hAnsi="Times New Roman" w:eastAsia="仿宋" w:cs="Times New Roman"/>
                      <w:b w:val="0"/>
                      <w:bCs w:val="0"/>
                      <w:spacing w:val="3"/>
                      <w:sz w:val="24"/>
                      <w:szCs w:val="24"/>
                      <w:highlight w:val="none"/>
                      <w:lang w:val="en-US" w:eastAsia="zh-CN"/>
                    </w:rPr>
                    <w:t>㎡</w:t>
                  </w:r>
                </w:p>
              </w:tc>
              <w:tc>
                <w:tcPr>
                  <w:tcW w:w="2274" w:type="dxa"/>
                  <w:vMerge w:val="continue"/>
                  <w:tcBorders>
                    <w:left w:val="single" w:color="auto" w:sz="4" w:space="0"/>
                    <w:right w:val="single" w:color="auto" w:sz="4" w:space="0"/>
                  </w:tcBorders>
                  <w:shd w:val="clear" w:color="auto" w:fill="auto"/>
                  <w:vAlign w:val="center"/>
                </w:tcPr>
                <w:p w14:paraId="4F4DD166">
                  <w:pPr>
                    <w:kinsoku/>
                    <w:autoSpaceDE/>
                    <w:autoSpaceDN/>
                    <w:adjustRightInd/>
                    <w:snapToGrid/>
                    <w:spacing w:before="0" w:line="240" w:lineRule="auto"/>
                    <w:ind w:left="0" w:firstLine="0"/>
                    <w:jc w:val="center"/>
                    <w:textAlignment w:val="auto"/>
                    <w:rPr>
                      <w:rFonts w:hint="eastAsia" w:ascii="Times New Roman" w:hAnsi="Times New Roman" w:eastAsia="仿宋" w:cs="Times New Roman"/>
                      <w:b w:val="0"/>
                      <w:bCs w:val="0"/>
                      <w:spacing w:val="3"/>
                      <w:sz w:val="24"/>
                      <w:szCs w:val="24"/>
                      <w:highlight w:val="none"/>
                      <w:lang w:val="en-US" w:eastAsia="zh-CN"/>
                    </w:rPr>
                  </w:pPr>
                </w:p>
              </w:tc>
              <w:tc>
                <w:tcPr>
                  <w:tcW w:w="1513" w:type="dxa"/>
                  <w:vMerge w:val="continue"/>
                  <w:tcBorders>
                    <w:left w:val="single" w:color="auto" w:sz="4" w:space="0"/>
                    <w:right w:val="single" w:color="auto" w:sz="4" w:space="0"/>
                  </w:tcBorders>
                  <w:shd w:val="clear" w:color="auto" w:fill="auto"/>
                  <w:vAlign w:val="center"/>
                </w:tcPr>
                <w:p w14:paraId="70453E48">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p>
              </w:tc>
            </w:tr>
            <w:tr w14:paraId="72668487">
              <w:tblPrEx>
                <w:tblCellMar>
                  <w:top w:w="0" w:type="dxa"/>
                  <w:left w:w="108" w:type="dxa"/>
                  <w:bottom w:w="0" w:type="dxa"/>
                  <w:right w:w="108" w:type="dxa"/>
                </w:tblCellMar>
              </w:tblPrEx>
              <w:trPr>
                <w:trHeight w:val="270" w:hRule="atLeast"/>
                <w:jc w:val="center"/>
              </w:trPr>
              <w:tc>
                <w:tcPr>
                  <w:tcW w:w="1810" w:type="dxa"/>
                  <w:tcBorders>
                    <w:top w:val="single" w:color="auto" w:sz="4" w:space="0"/>
                    <w:left w:val="single" w:color="auto" w:sz="4" w:space="0"/>
                    <w:bottom w:val="single" w:color="auto" w:sz="4" w:space="0"/>
                    <w:right w:val="single" w:color="auto" w:sz="4" w:space="0"/>
                  </w:tcBorders>
                  <w:shd w:val="clear" w:color="auto" w:fill="auto"/>
                  <w:vAlign w:val="center"/>
                </w:tcPr>
                <w:p w14:paraId="7EB5BC1E">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r>
                    <w:rPr>
                      <w:rFonts w:hint="eastAsia" w:ascii="Times New Roman" w:hAnsi="Times New Roman" w:eastAsia="仿宋" w:cs="Times New Roman"/>
                      <w:spacing w:val="3"/>
                      <w:sz w:val="24"/>
                      <w:szCs w:val="24"/>
                      <w:highlight w:val="none"/>
                      <w:lang w:val="en-US" w:eastAsia="zh-CN" w:bidi="ar"/>
                    </w:rPr>
                    <w:t>绿化</w:t>
                  </w:r>
                </w:p>
              </w:tc>
              <w:tc>
                <w:tcPr>
                  <w:tcW w:w="2928" w:type="dxa"/>
                  <w:tcBorders>
                    <w:top w:val="single" w:color="auto" w:sz="4" w:space="0"/>
                    <w:left w:val="single" w:color="auto" w:sz="4" w:space="0"/>
                    <w:bottom w:val="single" w:color="auto" w:sz="4" w:space="0"/>
                    <w:right w:val="single" w:color="auto" w:sz="4" w:space="0"/>
                  </w:tcBorders>
                  <w:shd w:val="clear" w:color="auto" w:fill="auto"/>
                  <w:vAlign w:val="center"/>
                </w:tcPr>
                <w:p w14:paraId="76EC098D">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lang w:val="en-US" w:eastAsia="zh-CN"/>
                    </w:rPr>
                    <w:t>584</w:t>
                  </w:r>
                  <w:r>
                    <w:rPr>
                      <w:rFonts w:hint="eastAsia" w:ascii="Times New Roman" w:hAnsi="Times New Roman" w:eastAsia="仿宋" w:cs="Times New Roman"/>
                      <w:b w:val="0"/>
                      <w:bCs w:val="0"/>
                      <w:spacing w:val="3"/>
                      <w:sz w:val="24"/>
                      <w:szCs w:val="24"/>
                      <w:highlight w:val="none"/>
                      <w:lang w:val="en-US" w:eastAsia="zh-CN"/>
                    </w:rPr>
                    <w:t>㎡</w:t>
                  </w:r>
                </w:p>
              </w:tc>
              <w:tc>
                <w:tcPr>
                  <w:tcW w:w="2274" w:type="dxa"/>
                  <w:vMerge w:val="continue"/>
                  <w:tcBorders>
                    <w:left w:val="single" w:color="auto" w:sz="4" w:space="0"/>
                    <w:bottom w:val="single" w:color="auto" w:sz="4" w:space="0"/>
                    <w:right w:val="single" w:color="auto" w:sz="4" w:space="0"/>
                  </w:tcBorders>
                  <w:shd w:val="clear" w:color="auto" w:fill="auto"/>
                  <w:vAlign w:val="center"/>
                </w:tcPr>
                <w:p w14:paraId="5DE290CE">
                  <w:pPr>
                    <w:kinsoku/>
                    <w:autoSpaceDE/>
                    <w:autoSpaceDN/>
                    <w:adjustRightInd/>
                    <w:snapToGrid/>
                    <w:spacing w:before="0" w:line="240" w:lineRule="auto"/>
                    <w:ind w:left="0" w:firstLine="0"/>
                    <w:jc w:val="center"/>
                    <w:textAlignment w:val="auto"/>
                    <w:rPr>
                      <w:rFonts w:hint="eastAsia" w:ascii="Times New Roman" w:hAnsi="Times New Roman" w:eastAsia="仿宋" w:cs="Times New Roman"/>
                      <w:b w:val="0"/>
                      <w:bCs w:val="0"/>
                      <w:spacing w:val="3"/>
                      <w:sz w:val="24"/>
                      <w:szCs w:val="24"/>
                      <w:highlight w:val="none"/>
                      <w:lang w:val="en-US" w:eastAsia="zh-CN"/>
                    </w:rPr>
                  </w:pPr>
                </w:p>
              </w:tc>
              <w:tc>
                <w:tcPr>
                  <w:tcW w:w="1513" w:type="dxa"/>
                  <w:vMerge w:val="continue"/>
                  <w:tcBorders>
                    <w:left w:val="single" w:color="auto" w:sz="4" w:space="0"/>
                    <w:bottom w:val="single" w:color="auto" w:sz="4" w:space="0"/>
                    <w:right w:val="single" w:color="auto" w:sz="4" w:space="0"/>
                  </w:tcBorders>
                  <w:shd w:val="clear" w:color="auto" w:fill="auto"/>
                  <w:vAlign w:val="center"/>
                </w:tcPr>
                <w:p w14:paraId="3ABE0BD6">
                  <w:pPr>
                    <w:kinsoku/>
                    <w:autoSpaceDE/>
                    <w:autoSpaceDN/>
                    <w:adjustRightInd/>
                    <w:snapToGrid/>
                    <w:spacing w:before="0" w:line="240" w:lineRule="auto"/>
                    <w:ind w:left="0" w:firstLine="0"/>
                    <w:jc w:val="center"/>
                    <w:textAlignment w:val="auto"/>
                    <w:rPr>
                      <w:rFonts w:hint="default" w:ascii="Times New Roman" w:hAnsi="Times New Roman" w:eastAsia="仿宋" w:cs="Times New Roman"/>
                      <w:spacing w:val="3"/>
                      <w:sz w:val="24"/>
                      <w:szCs w:val="24"/>
                      <w:highlight w:val="none"/>
                      <w:lang w:val="en-US" w:eastAsia="zh-CN" w:bidi="ar"/>
                    </w:rPr>
                  </w:pPr>
                </w:p>
              </w:tc>
            </w:tr>
          </w:tbl>
          <w:p w14:paraId="25068A6A">
            <w:pPr>
              <w:spacing w:before="136" w:line="337" w:lineRule="auto"/>
              <w:ind w:left="123" w:firstLine="454"/>
              <w:jc w:val="both"/>
              <w:rPr>
                <w:rFonts w:hint="default" w:ascii="Times New Roman" w:hAnsi="Times New Roman" w:eastAsia="仿宋" w:cs="Times New Roman"/>
                <w:spacing w:val="3"/>
                <w:sz w:val="24"/>
                <w:szCs w:val="24"/>
                <w:highlight w:val="none"/>
              </w:rPr>
            </w:pPr>
            <w:r>
              <w:rPr>
                <w:rFonts w:hint="default" w:ascii="Times New Roman" w:hAnsi="Times New Roman" w:eastAsia="仿宋" w:cs="Times New Roman"/>
                <w:spacing w:val="3"/>
                <w:sz w:val="24"/>
                <w:szCs w:val="24"/>
                <w:highlight w:val="none"/>
                <w:lang w:val="en-US" w:eastAsia="zh-CN"/>
              </w:rPr>
              <w:t>通过对比，</w:t>
            </w:r>
            <w:r>
              <w:rPr>
                <w:rFonts w:hint="default" w:ascii="Times New Roman" w:hAnsi="Times New Roman" w:eastAsia="仿宋" w:cs="Times New Roman"/>
                <w:spacing w:val="3"/>
                <w:sz w:val="24"/>
                <w:szCs w:val="24"/>
                <w:highlight w:val="none"/>
              </w:rPr>
              <w:t>本项目各功能</w:t>
            </w:r>
            <w:r>
              <w:rPr>
                <w:rFonts w:hint="default" w:ascii="Times New Roman" w:hAnsi="Times New Roman" w:eastAsia="仿宋" w:cs="Times New Roman"/>
                <w:spacing w:val="3"/>
                <w:sz w:val="24"/>
                <w:szCs w:val="24"/>
                <w:highlight w:val="none"/>
                <w:lang w:val="en-US" w:eastAsia="zh-CN"/>
              </w:rPr>
              <w:t>区</w:t>
            </w:r>
            <w:r>
              <w:rPr>
                <w:rFonts w:hint="default" w:ascii="Times New Roman" w:hAnsi="Times New Roman" w:eastAsia="仿宋" w:cs="Times New Roman"/>
                <w:spacing w:val="3"/>
                <w:sz w:val="24"/>
                <w:szCs w:val="24"/>
                <w:highlight w:val="none"/>
              </w:rPr>
              <w:t>面积合理。综上，本项目用地规模合理。</w:t>
            </w:r>
          </w:p>
          <w:p w14:paraId="65258959">
            <w:pPr>
              <w:spacing w:before="136" w:line="337" w:lineRule="auto"/>
              <w:ind w:left="123" w:firstLine="454"/>
              <w:jc w:val="both"/>
              <w:rPr>
                <w:rFonts w:hint="default" w:ascii="Times New Roman" w:hAnsi="Times New Roman" w:eastAsia="仿宋" w:cs="Times New Roman"/>
                <w:sz w:val="24"/>
                <w:szCs w:val="24"/>
              </w:rPr>
            </w:pPr>
            <w:r>
              <w:rPr>
                <w:rFonts w:hint="default" w:ascii="Times New Roman" w:hAnsi="Times New Roman" w:eastAsia="仿宋" w:cs="Times New Roman"/>
                <w:spacing w:val="31"/>
                <w:sz w:val="24"/>
                <w:szCs w:val="24"/>
              </w:rPr>
              <w:t>(</w:t>
            </w:r>
            <w:r>
              <w:rPr>
                <w:rFonts w:hint="eastAsia" w:ascii="Times New Roman" w:hAnsi="Times New Roman" w:eastAsia="仿宋" w:cs="Times New Roman"/>
                <w:spacing w:val="29"/>
                <w:sz w:val="24"/>
                <w:szCs w:val="24"/>
                <w:lang w:val="en-US" w:eastAsia="zh-CN"/>
              </w:rPr>
              <w:t>三</w:t>
            </w:r>
            <w:r>
              <w:rPr>
                <w:rFonts w:hint="default" w:ascii="Times New Roman" w:hAnsi="Times New Roman" w:eastAsia="仿宋" w:cs="Times New Roman"/>
                <w:spacing w:val="29"/>
                <w:sz w:val="24"/>
                <w:szCs w:val="24"/>
              </w:rPr>
              <w:t>)选址合理性</w:t>
            </w:r>
          </w:p>
          <w:p w14:paraId="1E2F43BA">
            <w:pPr>
              <w:autoSpaceDE/>
              <w:autoSpaceDN/>
              <w:spacing w:before="136" w:line="337" w:lineRule="auto"/>
              <w:ind w:left="123" w:firstLine="454" w:firstLineChars="0"/>
              <w:jc w:val="both"/>
              <w:rPr>
                <w:rFonts w:hint="default" w:ascii="Times New Roman" w:hAnsi="Times New Roman" w:eastAsia="仿宋" w:cs="Times New Roman"/>
                <w:spacing w:val="22"/>
                <w:sz w:val="24"/>
                <w:szCs w:val="24"/>
              </w:rPr>
            </w:pPr>
            <w:r>
              <w:rPr>
                <w:rFonts w:hint="eastAsia" w:ascii="Times New Roman" w:hAnsi="Times New Roman" w:eastAsia="仿宋" w:cs="Times New Roman"/>
                <w:spacing w:val="22"/>
                <w:sz w:val="24"/>
                <w:szCs w:val="24"/>
                <w:lang w:eastAsia="zh-CN"/>
              </w:rPr>
              <w:t>珠玑古巷市政道路工程项目、</w:t>
            </w:r>
            <w:r>
              <w:rPr>
                <w:rFonts w:hint="eastAsia" w:ascii="Times New Roman" w:hAnsi="Times New Roman" w:eastAsia="仿宋" w:cs="Times New Roman"/>
                <w:spacing w:val="22"/>
                <w:sz w:val="24"/>
                <w:szCs w:val="24"/>
                <w:lang w:val="en-US" w:eastAsia="zh-CN"/>
              </w:rPr>
              <w:t>珠玑古巷文化配套设施项目和</w:t>
            </w:r>
            <w:r>
              <w:rPr>
                <w:rFonts w:hint="default" w:ascii="Times New Roman" w:hAnsi="Times New Roman" w:eastAsia="仿宋" w:cs="Times New Roman"/>
                <w:spacing w:val="22"/>
                <w:sz w:val="24"/>
                <w:szCs w:val="24"/>
              </w:rPr>
              <w:t>南雄市珠玑镇群众活动综合体（梅岭片区）项目均完全位于城镇开发边界外，不涉及永久基本农田、生态保护红线及城镇开发边界。不涉及自然保护地、城市蓝线、城市绿线、城市黄线、城市紫线、历史文化保护线等国土空间总体规划控制线，符合控制线的管控要求。</w:t>
            </w:r>
          </w:p>
          <w:p w14:paraId="34BCB865">
            <w:pPr>
              <w:spacing w:before="136" w:line="337" w:lineRule="auto"/>
              <w:ind w:left="123" w:firstLine="454"/>
              <w:jc w:val="both"/>
              <w:rPr>
                <w:rFonts w:hint="default" w:ascii="Times New Roman" w:hAnsi="Times New Roman" w:eastAsia="仿宋" w:cs="Times New Roman"/>
                <w:sz w:val="24"/>
                <w:szCs w:val="24"/>
              </w:rPr>
            </w:pPr>
            <w:r>
              <w:rPr>
                <w:rFonts w:hint="default" w:ascii="Times New Roman" w:hAnsi="Times New Roman" w:eastAsia="仿宋" w:cs="Times New Roman"/>
                <w:spacing w:val="22"/>
                <w:sz w:val="24"/>
                <w:szCs w:val="24"/>
              </w:rPr>
              <w:t>根据</w:t>
            </w:r>
            <w:r>
              <w:rPr>
                <w:rFonts w:hint="default" w:ascii="Times New Roman" w:hAnsi="Times New Roman" w:eastAsia="仿宋" w:cs="Times New Roman"/>
                <w:spacing w:val="22"/>
                <w:sz w:val="24"/>
                <w:szCs w:val="24"/>
                <w:lang w:eastAsia="zh-CN"/>
              </w:rPr>
              <w:t>南雄市</w:t>
            </w:r>
            <w:r>
              <w:rPr>
                <w:rFonts w:hint="eastAsia" w:ascii="Times New Roman" w:hAnsi="Times New Roman" w:eastAsia="仿宋" w:cs="Times New Roman"/>
                <w:spacing w:val="22"/>
                <w:sz w:val="24"/>
                <w:szCs w:val="24"/>
                <w:lang w:eastAsia="zh-CN"/>
              </w:rPr>
              <w:t>2024年度国土变更调查</w:t>
            </w:r>
            <w:r>
              <w:rPr>
                <w:rFonts w:hint="default" w:ascii="Times New Roman" w:hAnsi="Times New Roman" w:eastAsia="仿宋" w:cs="Times New Roman"/>
                <w:spacing w:val="22"/>
                <w:sz w:val="24"/>
                <w:szCs w:val="24"/>
              </w:rPr>
              <w:t>成果分析，</w:t>
            </w:r>
            <w:r>
              <w:rPr>
                <w:rFonts w:hint="eastAsia" w:ascii="Times New Roman" w:hAnsi="Times New Roman" w:eastAsia="仿宋" w:cs="Times New Roman"/>
                <w:spacing w:val="22"/>
                <w:sz w:val="24"/>
                <w:szCs w:val="24"/>
                <w:highlight w:val="none"/>
              </w:rPr>
              <w:t>南雄市珠玑镇群众活动综合体（梅岭片区）项目</w:t>
            </w:r>
            <w:r>
              <w:rPr>
                <w:rFonts w:hint="default" w:ascii="Times New Roman" w:hAnsi="Times New Roman" w:eastAsia="仿宋" w:cs="Times New Roman"/>
                <w:spacing w:val="22"/>
                <w:sz w:val="24"/>
                <w:szCs w:val="24"/>
                <w:highlight w:val="none"/>
              </w:rPr>
              <w:t>不涉及占用耕地</w:t>
            </w:r>
            <w:r>
              <w:rPr>
                <w:rFonts w:hint="default" w:ascii="Times New Roman" w:hAnsi="Times New Roman" w:eastAsia="仿宋" w:cs="Times New Roman"/>
                <w:spacing w:val="22"/>
                <w:sz w:val="24"/>
                <w:szCs w:val="24"/>
              </w:rPr>
              <w:t>。</w:t>
            </w:r>
            <w:r>
              <w:rPr>
                <w:rFonts w:hint="eastAsia" w:ascii="Times New Roman" w:hAnsi="Times New Roman" w:eastAsia="仿宋" w:cs="Times New Roman"/>
                <w:spacing w:val="22"/>
                <w:sz w:val="24"/>
                <w:szCs w:val="24"/>
                <w:highlight w:val="none"/>
              </w:rPr>
              <w:t>珠玑古巷文化配套设施项目</w:t>
            </w:r>
            <w:r>
              <w:rPr>
                <w:rFonts w:hint="eastAsia" w:ascii="Times New Roman" w:hAnsi="Times New Roman" w:eastAsia="仿宋" w:cs="Times New Roman"/>
                <w:spacing w:val="22"/>
                <w:sz w:val="24"/>
                <w:szCs w:val="24"/>
                <w:highlight w:val="none"/>
                <w:lang w:val="en-US" w:eastAsia="zh-CN"/>
              </w:rPr>
              <w:t>涉及占用耕地面积</w:t>
            </w:r>
            <w:r>
              <w:rPr>
                <w:rFonts w:hint="default" w:ascii="Times New Roman" w:hAnsi="Times New Roman" w:eastAsia="仿宋" w:cs="Times New Roman"/>
                <w:spacing w:val="22"/>
                <w:sz w:val="24"/>
                <w:szCs w:val="24"/>
                <w:highlight w:val="none"/>
              </w:rPr>
              <w:t>0.</w:t>
            </w:r>
            <w:r>
              <w:rPr>
                <w:rFonts w:hint="eastAsia" w:ascii="Times New Roman" w:hAnsi="Times New Roman" w:eastAsia="仿宋" w:cs="Times New Roman"/>
                <w:spacing w:val="22"/>
                <w:sz w:val="24"/>
                <w:szCs w:val="24"/>
                <w:highlight w:val="none"/>
                <w:lang w:val="en-US" w:eastAsia="zh-CN"/>
              </w:rPr>
              <w:t>3645</w:t>
            </w:r>
            <w:r>
              <w:rPr>
                <w:rFonts w:hint="default" w:ascii="Times New Roman" w:hAnsi="Times New Roman" w:eastAsia="仿宋" w:cs="Times New Roman"/>
                <w:spacing w:val="22"/>
                <w:sz w:val="24"/>
                <w:szCs w:val="24"/>
                <w:highlight w:val="none"/>
              </w:rPr>
              <w:t>公顷（</w:t>
            </w:r>
            <w:r>
              <w:rPr>
                <w:rFonts w:hint="eastAsia" w:ascii="Times New Roman" w:hAnsi="Times New Roman" w:eastAsia="仿宋" w:cs="Times New Roman"/>
                <w:spacing w:val="22"/>
                <w:sz w:val="24"/>
                <w:szCs w:val="24"/>
                <w:highlight w:val="none"/>
                <w:lang w:val="en-US" w:eastAsia="zh-CN"/>
              </w:rPr>
              <w:t>其中</w:t>
            </w:r>
            <w:r>
              <w:rPr>
                <w:rFonts w:hint="default" w:ascii="Times New Roman" w:hAnsi="Times New Roman" w:eastAsia="仿宋" w:cs="Times New Roman"/>
                <w:spacing w:val="22"/>
                <w:sz w:val="24"/>
                <w:szCs w:val="24"/>
                <w:highlight w:val="none"/>
                <w:lang w:val="en-US" w:eastAsia="zh-CN"/>
              </w:rPr>
              <w:t>水浇地</w:t>
            </w:r>
            <w:r>
              <w:rPr>
                <w:rFonts w:hint="eastAsia" w:ascii="Times New Roman" w:hAnsi="Times New Roman" w:eastAsia="仿宋" w:cs="Times New Roman"/>
                <w:spacing w:val="22"/>
                <w:sz w:val="24"/>
                <w:szCs w:val="24"/>
                <w:highlight w:val="none"/>
                <w:lang w:val="en-US" w:eastAsia="zh-CN"/>
              </w:rPr>
              <w:t>0.2121公顷、水田0.1524公顷</w:t>
            </w:r>
            <w:r>
              <w:rPr>
                <w:rFonts w:hint="default" w:ascii="Times New Roman" w:hAnsi="Times New Roman" w:eastAsia="仿宋" w:cs="Times New Roman"/>
                <w:spacing w:val="22"/>
                <w:sz w:val="24"/>
                <w:szCs w:val="24"/>
                <w:highlight w:val="none"/>
              </w:rPr>
              <w:t>）根据《广东省国土资源厅转发自然资源部办公厅关于在用地审查报批中按管理新方式落实耕地占补平衡的通知》（</w:t>
            </w:r>
            <w:r>
              <w:rPr>
                <w:rFonts w:hint="eastAsia" w:ascii="Times New Roman" w:hAnsi="Times New Roman" w:eastAsia="仿宋" w:cs="Times New Roman"/>
                <w:spacing w:val="22"/>
                <w:sz w:val="24"/>
                <w:szCs w:val="24"/>
                <w:highlight w:val="none"/>
                <w:lang w:eastAsia="zh-CN"/>
              </w:rPr>
              <w:t>粤</w:t>
            </w:r>
            <w:r>
              <w:rPr>
                <w:rFonts w:hint="default" w:ascii="Times New Roman" w:hAnsi="Times New Roman" w:eastAsia="仿宋" w:cs="Times New Roman"/>
                <w:spacing w:val="22"/>
                <w:sz w:val="24"/>
                <w:szCs w:val="24"/>
                <w:highlight w:val="none"/>
              </w:rPr>
              <w:t>国土资耕保发〔2018〕86号）、《广东省自然资源厅关于做好用地报批涉及可调整地类落实占补平衡工作的通知》（</w:t>
            </w:r>
            <w:r>
              <w:rPr>
                <w:rFonts w:hint="eastAsia" w:ascii="Times New Roman" w:hAnsi="Times New Roman" w:eastAsia="仿宋" w:cs="Times New Roman"/>
                <w:spacing w:val="22"/>
                <w:sz w:val="24"/>
                <w:szCs w:val="24"/>
                <w:highlight w:val="none"/>
                <w:lang w:eastAsia="zh-CN"/>
              </w:rPr>
              <w:t>粤</w:t>
            </w:r>
            <w:r>
              <w:rPr>
                <w:rFonts w:hint="default" w:ascii="Times New Roman" w:hAnsi="Times New Roman" w:eastAsia="仿宋" w:cs="Times New Roman"/>
                <w:spacing w:val="22"/>
                <w:sz w:val="24"/>
                <w:szCs w:val="24"/>
                <w:highlight w:val="none"/>
              </w:rPr>
              <w:t>自然资耕保〔2020〕1137号）等相关要求，以</w:t>
            </w:r>
            <w:r>
              <w:rPr>
                <w:rFonts w:hint="eastAsia" w:ascii="Times New Roman" w:hAnsi="Times New Roman" w:eastAsia="仿宋" w:cs="Times New Roman"/>
                <w:spacing w:val="22"/>
                <w:sz w:val="24"/>
                <w:szCs w:val="24"/>
                <w:highlight w:val="none"/>
                <w:lang w:eastAsia="zh-CN"/>
              </w:rPr>
              <w:t>“</w:t>
            </w:r>
            <w:r>
              <w:rPr>
                <w:rFonts w:hint="default" w:ascii="Times New Roman" w:hAnsi="Times New Roman" w:eastAsia="仿宋" w:cs="Times New Roman"/>
                <w:spacing w:val="22"/>
                <w:sz w:val="24"/>
                <w:szCs w:val="24"/>
                <w:highlight w:val="none"/>
              </w:rPr>
              <w:t>占优补优</w:t>
            </w:r>
            <w:r>
              <w:rPr>
                <w:rFonts w:hint="eastAsia" w:ascii="Times New Roman" w:hAnsi="Times New Roman" w:eastAsia="仿宋" w:cs="Times New Roman"/>
                <w:spacing w:val="22"/>
                <w:sz w:val="24"/>
                <w:szCs w:val="24"/>
                <w:highlight w:val="none"/>
                <w:lang w:eastAsia="zh-CN"/>
              </w:rPr>
              <w:t>”“</w:t>
            </w:r>
            <w:r>
              <w:rPr>
                <w:rFonts w:hint="default" w:ascii="Times New Roman" w:hAnsi="Times New Roman" w:eastAsia="仿宋" w:cs="Times New Roman"/>
                <w:spacing w:val="22"/>
                <w:sz w:val="24"/>
                <w:szCs w:val="24"/>
                <w:highlight w:val="none"/>
              </w:rPr>
              <w:t>占水田补水田</w:t>
            </w:r>
            <w:r>
              <w:rPr>
                <w:rFonts w:hint="eastAsia" w:ascii="Times New Roman" w:hAnsi="Times New Roman" w:eastAsia="仿宋" w:cs="Times New Roman"/>
                <w:spacing w:val="22"/>
                <w:sz w:val="24"/>
                <w:szCs w:val="24"/>
                <w:highlight w:val="none"/>
                <w:lang w:eastAsia="zh-CN"/>
              </w:rPr>
              <w:t>”</w:t>
            </w:r>
            <w:r>
              <w:rPr>
                <w:rFonts w:hint="default" w:ascii="Times New Roman" w:hAnsi="Times New Roman" w:eastAsia="仿宋" w:cs="Times New Roman"/>
                <w:spacing w:val="22"/>
                <w:sz w:val="24"/>
                <w:szCs w:val="24"/>
                <w:highlight w:val="none"/>
              </w:rPr>
              <w:t>的原则，严格落实耕地占补平衡，确保耕地占补平衡数量质量双到位。</w:t>
            </w:r>
          </w:p>
          <w:p w14:paraId="6908D08B">
            <w:pPr>
              <w:spacing w:before="136" w:line="337" w:lineRule="auto"/>
              <w:ind w:left="123" w:firstLine="454"/>
              <w:jc w:val="both"/>
              <w:rPr>
                <w:rFonts w:hint="default" w:ascii="Times New Roman" w:hAnsi="Times New Roman" w:eastAsia="仿宋" w:cs="Times New Roman"/>
                <w:spacing w:val="-5"/>
                <w:sz w:val="24"/>
                <w:szCs w:val="24"/>
                <w:highlight w:val="none"/>
                <w14:textOutline w14:w="4394" w14:cap="flat" w14:cmpd="sng" w14:algn="ctr">
                  <w14:solidFill>
                    <w14:srgbClr w14:val="000000"/>
                  </w14:solidFill>
                  <w14:prstDash w14:val="solid"/>
                  <w14:miter w14:val="0"/>
                </w14:textOutline>
              </w:rPr>
            </w:pPr>
            <w:r>
              <w:rPr>
                <w:rFonts w:hint="default" w:ascii="Times New Roman" w:hAnsi="Times New Roman" w:eastAsia="仿宋" w:cs="Times New Roman"/>
                <w:spacing w:val="-5"/>
                <w:sz w:val="24"/>
                <w:szCs w:val="24"/>
                <w:highlight w:val="none"/>
                <w14:textOutline w14:w="4394" w14:cap="flat" w14:cmpd="sng" w14:algn="ctr">
                  <w14:solidFill>
                    <w14:srgbClr w14:val="000000"/>
                  </w14:solidFill>
                  <w14:prstDash w14:val="solid"/>
                  <w14:miter w14:val="0"/>
                </w14:textOutline>
              </w:rPr>
              <w:t>三、与相关规划衔接情况</w:t>
            </w:r>
          </w:p>
          <w:p w14:paraId="3C9478D7">
            <w:pPr>
              <w:spacing w:before="136" w:line="337" w:lineRule="auto"/>
              <w:ind w:left="123" w:firstLine="454"/>
              <w:jc w:val="both"/>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（一）与国民经济和社会发展规划协调性分析</w:t>
            </w:r>
          </w:p>
          <w:p w14:paraId="39D0E8B5">
            <w:pPr>
              <w:spacing w:before="136" w:line="337" w:lineRule="auto"/>
              <w:ind w:left="123" w:firstLine="454"/>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《韶关市国民经济和社会发展第十四个五年规划和2035年远景目标纲要》提出</w:t>
            </w:r>
            <w:r>
              <w:rPr>
                <w:rFonts w:hint="eastAsia" w:ascii="Times New Roman" w:hAnsi="Times New Roman" w:eastAsia="仿宋" w:cs="Times New Roman"/>
                <w:sz w:val="24"/>
                <w:szCs w:val="24"/>
                <w:highlight w:val="none"/>
                <w:lang w:val="en-US" w:eastAsia="zh-CN"/>
              </w:rPr>
              <w:t>着力抓好重点景区建设，推进珠玑古巷</w:t>
            </w:r>
            <w:r>
              <w:rPr>
                <w:rFonts w:hint="eastAsia" w:ascii="微软雅黑" w:hAnsi="微软雅黑" w:eastAsia="微软雅黑" w:cs="微软雅黑"/>
                <w:sz w:val="24"/>
                <w:szCs w:val="24"/>
                <w:highlight w:val="none"/>
                <w:lang w:val="en-US" w:eastAsia="zh-CN"/>
              </w:rPr>
              <w:t>·</w:t>
            </w:r>
            <w:r>
              <w:rPr>
                <w:rFonts w:hint="eastAsia" w:ascii="Times New Roman" w:hAnsi="Times New Roman" w:eastAsia="仿宋" w:cs="Times New Roman"/>
                <w:sz w:val="24"/>
                <w:szCs w:val="24"/>
                <w:highlight w:val="none"/>
                <w:lang w:val="en-US" w:eastAsia="zh-CN"/>
              </w:rPr>
              <w:t>梅关古驿道景区创建国家5A级旅游景区，着力打造“中华姓氏名都”旅游品牌，结合新型城镇化建设，推进城景一体化发展，创建南雄珠玑镇旅游风情小镇。实行珠玑古巷改造提升工程，提升珠玑文化特色小镇档次和水平。强化乡村公共文化服务，推动城镇公共文化服务向农村延伸，培育多元文化服务主体，使更多资源向农村和农民倾斜</w:t>
            </w:r>
            <w:r>
              <w:rPr>
                <w:rFonts w:hint="default" w:ascii="Times New Roman" w:hAnsi="Times New Roman" w:eastAsia="仿宋" w:cs="Times New Roman"/>
                <w:sz w:val="24"/>
                <w:szCs w:val="24"/>
                <w:highlight w:val="none"/>
              </w:rPr>
              <w:t>。</w:t>
            </w:r>
          </w:p>
          <w:p w14:paraId="50378185">
            <w:pPr>
              <w:spacing w:before="136" w:line="337" w:lineRule="auto"/>
              <w:ind w:left="123" w:firstLine="454"/>
              <w:jc w:val="both"/>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rPr>
              <w:t>《</w:t>
            </w:r>
            <w:r>
              <w:rPr>
                <w:rFonts w:hint="default" w:ascii="Times New Roman" w:hAnsi="Times New Roman" w:eastAsia="仿宋" w:cs="Times New Roman"/>
                <w:sz w:val="24"/>
                <w:szCs w:val="24"/>
                <w:highlight w:val="none"/>
                <w:lang w:eastAsia="zh-CN"/>
              </w:rPr>
              <w:t>南雄市</w:t>
            </w:r>
            <w:r>
              <w:rPr>
                <w:rFonts w:hint="default" w:ascii="Times New Roman" w:hAnsi="Times New Roman" w:eastAsia="仿宋" w:cs="Times New Roman"/>
                <w:sz w:val="24"/>
                <w:szCs w:val="24"/>
                <w:highlight w:val="none"/>
              </w:rPr>
              <w:t>国民经济和社会发展第十四个五年规划和2035年远景目标纲要》提出</w:t>
            </w:r>
            <w:r>
              <w:rPr>
                <w:rFonts w:hint="eastAsia" w:ascii="Times New Roman" w:hAnsi="Times New Roman" w:eastAsia="仿宋" w:cs="Times New Roman"/>
                <w:sz w:val="24"/>
                <w:szCs w:val="24"/>
                <w:highlight w:val="none"/>
                <w:lang w:val="en-US" w:eastAsia="zh-CN"/>
              </w:rPr>
              <w:t>充分利用珠玑古巷旅游资源，重构“大珠玑”文化旅游体系，谋划《魂牵珠玑巷》文化品牌。大力推进“珠玑－雄州同城化”步伐，着力破解城乡发展二元结构上的不平衡、补充问题。优化珠玑发展格局，以珠玑镇区、珠玑古巷现有公共服务设施和旅游资源为基础，构建珠玑镇区综合发展中心；以原梅岭镇镇区和梅岭、梅关为基础，构建跨区域的服务和旅游中心，全面推进城乡公共服务均等化建设，提升城乡居民生活质量水平</w:t>
            </w:r>
            <w:r>
              <w:rPr>
                <w:rFonts w:hint="default" w:ascii="Times New Roman" w:hAnsi="Times New Roman" w:eastAsia="仿宋" w:cs="Times New Roman"/>
                <w:sz w:val="24"/>
                <w:szCs w:val="24"/>
                <w:highlight w:val="none"/>
                <w:lang w:val="en-US" w:eastAsia="zh-CN"/>
              </w:rPr>
              <w:t>。</w:t>
            </w:r>
          </w:p>
          <w:p w14:paraId="53C49FBA">
            <w:pPr>
              <w:spacing w:before="136" w:line="337" w:lineRule="auto"/>
              <w:ind w:left="123" w:firstLine="454"/>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综上所述，</w:t>
            </w:r>
            <w:r>
              <w:rPr>
                <w:rFonts w:hint="eastAsia" w:ascii="Times New Roman" w:hAnsi="Times New Roman" w:eastAsia="仿宋" w:cs="Times New Roman"/>
                <w:sz w:val="24"/>
                <w:szCs w:val="24"/>
                <w:highlight w:val="none"/>
                <w:lang w:val="en-US" w:eastAsia="zh-CN"/>
              </w:rPr>
              <w:t>珠玑古巷文化配套设施</w:t>
            </w:r>
            <w:r>
              <w:rPr>
                <w:rFonts w:hint="default" w:ascii="Times New Roman" w:hAnsi="Times New Roman" w:eastAsia="仿宋" w:cs="Times New Roman"/>
                <w:sz w:val="24"/>
                <w:szCs w:val="24"/>
                <w:highlight w:val="none"/>
              </w:rPr>
              <w:t>和南雄市珠玑镇群众活动综合体（梅岭片区）项目均符合《韶关市国民经济和社会发展第十四个五年规划和2035年远景目标纲要》《</w:t>
            </w:r>
            <w:r>
              <w:rPr>
                <w:rFonts w:hint="default" w:ascii="Times New Roman" w:hAnsi="Times New Roman" w:eastAsia="仿宋" w:cs="Times New Roman"/>
                <w:sz w:val="24"/>
                <w:szCs w:val="24"/>
                <w:highlight w:val="none"/>
                <w:lang w:eastAsia="zh-CN"/>
              </w:rPr>
              <w:t>南雄市</w:t>
            </w:r>
            <w:r>
              <w:rPr>
                <w:rFonts w:hint="default" w:ascii="Times New Roman" w:hAnsi="Times New Roman" w:eastAsia="仿宋" w:cs="Times New Roman"/>
                <w:sz w:val="24"/>
                <w:szCs w:val="24"/>
                <w:highlight w:val="none"/>
              </w:rPr>
              <w:t>国民经济和社会发展第十四个五年规划和2035年远景目标纲要》的目标。</w:t>
            </w:r>
          </w:p>
          <w:p w14:paraId="4A65B7DD">
            <w:pPr>
              <w:numPr>
                <w:ilvl w:val="0"/>
                <w:numId w:val="1"/>
              </w:numPr>
              <w:spacing w:before="136" w:line="337" w:lineRule="auto"/>
              <w:ind w:left="123" w:firstLine="454"/>
              <w:jc w:val="both"/>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与国土空间总体规划协调性分析</w:t>
            </w:r>
          </w:p>
          <w:p w14:paraId="170A779E">
            <w:pPr>
              <w:spacing w:before="136" w:line="337" w:lineRule="auto"/>
              <w:ind w:left="123" w:firstLine="454"/>
              <w:jc w:val="both"/>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 xml:space="preserve">1. </w:t>
            </w:r>
            <w:r>
              <w:rPr>
                <w:rFonts w:hint="default" w:ascii="Times New Roman" w:hAnsi="Times New Roman" w:eastAsia="仿宋" w:cs="Times New Roman"/>
                <w:sz w:val="24"/>
                <w:szCs w:val="24"/>
                <w:lang w:val="en-US" w:eastAsia="zh-CN"/>
              </w:rPr>
              <w:t>珠玑古巷文化配套设施项目</w:t>
            </w:r>
          </w:p>
          <w:p w14:paraId="243A586E">
            <w:pPr>
              <w:spacing w:before="136" w:line="337" w:lineRule="auto"/>
              <w:ind w:left="123" w:firstLine="454"/>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w:t>
            </w:r>
            <w:r>
              <w:rPr>
                <w:rFonts w:hint="default" w:ascii="Times New Roman" w:hAnsi="Times New Roman" w:eastAsia="仿宋" w:cs="Times New Roman"/>
                <w:sz w:val="24"/>
                <w:szCs w:val="24"/>
                <w:highlight w:val="none"/>
                <w:lang w:eastAsia="zh-CN"/>
              </w:rPr>
              <w:t>南雄市</w:t>
            </w:r>
            <w:r>
              <w:rPr>
                <w:rFonts w:hint="default" w:ascii="Times New Roman" w:hAnsi="Times New Roman" w:eastAsia="仿宋" w:cs="Times New Roman"/>
                <w:sz w:val="24"/>
                <w:szCs w:val="24"/>
                <w:highlight w:val="none"/>
              </w:rPr>
              <w:t>国土空间总体规划（2021</w:t>
            </w:r>
            <w:r>
              <w:rPr>
                <w:rFonts w:hint="eastAsia"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2035年）》提出打造全域特色旅游胜地，依托南雄市旅游资源和交通廊道，规划构建北部大珠玑文化旅游区</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sz w:val="24"/>
                <w:szCs w:val="24"/>
                <w:highlight w:val="none"/>
                <w:lang w:val="en-US" w:eastAsia="zh-CN"/>
              </w:rPr>
              <w:t>聚力发展现代文化产业，围绕南迁、长征、禅宗等主题着力开展文化展示，打造文化公园、场馆、小镇等系列特色文化项目。</w:t>
            </w:r>
            <w:r>
              <w:rPr>
                <w:rFonts w:hint="eastAsia" w:ascii="Times New Roman" w:hAnsi="Times New Roman" w:eastAsia="仿宋" w:cs="Times New Roman"/>
                <w:sz w:val="24"/>
                <w:szCs w:val="24"/>
                <w:highlight w:val="none"/>
              </w:rPr>
              <w:t>完善景区内部基础设施建设，重点加强旅游道路等基础设施建设。</w:t>
            </w:r>
            <w:r>
              <w:rPr>
                <w:rFonts w:hint="eastAsia" w:ascii="Times New Roman" w:hAnsi="Times New Roman" w:eastAsia="仿宋" w:cs="Times New Roman"/>
                <w:sz w:val="24"/>
                <w:szCs w:val="24"/>
                <w:highlight w:val="none"/>
                <w:lang w:val="en-US" w:eastAsia="zh-CN"/>
              </w:rPr>
              <w:t>以“大珠玑”文化旅游品牌为引领，整合南雄文化、历史、生态资源，加强科学规划，形成体系统一推进。</w:t>
            </w:r>
          </w:p>
          <w:p w14:paraId="2E4F52DE">
            <w:pPr>
              <w:spacing w:before="136" w:line="337" w:lineRule="auto"/>
              <w:ind w:left="123" w:firstLine="454"/>
              <w:jc w:val="both"/>
              <w:rPr>
                <w:rFonts w:hint="default" w:ascii="Times New Roman" w:hAnsi="Times New Roman" w:eastAsia="仿宋" w:cs="Times New Roman"/>
                <w:sz w:val="24"/>
                <w:szCs w:val="24"/>
                <w:highlight w:val="yellow"/>
              </w:rPr>
            </w:pPr>
            <w:r>
              <w:rPr>
                <w:rFonts w:hint="default" w:ascii="Times New Roman" w:hAnsi="Times New Roman" w:eastAsia="仿宋" w:cs="Times New Roman"/>
                <w:sz w:val="24"/>
                <w:szCs w:val="24"/>
                <w:highlight w:val="none"/>
              </w:rPr>
              <w:t>根据《</w:t>
            </w:r>
            <w:r>
              <w:rPr>
                <w:rFonts w:hint="default" w:ascii="Times New Roman" w:hAnsi="Times New Roman" w:eastAsia="仿宋" w:cs="Times New Roman"/>
                <w:sz w:val="24"/>
                <w:szCs w:val="24"/>
                <w:highlight w:val="none"/>
                <w:lang w:eastAsia="zh-CN"/>
              </w:rPr>
              <w:t>南雄市</w:t>
            </w:r>
            <w:r>
              <w:rPr>
                <w:rFonts w:hint="default" w:ascii="Times New Roman" w:hAnsi="Times New Roman" w:eastAsia="仿宋" w:cs="Times New Roman"/>
                <w:sz w:val="24"/>
                <w:szCs w:val="24"/>
                <w:highlight w:val="none"/>
              </w:rPr>
              <w:t>国土空间总体规划（2021</w:t>
            </w:r>
            <w:r>
              <w:rPr>
                <w:rFonts w:hint="eastAsia"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2035年）》数据分析，本项目涉及建设用地</w:t>
            </w:r>
            <w:r>
              <w:rPr>
                <w:rFonts w:hint="eastAsia" w:ascii="Times New Roman" w:hAnsi="Times New Roman" w:eastAsia="仿宋" w:cs="Times New Roman"/>
                <w:sz w:val="24"/>
                <w:szCs w:val="24"/>
                <w:highlight w:val="none"/>
                <w:lang w:val="en-US" w:eastAsia="zh-CN"/>
              </w:rPr>
              <w:t>1.2591</w:t>
            </w:r>
            <w:r>
              <w:rPr>
                <w:rFonts w:hint="default" w:ascii="Times New Roman" w:hAnsi="Times New Roman" w:eastAsia="仿宋" w:cs="Times New Roman"/>
                <w:sz w:val="24"/>
                <w:szCs w:val="24"/>
                <w:highlight w:val="none"/>
              </w:rPr>
              <w:t>公顷（</w:t>
            </w:r>
            <w:r>
              <w:rPr>
                <w:rFonts w:hint="default" w:ascii="Times New Roman" w:hAnsi="Times New Roman" w:eastAsia="仿宋" w:cs="Times New Roman"/>
                <w:sz w:val="24"/>
                <w:szCs w:val="24"/>
                <w:highlight w:val="none"/>
                <w:lang w:val="en-US" w:eastAsia="zh-CN"/>
              </w:rPr>
              <w:t>其中</w:t>
            </w:r>
            <w:r>
              <w:rPr>
                <w:rFonts w:hint="eastAsia" w:ascii="Times New Roman" w:hAnsi="Times New Roman" w:eastAsia="仿宋" w:cs="Times New Roman"/>
                <w:sz w:val="24"/>
                <w:szCs w:val="24"/>
                <w:highlight w:val="none"/>
                <w:lang w:val="en-US" w:eastAsia="zh-CN"/>
              </w:rPr>
              <w:t>特殊用</w:t>
            </w:r>
            <w:r>
              <w:rPr>
                <w:rFonts w:hint="default" w:ascii="Times New Roman" w:hAnsi="Times New Roman" w:eastAsia="仿宋" w:cs="Times New Roman"/>
                <w:sz w:val="24"/>
                <w:szCs w:val="24"/>
                <w:highlight w:val="none"/>
                <w:lang w:val="en-US" w:eastAsia="zh-CN"/>
              </w:rPr>
              <w:t>地</w:t>
            </w:r>
            <w:r>
              <w:rPr>
                <w:rFonts w:hint="eastAsia" w:ascii="Times New Roman" w:hAnsi="Times New Roman" w:eastAsia="仿宋" w:cs="Times New Roman"/>
                <w:sz w:val="24"/>
                <w:szCs w:val="24"/>
                <w:highlight w:val="none"/>
                <w:lang w:val="en-US" w:eastAsia="zh-CN"/>
              </w:rPr>
              <w:t>1.2591</w:t>
            </w:r>
            <w:r>
              <w:rPr>
                <w:rFonts w:hint="default" w:ascii="Times New Roman" w:hAnsi="Times New Roman" w:eastAsia="仿宋" w:cs="Times New Roman"/>
                <w:sz w:val="24"/>
                <w:szCs w:val="24"/>
                <w:highlight w:val="none"/>
                <w:lang w:val="en-US" w:eastAsia="zh-CN"/>
              </w:rPr>
              <w:t>公顷</w:t>
            </w:r>
            <w:r>
              <w:rPr>
                <w:rFonts w:hint="default" w:ascii="Times New Roman" w:hAnsi="Times New Roman" w:eastAsia="仿宋" w:cs="Times New Roman"/>
                <w:sz w:val="24"/>
                <w:szCs w:val="24"/>
                <w:highlight w:val="none"/>
              </w:rPr>
              <w:t>）。根据国家下发的封库版</w:t>
            </w:r>
            <w:r>
              <w:rPr>
                <w:rFonts w:hint="eastAsia"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三线</w:t>
            </w:r>
            <w:r>
              <w:rPr>
                <w:rFonts w:hint="eastAsia"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成果，本项目不涉及占用生态保护红线和永久基本农田，选址位于城镇开发边界外，属于《城镇开发边界外布局建设项目准入目录（试行）》的第</w:t>
            </w:r>
            <w:r>
              <w:rPr>
                <w:rFonts w:hint="eastAsia" w:ascii="Times New Roman" w:hAnsi="Times New Roman" w:eastAsia="仿宋" w:cs="Times New Roman"/>
                <w:sz w:val="24"/>
                <w:szCs w:val="24"/>
                <w:highlight w:val="none"/>
                <w:lang w:val="en-US" w:eastAsia="zh-CN"/>
              </w:rPr>
              <w:t>二</w:t>
            </w:r>
            <w:r>
              <w:rPr>
                <w:rFonts w:hint="default" w:ascii="Times New Roman" w:hAnsi="Times New Roman" w:eastAsia="仿宋" w:cs="Times New Roman"/>
                <w:sz w:val="24"/>
                <w:szCs w:val="24"/>
                <w:highlight w:val="none"/>
              </w:rPr>
              <w:t>种情形：</w:t>
            </w:r>
            <w:r>
              <w:rPr>
                <w:rFonts w:hint="eastAsia" w:ascii="Times New Roman" w:hAnsi="Times New Roman" w:eastAsia="仿宋" w:cs="Times New Roman"/>
                <w:sz w:val="24"/>
                <w:szCs w:val="24"/>
                <w:highlight w:val="none"/>
                <w:lang w:val="en-US" w:eastAsia="zh-CN"/>
              </w:rPr>
              <w:t>文化</w:t>
            </w:r>
            <w:r>
              <w:rPr>
                <w:rFonts w:hint="default" w:ascii="Times New Roman" w:hAnsi="Times New Roman" w:eastAsia="仿宋" w:cs="Times New Roman"/>
                <w:sz w:val="24"/>
                <w:szCs w:val="24"/>
                <w:highlight w:val="none"/>
              </w:rPr>
              <w:t>设施，符合准入规则。</w:t>
            </w:r>
          </w:p>
          <w:p w14:paraId="4CA8BA3F">
            <w:pPr>
              <w:spacing w:before="136" w:line="337" w:lineRule="auto"/>
              <w:ind w:left="123" w:firstLine="454"/>
              <w:jc w:val="both"/>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rPr>
              <w:t>. 南雄市珠玑镇群众活动综合体（梅岭片区）项</w:t>
            </w:r>
            <w:r>
              <w:rPr>
                <w:rFonts w:hint="eastAsia" w:ascii="Times New Roman" w:hAnsi="Times New Roman" w:eastAsia="仿宋" w:cs="Times New Roman"/>
                <w:sz w:val="24"/>
                <w:szCs w:val="24"/>
                <w:lang w:val="en-US" w:eastAsia="zh-CN"/>
              </w:rPr>
              <w:t>目</w:t>
            </w:r>
          </w:p>
          <w:p w14:paraId="7FFDCF29">
            <w:pPr>
              <w:spacing w:before="136" w:line="337" w:lineRule="auto"/>
              <w:ind w:left="123" w:firstLine="454"/>
              <w:jc w:val="both"/>
              <w:rPr>
                <w:rFonts w:hint="default" w:ascii="Times New Roman" w:hAnsi="Times New Roman" w:eastAsia="仿宋" w:cs="Times New Roman"/>
                <w:sz w:val="24"/>
                <w:szCs w:val="24"/>
                <w:highlight w:val="yellow"/>
              </w:rPr>
            </w:pPr>
            <w:r>
              <w:rPr>
                <w:rFonts w:hint="default" w:ascii="Times New Roman" w:hAnsi="Times New Roman" w:eastAsia="仿宋" w:cs="Times New Roman"/>
                <w:sz w:val="24"/>
                <w:szCs w:val="24"/>
                <w:highlight w:val="none"/>
              </w:rPr>
              <w:t>《</w:t>
            </w:r>
            <w:r>
              <w:rPr>
                <w:rFonts w:hint="default" w:ascii="Times New Roman" w:hAnsi="Times New Roman" w:eastAsia="仿宋" w:cs="Times New Roman"/>
                <w:sz w:val="24"/>
                <w:szCs w:val="24"/>
                <w:highlight w:val="none"/>
                <w:lang w:eastAsia="zh-CN"/>
              </w:rPr>
              <w:t>南雄市</w:t>
            </w:r>
            <w:r>
              <w:rPr>
                <w:rFonts w:hint="default" w:ascii="Times New Roman" w:hAnsi="Times New Roman" w:eastAsia="仿宋" w:cs="Times New Roman"/>
                <w:sz w:val="24"/>
                <w:szCs w:val="24"/>
                <w:highlight w:val="none"/>
              </w:rPr>
              <w:t>国土空间总体规划（2021</w:t>
            </w:r>
            <w:r>
              <w:rPr>
                <w:rFonts w:hint="eastAsia"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2035年）》提出</w:t>
            </w:r>
            <w:r>
              <w:rPr>
                <w:rFonts w:hint="eastAsia" w:ascii="Times New Roman" w:hAnsi="Times New Roman" w:eastAsia="仿宋" w:cs="Times New Roman"/>
                <w:sz w:val="24"/>
                <w:szCs w:val="24"/>
                <w:highlight w:val="none"/>
                <w:lang w:val="en-US" w:eastAsia="zh-CN"/>
              </w:rPr>
              <w:t>以原梅岭镇镇区和梅岭、梅关为基础，打造珠玑镇北延发展的副中心，全面推进城乡公共服务均等化建设。完善公共服务设施体系，以社区生活圈为单元配置村（社区）级公共服务中心，建设服务自身的村域公共服务设施，每个村至少设置1处。鼓励通过合并设置、开放共享等方式，促进公共服务设施集中布局，形成具有凝聚力的社区中心</w:t>
            </w:r>
            <w:r>
              <w:rPr>
                <w:rFonts w:hint="default" w:ascii="Times New Roman" w:hAnsi="Times New Roman" w:eastAsia="仿宋" w:cs="Times New Roman"/>
                <w:sz w:val="24"/>
                <w:szCs w:val="24"/>
                <w:highlight w:val="none"/>
              </w:rPr>
              <w:t>。</w:t>
            </w:r>
            <w:r>
              <w:rPr>
                <w:rFonts w:hint="eastAsia" w:ascii="Times New Roman" w:hAnsi="Times New Roman" w:eastAsia="仿宋" w:cs="Times New Roman"/>
                <w:sz w:val="24"/>
                <w:szCs w:val="24"/>
                <w:highlight w:val="none"/>
                <w:lang w:val="en-US" w:eastAsia="zh-CN"/>
              </w:rPr>
              <w:t>村（社区）级文化设施重点配置（社区）文化活动站，村级体育设施重点配置综合文化服务中心。</w:t>
            </w:r>
          </w:p>
          <w:p w14:paraId="470154A6">
            <w:pPr>
              <w:spacing w:before="136" w:line="337" w:lineRule="auto"/>
              <w:ind w:left="123" w:firstLine="454"/>
              <w:jc w:val="both"/>
              <w:rPr>
                <w:rFonts w:hint="default" w:ascii="Times New Roman" w:hAnsi="Times New Roman" w:eastAsia="仿宋" w:cs="Times New Roman"/>
                <w:sz w:val="24"/>
                <w:szCs w:val="24"/>
                <w:highlight w:val="yellow"/>
              </w:rPr>
            </w:pPr>
            <w:r>
              <w:rPr>
                <w:rFonts w:hint="default" w:ascii="Times New Roman" w:hAnsi="Times New Roman" w:eastAsia="仿宋" w:cs="Times New Roman"/>
                <w:sz w:val="24"/>
                <w:szCs w:val="24"/>
                <w:highlight w:val="none"/>
              </w:rPr>
              <w:t>根据《</w:t>
            </w:r>
            <w:r>
              <w:rPr>
                <w:rFonts w:hint="default" w:ascii="Times New Roman" w:hAnsi="Times New Roman" w:eastAsia="仿宋" w:cs="Times New Roman"/>
                <w:sz w:val="24"/>
                <w:szCs w:val="24"/>
                <w:highlight w:val="none"/>
                <w:lang w:eastAsia="zh-CN"/>
              </w:rPr>
              <w:t>南雄市</w:t>
            </w:r>
            <w:r>
              <w:rPr>
                <w:rFonts w:hint="default" w:ascii="Times New Roman" w:hAnsi="Times New Roman" w:eastAsia="仿宋" w:cs="Times New Roman"/>
                <w:sz w:val="24"/>
                <w:szCs w:val="24"/>
                <w:highlight w:val="none"/>
              </w:rPr>
              <w:t>国土空间总体规划（2021</w:t>
            </w:r>
            <w:r>
              <w:rPr>
                <w:rFonts w:hint="eastAsia"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2035年）》数据分析，本项目涉及建设用地</w:t>
            </w:r>
            <w:r>
              <w:rPr>
                <w:rFonts w:hint="eastAsia" w:ascii="Times New Roman" w:hAnsi="Times New Roman" w:eastAsia="仿宋" w:cs="Times New Roman"/>
                <w:sz w:val="24"/>
                <w:szCs w:val="24"/>
                <w:highlight w:val="none"/>
                <w:lang w:eastAsia="zh-CN"/>
              </w:rPr>
              <w:t>0</w:t>
            </w:r>
            <w:r>
              <w:rPr>
                <w:rFonts w:hint="eastAsia" w:ascii="Times New Roman" w:hAnsi="Times New Roman" w:eastAsia="仿宋" w:cs="Times New Roman"/>
                <w:sz w:val="24"/>
                <w:szCs w:val="24"/>
                <w:highlight w:val="none"/>
                <w:lang w:val="en-US" w:eastAsia="zh-CN"/>
              </w:rPr>
              <w:t>.5404</w:t>
            </w:r>
            <w:r>
              <w:rPr>
                <w:rFonts w:hint="default" w:ascii="Times New Roman" w:hAnsi="Times New Roman" w:eastAsia="仿宋" w:cs="Times New Roman"/>
                <w:sz w:val="24"/>
                <w:szCs w:val="24"/>
                <w:highlight w:val="none"/>
              </w:rPr>
              <w:t>公顷（</w:t>
            </w:r>
            <w:r>
              <w:rPr>
                <w:rFonts w:hint="default" w:ascii="Times New Roman" w:hAnsi="Times New Roman" w:eastAsia="仿宋" w:cs="Times New Roman"/>
                <w:sz w:val="24"/>
                <w:szCs w:val="24"/>
                <w:highlight w:val="none"/>
                <w:lang w:val="en-US" w:eastAsia="zh-CN"/>
              </w:rPr>
              <w:t>其中</w:t>
            </w:r>
            <w:r>
              <w:rPr>
                <w:rFonts w:hint="eastAsia" w:ascii="Times New Roman" w:hAnsi="Times New Roman" w:eastAsia="仿宋" w:cs="Times New Roman"/>
                <w:sz w:val="24"/>
                <w:szCs w:val="24"/>
                <w:highlight w:val="none"/>
                <w:lang w:val="en-US" w:eastAsia="zh-CN"/>
              </w:rPr>
              <w:t>商业服务业用</w:t>
            </w:r>
            <w:r>
              <w:rPr>
                <w:rFonts w:hint="default" w:ascii="Times New Roman" w:hAnsi="Times New Roman" w:eastAsia="仿宋" w:cs="Times New Roman"/>
                <w:sz w:val="24"/>
                <w:szCs w:val="24"/>
                <w:highlight w:val="none"/>
                <w:lang w:val="en-US" w:eastAsia="zh-CN"/>
              </w:rPr>
              <w:t>地0.</w:t>
            </w:r>
            <w:r>
              <w:rPr>
                <w:rFonts w:hint="eastAsia" w:ascii="Times New Roman" w:hAnsi="Times New Roman" w:eastAsia="仿宋" w:cs="Times New Roman"/>
                <w:sz w:val="24"/>
                <w:szCs w:val="24"/>
                <w:highlight w:val="none"/>
                <w:lang w:val="en-US" w:eastAsia="zh-CN"/>
              </w:rPr>
              <w:t>5404</w:t>
            </w:r>
            <w:r>
              <w:rPr>
                <w:rFonts w:hint="default" w:ascii="Times New Roman" w:hAnsi="Times New Roman" w:eastAsia="仿宋" w:cs="Times New Roman"/>
                <w:sz w:val="24"/>
                <w:szCs w:val="24"/>
                <w:highlight w:val="none"/>
                <w:lang w:val="en-US" w:eastAsia="zh-CN"/>
              </w:rPr>
              <w:t>公顷</w:t>
            </w:r>
            <w:r>
              <w:rPr>
                <w:rFonts w:hint="default" w:ascii="Times New Roman" w:hAnsi="Times New Roman" w:eastAsia="仿宋" w:cs="Times New Roman"/>
                <w:sz w:val="24"/>
                <w:szCs w:val="24"/>
                <w:highlight w:val="none"/>
              </w:rPr>
              <w:t>）。根据国家下发的封库版</w:t>
            </w:r>
            <w:r>
              <w:rPr>
                <w:rFonts w:hint="eastAsia"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三线</w:t>
            </w:r>
            <w:r>
              <w:rPr>
                <w:rFonts w:hint="eastAsia"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成果，本项目不涉及占用生态保护红线和永久基本农田，选址位于城镇开发边界外，属于《城镇开发边界外布局建设项目准入目录（试行）》的第</w:t>
            </w:r>
            <w:r>
              <w:rPr>
                <w:rFonts w:hint="eastAsia" w:ascii="Times New Roman" w:hAnsi="Times New Roman" w:eastAsia="仿宋" w:cs="Times New Roman"/>
                <w:sz w:val="24"/>
                <w:szCs w:val="24"/>
                <w:highlight w:val="none"/>
                <w:lang w:val="en-US" w:eastAsia="zh-CN"/>
              </w:rPr>
              <w:t>二</w:t>
            </w:r>
            <w:r>
              <w:rPr>
                <w:rFonts w:hint="default" w:ascii="Times New Roman" w:hAnsi="Times New Roman" w:eastAsia="仿宋" w:cs="Times New Roman"/>
                <w:sz w:val="24"/>
                <w:szCs w:val="24"/>
                <w:highlight w:val="none"/>
              </w:rPr>
              <w:t>种情形：</w:t>
            </w:r>
            <w:r>
              <w:rPr>
                <w:rFonts w:hint="eastAsia" w:ascii="Times New Roman" w:hAnsi="Times New Roman" w:eastAsia="仿宋" w:cs="Times New Roman"/>
                <w:sz w:val="24"/>
                <w:szCs w:val="24"/>
                <w:highlight w:val="none"/>
                <w:lang w:val="en-US" w:eastAsia="zh-CN"/>
              </w:rPr>
              <w:t>文化</w:t>
            </w:r>
            <w:r>
              <w:rPr>
                <w:rFonts w:hint="default" w:ascii="Times New Roman" w:hAnsi="Times New Roman" w:eastAsia="仿宋" w:cs="Times New Roman"/>
                <w:sz w:val="24"/>
                <w:szCs w:val="24"/>
                <w:highlight w:val="none"/>
              </w:rPr>
              <w:t>设施，符合准入规则。</w:t>
            </w:r>
          </w:p>
          <w:p w14:paraId="5CBC7359">
            <w:pPr>
              <w:spacing w:before="136" w:line="337" w:lineRule="auto"/>
              <w:ind w:left="123" w:firstLine="454"/>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（三）与环境保护规划的协调性分析</w:t>
            </w:r>
          </w:p>
          <w:p w14:paraId="68F31D7D">
            <w:pPr>
              <w:spacing w:before="136" w:line="337" w:lineRule="auto"/>
              <w:ind w:left="123" w:firstLine="454"/>
              <w:jc w:val="both"/>
              <w:rPr>
                <w:rFonts w:hint="default" w:ascii="Times New Roman" w:hAnsi="Times New Roman" w:eastAsia="仿宋" w:cs="Times New Roman"/>
                <w:sz w:val="24"/>
                <w:szCs w:val="24"/>
              </w:rPr>
            </w:pPr>
            <w:bookmarkStart w:id="2" w:name="OLE_LINK40"/>
            <w:r>
              <w:rPr>
                <w:rFonts w:hint="eastAsia" w:ascii="Times New Roman" w:hAnsi="Times New Roman" w:eastAsia="仿宋" w:cs="Times New Roman"/>
                <w:sz w:val="24"/>
                <w:szCs w:val="24"/>
                <w:lang w:val="en-US" w:eastAsia="zh-CN"/>
              </w:rPr>
              <w:t>珠玑古巷文化配套设施项目</w:t>
            </w:r>
            <w:r>
              <w:rPr>
                <w:rFonts w:hint="default" w:ascii="Times New Roman" w:hAnsi="Times New Roman" w:eastAsia="仿宋" w:cs="Times New Roman"/>
                <w:sz w:val="24"/>
                <w:szCs w:val="24"/>
              </w:rPr>
              <w:t>和南雄市珠玑镇群众活动综合体（梅岭片区）项目选址不涉及自然保护区核心区和缓冲区、风景名胜核心区、森林公园、地质公园、列入省级以上保护名录的野生动植物栖息地、水源保护区核心区、蓄滞洪区等环境敏感区及生态保护红线，对周围环境影响较小。</w:t>
            </w:r>
          </w:p>
          <w:p w14:paraId="3948205B">
            <w:pPr>
              <w:spacing w:before="136" w:line="337" w:lineRule="auto"/>
              <w:ind w:left="123" w:firstLine="454"/>
              <w:jc w:val="both"/>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根据《韶关市</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三线一单</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生态环境分区管控方案》（韶府〔2021〕10号），</w:t>
            </w:r>
            <w:r>
              <w:rPr>
                <w:rFonts w:hint="eastAsia" w:ascii="Times New Roman" w:hAnsi="Times New Roman" w:eastAsia="仿宋" w:cs="Times New Roman"/>
                <w:sz w:val="24"/>
                <w:szCs w:val="24"/>
                <w:highlight w:val="none"/>
                <w:lang w:val="en-US" w:eastAsia="zh-CN"/>
              </w:rPr>
              <w:t>珠玑古巷文化配套设施项目</w:t>
            </w:r>
            <w:r>
              <w:rPr>
                <w:rFonts w:hint="default" w:ascii="Times New Roman" w:hAnsi="Times New Roman" w:eastAsia="仿宋" w:cs="Times New Roman"/>
                <w:sz w:val="24"/>
                <w:szCs w:val="24"/>
                <w:highlight w:val="none"/>
              </w:rPr>
              <w:t>位于</w:t>
            </w:r>
            <w:r>
              <w:rPr>
                <w:rFonts w:hint="eastAsia" w:ascii="Times New Roman" w:hAnsi="Times New Roman" w:eastAsia="仿宋" w:cs="Times New Roman"/>
                <w:sz w:val="24"/>
                <w:szCs w:val="24"/>
                <w:highlight w:val="none"/>
                <w:lang w:val="en-US" w:eastAsia="zh-CN"/>
              </w:rPr>
              <w:t>一般管控</w:t>
            </w:r>
            <w:r>
              <w:rPr>
                <w:rFonts w:hint="default" w:ascii="Times New Roman" w:hAnsi="Times New Roman" w:eastAsia="仿宋" w:cs="Times New Roman"/>
                <w:sz w:val="24"/>
                <w:szCs w:val="24"/>
                <w:highlight w:val="none"/>
              </w:rPr>
              <w:t>单元，拟建设项目</w:t>
            </w:r>
            <w:r>
              <w:rPr>
                <w:rFonts w:hint="default" w:ascii="Times New Roman" w:hAnsi="Times New Roman" w:eastAsia="仿宋" w:cs="Times New Roman"/>
                <w:sz w:val="24"/>
                <w:szCs w:val="24"/>
                <w:highlight w:val="none"/>
                <w:lang w:val="en-US" w:eastAsia="zh-CN"/>
              </w:rPr>
              <w:t>不</w:t>
            </w:r>
            <w:r>
              <w:rPr>
                <w:rFonts w:hint="default" w:ascii="Times New Roman" w:hAnsi="Times New Roman" w:eastAsia="仿宋" w:cs="Times New Roman"/>
                <w:sz w:val="24"/>
                <w:szCs w:val="24"/>
                <w:highlight w:val="none"/>
              </w:rPr>
              <w:t>属于管控单元</w:t>
            </w:r>
            <w:r>
              <w:rPr>
                <w:rFonts w:hint="default" w:ascii="Times New Roman" w:hAnsi="Times New Roman" w:eastAsia="仿宋" w:cs="Times New Roman"/>
                <w:sz w:val="24"/>
                <w:szCs w:val="24"/>
                <w:highlight w:val="none"/>
                <w:lang w:val="en-US" w:eastAsia="zh-CN"/>
              </w:rPr>
              <w:t>禁止</w:t>
            </w:r>
            <w:r>
              <w:rPr>
                <w:rFonts w:hint="default" w:ascii="Times New Roman" w:hAnsi="Times New Roman" w:eastAsia="仿宋" w:cs="Times New Roman"/>
                <w:sz w:val="24"/>
                <w:szCs w:val="24"/>
                <w:highlight w:val="none"/>
              </w:rPr>
              <w:t>类项目，符合生态环境管控要求。</w:t>
            </w:r>
            <w:r>
              <w:rPr>
                <w:rFonts w:hint="eastAsia" w:ascii="Times New Roman" w:hAnsi="Times New Roman" w:eastAsia="仿宋" w:cs="Times New Roman"/>
                <w:sz w:val="24"/>
                <w:szCs w:val="24"/>
                <w:highlight w:val="none"/>
              </w:rPr>
              <w:t>南雄市珠玑镇群众活动综合体（梅岭片区）项目</w:t>
            </w:r>
            <w:r>
              <w:rPr>
                <w:rFonts w:hint="default" w:ascii="Times New Roman" w:hAnsi="Times New Roman" w:eastAsia="仿宋" w:cs="Times New Roman"/>
                <w:sz w:val="24"/>
                <w:szCs w:val="24"/>
                <w:highlight w:val="none"/>
                <w:lang w:val="en-US" w:eastAsia="zh-CN"/>
              </w:rPr>
              <w:t>位于</w:t>
            </w:r>
            <w:r>
              <w:rPr>
                <w:rFonts w:hint="eastAsia" w:ascii="Times New Roman" w:hAnsi="Times New Roman" w:eastAsia="仿宋" w:cs="Times New Roman"/>
                <w:sz w:val="24"/>
                <w:szCs w:val="24"/>
                <w:highlight w:val="none"/>
                <w:lang w:val="en-US" w:eastAsia="zh-CN"/>
              </w:rPr>
              <w:t>优先保护</w:t>
            </w:r>
            <w:r>
              <w:rPr>
                <w:rFonts w:hint="default" w:ascii="Times New Roman" w:hAnsi="Times New Roman" w:eastAsia="仿宋" w:cs="Times New Roman"/>
                <w:sz w:val="24"/>
                <w:szCs w:val="24"/>
                <w:highlight w:val="none"/>
                <w:lang w:val="en-US" w:eastAsia="zh-CN"/>
              </w:rPr>
              <w:t>单元，</w:t>
            </w:r>
            <w:r>
              <w:rPr>
                <w:rFonts w:hint="default" w:ascii="Times New Roman" w:hAnsi="Times New Roman" w:eastAsia="仿宋" w:cs="Times New Roman"/>
                <w:sz w:val="24"/>
                <w:szCs w:val="24"/>
                <w:highlight w:val="none"/>
              </w:rPr>
              <w:t>拟建设项目</w:t>
            </w:r>
            <w:r>
              <w:rPr>
                <w:rFonts w:hint="default" w:ascii="Times New Roman" w:hAnsi="Times New Roman" w:eastAsia="仿宋" w:cs="Times New Roman"/>
                <w:sz w:val="24"/>
                <w:szCs w:val="24"/>
                <w:highlight w:val="none"/>
                <w:lang w:val="en-US" w:eastAsia="zh-CN"/>
              </w:rPr>
              <w:t>不</w:t>
            </w:r>
            <w:r>
              <w:rPr>
                <w:rFonts w:hint="default" w:ascii="Times New Roman" w:hAnsi="Times New Roman" w:eastAsia="仿宋" w:cs="Times New Roman"/>
                <w:sz w:val="24"/>
                <w:szCs w:val="24"/>
                <w:highlight w:val="none"/>
              </w:rPr>
              <w:t>属于管控单元</w:t>
            </w:r>
            <w:r>
              <w:rPr>
                <w:rFonts w:hint="default" w:ascii="Times New Roman" w:hAnsi="Times New Roman" w:eastAsia="仿宋" w:cs="Times New Roman"/>
                <w:sz w:val="24"/>
                <w:szCs w:val="24"/>
                <w:highlight w:val="none"/>
                <w:lang w:val="en-US" w:eastAsia="zh-CN"/>
              </w:rPr>
              <w:t>禁止和限制</w:t>
            </w:r>
            <w:r>
              <w:rPr>
                <w:rFonts w:hint="default" w:ascii="Times New Roman" w:hAnsi="Times New Roman" w:eastAsia="仿宋" w:cs="Times New Roman"/>
                <w:sz w:val="24"/>
                <w:szCs w:val="24"/>
                <w:highlight w:val="none"/>
              </w:rPr>
              <w:t>类项目，符合生态环境管控要求</w:t>
            </w:r>
            <w:r>
              <w:rPr>
                <w:rFonts w:hint="default" w:ascii="Times New Roman" w:hAnsi="Times New Roman" w:eastAsia="仿宋" w:cs="Times New Roman"/>
                <w:sz w:val="24"/>
                <w:szCs w:val="24"/>
                <w:highlight w:val="none"/>
                <w:lang w:eastAsia="zh-CN"/>
              </w:rPr>
              <w:t>。</w:t>
            </w:r>
          </w:p>
          <w:p w14:paraId="2F98E30B">
            <w:pPr>
              <w:spacing w:before="136" w:line="337" w:lineRule="auto"/>
              <w:ind w:left="123" w:firstLine="454"/>
              <w:jc w:val="both"/>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上述拟建项目建成后不会造成</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三废</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的大量排放，项目污染物不会造成水环境质量下降，符合环境质量底线要求。项目运营期间所需能源和资源均由当地场镇提供，当地的供水、排水、供电、供气及光纤、电缆等基础设施基本能满足要求，符合资源利用</w:t>
            </w:r>
            <w:r>
              <w:rPr>
                <w:rFonts w:hint="eastAsia" w:ascii="Times New Roman" w:hAnsi="Times New Roman" w:eastAsia="仿宋" w:cs="Times New Roman"/>
                <w:sz w:val="24"/>
                <w:szCs w:val="24"/>
                <w:lang w:eastAsia="zh-CN"/>
              </w:rPr>
              <w:t>上限</w:t>
            </w:r>
            <w:r>
              <w:rPr>
                <w:rFonts w:hint="default" w:ascii="Times New Roman" w:hAnsi="Times New Roman" w:eastAsia="仿宋" w:cs="Times New Roman"/>
                <w:sz w:val="24"/>
                <w:szCs w:val="24"/>
              </w:rPr>
              <w:t>的要求。项目建设符合国家和地方的产业政策要求，不属于</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高污染、高环境风险</w:t>
            </w:r>
            <w:r>
              <w:rPr>
                <w:rFonts w:hint="eastAsia" w:ascii="Times New Roman" w:hAnsi="Times New Roman" w:eastAsia="仿宋" w:cs="Times New Roman"/>
                <w:sz w:val="24"/>
                <w:szCs w:val="24"/>
                <w:lang w:eastAsia="zh-CN"/>
              </w:rPr>
              <w:t>”</w:t>
            </w:r>
            <w:r>
              <w:rPr>
                <w:rFonts w:hint="default" w:ascii="Times New Roman" w:hAnsi="Times New Roman" w:eastAsia="仿宋" w:cs="Times New Roman"/>
                <w:sz w:val="24"/>
                <w:szCs w:val="24"/>
              </w:rPr>
              <w:t>项目，不属于环境准入负面清单之列。因此，本项目选址不涉及生态保护红线，符合环境质量底线、资源利用</w:t>
            </w:r>
            <w:r>
              <w:rPr>
                <w:rFonts w:hint="eastAsia" w:ascii="Times New Roman" w:hAnsi="Times New Roman" w:eastAsia="仿宋" w:cs="Times New Roman"/>
                <w:sz w:val="24"/>
                <w:szCs w:val="24"/>
                <w:lang w:eastAsia="zh-CN"/>
              </w:rPr>
              <w:t>上限</w:t>
            </w:r>
            <w:r>
              <w:rPr>
                <w:rFonts w:hint="default" w:ascii="Times New Roman" w:hAnsi="Times New Roman" w:eastAsia="仿宋" w:cs="Times New Roman"/>
                <w:sz w:val="24"/>
                <w:szCs w:val="24"/>
              </w:rPr>
              <w:t>以及环境准入负面清单管理要求。综上，本项目符合环境保护规划要求。</w:t>
            </w:r>
          </w:p>
          <w:bookmarkEnd w:id="2"/>
          <w:p w14:paraId="6EC6A604">
            <w:pPr>
              <w:spacing w:before="136" w:line="337" w:lineRule="auto"/>
              <w:ind w:left="123" w:firstLine="454"/>
              <w:jc w:val="both"/>
              <w:rPr>
                <w:rFonts w:hint="default" w:ascii="Times New Roman" w:hAnsi="Times New Roman" w:eastAsia="仿宋" w:cs="Times New Roman"/>
                <w:spacing w:val="-5"/>
                <w:sz w:val="24"/>
                <w:szCs w:val="24"/>
                <w:highlight w:val="none"/>
                <w14:textOutline w14:w="4394" w14:cap="flat" w14:cmpd="sng" w14:algn="ctr">
                  <w14:solidFill>
                    <w14:srgbClr w14:val="000000"/>
                  </w14:solidFill>
                  <w14:prstDash w14:val="solid"/>
                  <w14:miter w14:val="0"/>
                </w14:textOutline>
              </w:rPr>
            </w:pPr>
            <w:r>
              <w:rPr>
                <w:rFonts w:hint="default" w:ascii="Times New Roman" w:hAnsi="Times New Roman" w:eastAsia="仿宋" w:cs="Times New Roman"/>
                <w:spacing w:val="-5"/>
                <w:sz w:val="24"/>
                <w:szCs w:val="24"/>
                <w:highlight w:val="none"/>
                <w14:textOutline w14:w="4394" w14:cap="flat" w14:cmpd="sng" w14:algn="ctr">
                  <w14:solidFill>
                    <w14:srgbClr w14:val="000000"/>
                  </w14:solidFill>
                  <w14:prstDash w14:val="solid"/>
                  <w14:miter w14:val="0"/>
                </w14:textOutline>
              </w:rPr>
              <w:t>四、具体使用情况</w:t>
            </w:r>
          </w:p>
          <w:p w14:paraId="444F36FD">
            <w:pPr>
              <w:spacing w:before="136" w:line="337" w:lineRule="auto"/>
              <w:ind w:left="123" w:firstLine="454"/>
              <w:jc w:val="both"/>
              <w:rPr>
                <w:rFonts w:hint="default" w:ascii="Times New Roman" w:hAnsi="Times New Roman" w:eastAsia="仿宋" w:cs="Times New Roman"/>
                <w:spacing w:val="3"/>
                <w:sz w:val="24"/>
                <w:szCs w:val="24"/>
              </w:rPr>
            </w:pPr>
            <w:r>
              <w:rPr>
                <w:rFonts w:hint="default" w:ascii="Times New Roman" w:hAnsi="Times New Roman" w:eastAsia="仿宋" w:cs="Times New Roman"/>
                <w:spacing w:val="3"/>
                <w:sz w:val="24"/>
                <w:szCs w:val="24"/>
              </w:rPr>
              <w:t>（</w:t>
            </w:r>
            <w:r>
              <w:rPr>
                <w:rFonts w:hint="eastAsia" w:ascii="Times New Roman" w:hAnsi="Times New Roman" w:eastAsia="仿宋" w:cs="Times New Roman"/>
                <w:spacing w:val="3"/>
                <w:sz w:val="24"/>
                <w:szCs w:val="24"/>
                <w:lang w:val="en-US" w:eastAsia="zh-CN"/>
              </w:rPr>
              <w:t>一</w:t>
            </w:r>
            <w:r>
              <w:rPr>
                <w:rFonts w:hint="default" w:ascii="Times New Roman" w:hAnsi="Times New Roman" w:eastAsia="仿宋" w:cs="Times New Roman"/>
                <w:spacing w:val="3"/>
                <w:sz w:val="24"/>
                <w:szCs w:val="24"/>
              </w:rPr>
              <w:t>）</w:t>
            </w:r>
            <w:r>
              <w:rPr>
                <w:rFonts w:hint="eastAsia" w:ascii="Times New Roman" w:hAnsi="Times New Roman" w:eastAsia="仿宋" w:cs="Times New Roman"/>
                <w:spacing w:val="3"/>
                <w:sz w:val="24"/>
                <w:szCs w:val="24"/>
                <w:lang w:eastAsia="zh-CN"/>
              </w:rPr>
              <w:t>珠玑古巷</w:t>
            </w:r>
            <w:r>
              <w:rPr>
                <w:rFonts w:hint="eastAsia" w:ascii="Times New Roman" w:hAnsi="Times New Roman" w:eastAsia="仿宋" w:cs="Times New Roman"/>
                <w:spacing w:val="3"/>
                <w:sz w:val="24"/>
                <w:szCs w:val="24"/>
                <w:lang w:val="en-US" w:eastAsia="zh-CN"/>
              </w:rPr>
              <w:t>文化配套设施</w:t>
            </w:r>
            <w:r>
              <w:rPr>
                <w:rFonts w:hint="eastAsia" w:ascii="Times New Roman" w:hAnsi="Times New Roman" w:eastAsia="仿宋" w:cs="Times New Roman"/>
                <w:spacing w:val="3"/>
                <w:sz w:val="24"/>
                <w:szCs w:val="24"/>
                <w:lang w:eastAsia="zh-CN"/>
              </w:rPr>
              <w:t>项目</w:t>
            </w:r>
          </w:p>
          <w:p w14:paraId="0E0A5021">
            <w:pPr>
              <w:spacing w:before="136" w:line="337" w:lineRule="auto"/>
              <w:ind w:left="123" w:firstLine="454"/>
              <w:jc w:val="both"/>
              <w:rPr>
                <w:rFonts w:hint="default" w:ascii="Times New Roman" w:hAnsi="Times New Roman" w:eastAsia="仿宋" w:cs="Times New Roman"/>
                <w:spacing w:val="3"/>
                <w:sz w:val="24"/>
                <w:szCs w:val="24"/>
                <w:highlight w:val="none"/>
                <w:lang w:val="en-US" w:eastAsia="zh-CN"/>
              </w:rPr>
            </w:pPr>
            <w:r>
              <w:rPr>
                <w:rFonts w:hint="eastAsia" w:ascii="Times New Roman" w:hAnsi="Times New Roman" w:eastAsia="仿宋" w:cs="Times New Roman"/>
                <w:spacing w:val="3"/>
                <w:sz w:val="24"/>
                <w:szCs w:val="24"/>
                <w:highlight w:val="none"/>
              </w:rPr>
              <w:t>珠玑古巷文化配套设施项目</w:t>
            </w:r>
            <w:r>
              <w:rPr>
                <w:rFonts w:hint="default" w:ascii="Times New Roman" w:hAnsi="Times New Roman" w:eastAsia="仿宋" w:cs="Times New Roman"/>
                <w:spacing w:val="3"/>
                <w:sz w:val="24"/>
                <w:szCs w:val="24"/>
                <w:highlight w:val="none"/>
              </w:rPr>
              <w:t>共涉及</w:t>
            </w:r>
            <w:r>
              <w:rPr>
                <w:rFonts w:hint="eastAsia" w:ascii="Times New Roman" w:hAnsi="Times New Roman" w:eastAsia="仿宋" w:cs="Times New Roman"/>
                <w:spacing w:val="3"/>
                <w:sz w:val="24"/>
                <w:szCs w:val="24"/>
                <w:highlight w:val="none"/>
                <w:lang w:val="en-US" w:eastAsia="zh-CN"/>
              </w:rPr>
              <w:t>12</w:t>
            </w:r>
            <w:r>
              <w:rPr>
                <w:rFonts w:hint="default" w:ascii="Times New Roman" w:hAnsi="Times New Roman" w:eastAsia="仿宋" w:cs="Times New Roman"/>
                <w:spacing w:val="3"/>
                <w:sz w:val="24"/>
                <w:szCs w:val="24"/>
                <w:highlight w:val="none"/>
              </w:rPr>
              <w:t>个地块（</w:t>
            </w:r>
            <w:r>
              <w:rPr>
                <w:rFonts w:hint="eastAsia" w:ascii="Times New Roman" w:hAnsi="Times New Roman" w:eastAsia="仿宋" w:cs="Times New Roman"/>
                <w:spacing w:val="3"/>
                <w:sz w:val="24"/>
                <w:szCs w:val="24"/>
                <w:highlight w:val="none"/>
                <w:lang w:val="en-US" w:eastAsia="zh-CN"/>
              </w:rPr>
              <w:t>WTR</w:t>
            </w:r>
            <w:r>
              <w:rPr>
                <w:rFonts w:hint="default" w:ascii="Times New Roman" w:hAnsi="Times New Roman" w:eastAsia="仿宋" w:cs="Times New Roman"/>
                <w:spacing w:val="3"/>
                <w:sz w:val="24"/>
                <w:szCs w:val="24"/>
                <w:highlight w:val="none"/>
              </w:rPr>
              <w:t>01</w:t>
            </w:r>
            <w:r>
              <w:rPr>
                <w:rFonts w:hint="eastAsia" w:ascii="Times New Roman" w:hAnsi="Times New Roman" w:eastAsia="仿宋" w:cs="Times New Roman"/>
                <w:spacing w:val="3"/>
                <w:sz w:val="24"/>
                <w:szCs w:val="24"/>
                <w:highlight w:val="none"/>
                <w:lang w:val="en-US" w:eastAsia="zh-CN"/>
              </w:rPr>
              <w:t>-WTR12</w:t>
            </w:r>
            <w:r>
              <w:rPr>
                <w:rFonts w:hint="default" w:ascii="Times New Roman" w:hAnsi="Times New Roman" w:eastAsia="仿宋" w:cs="Times New Roman"/>
                <w:spacing w:val="3"/>
                <w:sz w:val="24"/>
                <w:szCs w:val="24"/>
                <w:highlight w:val="none"/>
              </w:rPr>
              <w:t>），面积</w:t>
            </w:r>
            <w:r>
              <w:rPr>
                <w:rFonts w:hint="eastAsia" w:ascii="Times New Roman" w:hAnsi="Times New Roman" w:eastAsia="仿宋" w:cs="Times New Roman"/>
                <w:spacing w:val="3"/>
                <w:sz w:val="24"/>
                <w:szCs w:val="24"/>
                <w:highlight w:val="none"/>
                <w:lang w:val="en-US" w:eastAsia="zh-CN"/>
              </w:rPr>
              <w:t>1.2591</w:t>
            </w:r>
            <w:r>
              <w:rPr>
                <w:rFonts w:hint="default" w:ascii="Times New Roman" w:hAnsi="Times New Roman" w:eastAsia="仿宋" w:cs="Times New Roman"/>
                <w:spacing w:val="3"/>
                <w:sz w:val="24"/>
                <w:szCs w:val="24"/>
                <w:highlight w:val="none"/>
              </w:rPr>
              <w:t>公顷。根据</w:t>
            </w:r>
            <w:r>
              <w:rPr>
                <w:rFonts w:hint="default" w:ascii="Times New Roman" w:hAnsi="Times New Roman" w:eastAsia="仿宋" w:cs="Times New Roman"/>
                <w:spacing w:val="3"/>
                <w:sz w:val="24"/>
                <w:szCs w:val="24"/>
                <w:highlight w:val="none"/>
                <w:lang w:eastAsia="zh-CN"/>
              </w:rPr>
              <w:t>南雄市</w:t>
            </w:r>
            <w:r>
              <w:rPr>
                <w:rFonts w:hint="eastAsia" w:ascii="Times New Roman" w:hAnsi="Times New Roman" w:eastAsia="仿宋" w:cs="Times New Roman"/>
                <w:spacing w:val="3"/>
                <w:sz w:val="24"/>
                <w:szCs w:val="24"/>
                <w:highlight w:val="none"/>
                <w:lang w:eastAsia="zh-CN"/>
              </w:rPr>
              <w:t>2024年度国土变更调查</w:t>
            </w:r>
            <w:r>
              <w:rPr>
                <w:rFonts w:hint="default" w:ascii="Times New Roman" w:hAnsi="Times New Roman" w:eastAsia="仿宋" w:cs="Times New Roman"/>
                <w:spacing w:val="3"/>
                <w:sz w:val="24"/>
                <w:szCs w:val="24"/>
                <w:highlight w:val="none"/>
              </w:rPr>
              <w:t>成果分析，涉及农用地</w:t>
            </w:r>
            <w:r>
              <w:rPr>
                <w:rFonts w:hint="default" w:ascii="Times New Roman" w:hAnsi="Times New Roman" w:eastAsia="仿宋" w:cs="Times New Roman"/>
                <w:spacing w:val="3"/>
                <w:sz w:val="24"/>
                <w:szCs w:val="24"/>
                <w:highlight w:val="none"/>
                <w:lang w:val="en-US" w:eastAsia="zh-CN"/>
              </w:rPr>
              <w:t>0.</w:t>
            </w:r>
            <w:r>
              <w:rPr>
                <w:rFonts w:hint="eastAsia" w:ascii="Times New Roman" w:hAnsi="Times New Roman" w:eastAsia="仿宋" w:cs="Times New Roman"/>
                <w:spacing w:val="3"/>
                <w:sz w:val="24"/>
                <w:szCs w:val="24"/>
                <w:highlight w:val="none"/>
                <w:lang w:val="en-US" w:eastAsia="zh-CN"/>
              </w:rPr>
              <w:t>8637</w:t>
            </w:r>
            <w:r>
              <w:rPr>
                <w:rFonts w:hint="default" w:ascii="Times New Roman" w:hAnsi="Times New Roman" w:eastAsia="仿宋" w:cs="Times New Roman"/>
                <w:spacing w:val="3"/>
                <w:sz w:val="24"/>
                <w:szCs w:val="24"/>
                <w:highlight w:val="none"/>
              </w:rPr>
              <w:t>公顷（其中</w:t>
            </w:r>
            <w:r>
              <w:rPr>
                <w:rFonts w:hint="default" w:ascii="Times New Roman" w:hAnsi="Times New Roman" w:eastAsia="仿宋" w:cs="Times New Roman"/>
                <w:spacing w:val="3"/>
                <w:sz w:val="24"/>
                <w:szCs w:val="24"/>
                <w:highlight w:val="none"/>
                <w:lang w:val="en-US" w:eastAsia="zh-CN"/>
              </w:rPr>
              <w:t>耕</w:t>
            </w:r>
            <w:r>
              <w:rPr>
                <w:rFonts w:hint="default" w:ascii="Times New Roman" w:hAnsi="Times New Roman" w:eastAsia="仿宋" w:cs="Times New Roman"/>
                <w:spacing w:val="3"/>
                <w:sz w:val="24"/>
                <w:szCs w:val="24"/>
                <w:highlight w:val="none"/>
              </w:rPr>
              <w:t>地0.</w:t>
            </w:r>
            <w:r>
              <w:rPr>
                <w:rFonts w:hint="eastAsia" w:ascii="Times New Roman" w:hAnsi="Times New Roman" w:eastAsia="仿宋" w:cs="Times New Roman"/>
                <w:spacing w:val="3"/>
                <w:sz w:val="24"/>
                <w:szCs w:val="24"/>
                <w:highlight w:val="none"/>
                <w:lang w:eastAsia="zh-CN"/>
              </w:rPr>
              <w:t>3</w:t>
            </w:r>
            <w:r>
              <w:rPr>
                <w:rFonts w:hint="eastAsia" w:ascii="Times New Roman" w:hAnsi="Times New Roman" w:eastAsia="仿宋" w:cs="Times New Roman"/>
                <w:spacing w:val="3"/>
                <w:sz w:val="24"/>
                <w:szCs w:val="24"/>
                <w:highlight w:val="none"/>
                <w:lang w:val="en-US" w:eastAsia="zh-CN"/>
              </w:rPr>
              <w:t>645</w:t>
            </w:r>
            <w:r>
              <w:rPr>
                <w:rFonts w:hint="default" w:ascii="Times New Roman" w:hAnsi="Times New Roman" w:eastAsia="仿宋" w:cs="Times New Roman"/>
                <w:spacing w:val="3"/>
                <w:sz w:val="24"/>
                <w:szCs w:val="24"/>
                <w:highlight w:val="none"/>
              </w:rPr>
              <w:t>公顷）、建设用地0.</w:t>
            </w:r>
            <w:r>
              <w:rPr>
                <w:rFonts w:hint="eastAsia" w:ascii="Times New Roman" w:hAnsi="Times New Roman" w:eastAsia="仿宋" w:cs="Times New Roman"/>
                <w:spacing w:val="3"/>
                <w:sz w:val="24"/>
                <w:szCs w:val="24"/>
                <w:highlight w:val="none"/>
                <w:lang w:val="en-US" w:eastAsia="zh-CN"/>
              </w:rPr>
              <w:t>3954</w:t>
            </w:r>
            <w:r>
              <w:rPr>
                <w:rFonts w:hint="default" w:ascii="Times New Roman" w:hAnsi="Times New Roman" w:eastAsia="仿宋" w:cs="Times New Roman"/>
                <w:spacing w:val="3"/>
                <w:sz w:val="24"/>
                <w:szCs w:val="24"/>
                <w:highlight w:val="none"/>
              </w:rPr>
              <w:t>公顷。城镇建设用地规模落实前，其规划用途为建设用地</w:t>
            </w:r>
            <w:r>
              <w:rPr>
                <w:rFonts w:hint="eastAsia" w:ascii="Times New Roman" w:hAnsi="Times New Roman" w:eastAsia="仿宋" w:cs="Times New Roman"/>
                <w:spacing w:val="3"/>
                <w:sz w:val="24"/>
                <w:szCs w:val="24"/>
                <w:highlight w:val="none"/>
                <w:lang w:val="en-US" w:eastAsia="zh-CN"/>
              </w:rPr>
              <w:t>1.2591</w:t>
            </w:r>
            <w:r>
              <w:rPr>
                <w:rFonts w:hint="default" w:ascii="Times New Roman" w:hAnsi="Times New Roman" w:eastAsia="仿宋" w:cs="Times New Roman"/>
                <w:spacing w:val="3"/>
                <w:sz w:val="24"/>
                <w:szCs w:val="24"/>
                <w:highlight w:val="none"/>
              </w:rPr>
              <w:t>公顷（其中</w:t>
            </w:r>
            <w:r>
              <w:rPr>
                <w:rFonts w:hint="eastAsia" w:ascii="Times New Roman" w:hAnsi="Times New Roman" w:eastAsia="仿宋" w:cs="Times New Roman"/>
                <w:spacing w:val="3"/>
                <w:sz w:val="24"/>
                <w:szCs w:val="24"/>
                <w:highlight w:val="none"/>
                <w:lang w:val="en-US" w:eastAsia="zh-CN"/>
              </w:rPr>
              <w:t>特殊用</w:t>
            </w:r>
            <w:r>
              <w:rPr>
                <w:rFonts w:hint="default" w:ascii="Times New Roman" w:hAnsi="Times New Roman" w:eastAsia="仿宋" w:cs="Times New Roman"/>
                <w:spacing w:val="3"/>
                <w:sz w:val="24"/>
                <w:szCs w:val="24"/>
                <w:highlight w:val="none"/>
              </w:rPr>
              <w:t>地</w:t>
            </w:r>
            <w:r>
              <w:rPr>
                <w:rFonts w:hint="eastAsia" w:ascii="Times New Roman" w:hAnsi="Times New Roman" w:eastAsia="仿宋" w:cs="Times New Roman"/>
                <w:spacing w:val="3"/>
                <w:sz w:val="24"/>
                <w:szCs w:val="24"/>
                <w:highlight w:val="none"/>
                <w:lang w:eastAsia="zh-CN"/>
              </w:rPr>
              <w:t>1</w:t>
            </w:r>
            <w:r>
              <w:rPr>
                <w:rFonts w:hint="eastAsia" w:ascii="Times New Roman" w:hAnsi="Times New Roman" w:eastAsia="仿宋" w:cs="Times New Roman"/>
                <w:spacing w:val="3"/>
                <w:sz w:val="24"/>
                <w:szCs w:val="24"/>
                <w:highlight w:val="none"/>
                <w:lang w:val="en-US" w:eastAsia="zh-CN"/>
              </w:rPr>
              <w:t>.2591</w:t>
            </w:r>
            <w:r>
              <w:rPr>
                <w:rFonts w:hint="default" w:ascii="Times New Roman" w:hAnsi="Times New Roman" w:eastAsia="仿宋" w:cs="Times New Roman"/>
                <w:spacing w:val="3"/>
                <w:sz w:val="24"/>
                <w:szCs w:val="24"/>
                <w:highlight w:val="none"/>
              </w:rPr>
              <w:t>公顷）</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规划分区为综合服务区1.2456公顷、一般农业区0.0135公顷</w:t>
            </w:r>
            <w:r>
              <w:rPr>
                <w:rFonts w:hint="default" w:ascii="Times New Roman" w:hAnsi="Times New Roman" w:eastAsia="仿宋" w:cs="Times New Roman"/>
                <w:spacing w:val="3"/>
                <w:sz w:val="24"/>
                <w:szCs w:val="24"/>
                <w:highlight w:val="none"/>
              </w:rPr>
              <w:t>。城镇建设用地规模落实后，其规划用途调整为</w:t>
            </w:r>
            <w:r>
              <w:rPr>
                <w:rFonts w:hint="eastAsia" w:ascii="Times New Roman" w:hAnsi="Times New Roman" w:eastAsia="仿宋" w:cs="Times New Roman"/>
                <w:spacing w:val="3"/>
                <w:sz w:val="24"/>
                <w:szCs w:val="24"/>
                <w:highlight w:val="none"/>
                <w:lang w:val="en-US" w:eastAsia="zh-CN"/>
              </w:rPr>
              <w:t>文化</w:t>
            </w:r>
            <w:r>
              <w:rPr>
                <w:rFonts w:hint="default" w:ascii="Times New Roman" w:hAnsi="Times New Roman" w:eastAsia="仿宋" w:cs="Times New Roman"/>
                <w:spacing w:val="3"/>
                <w:sz w:val="24"/>
                <w:szCs w:val="24"/>
                <w:highlight w:val="none"/>
              </w:rPr>
              <w:t>用地</w:t>
            </w:r>
            <w:r>
              <w:rPr>
                <w:rFonts w:hint="eastAsia" w:ascii="Times New Roman" w:hAnsi="Times New Roman" w:eastAsia="仿宋" w:cs="Times New Roman"/>
                <w:spacing w:val="3"/>
                <w:sz w:val="24"/>
                <w:szCs w:val="24"/>
                <w:highlight w:val="none"/>
                <w:lang w:val="en-US" w:eastAsia="zh-CN"/>
              </w:rPr>
              <w:t>0.8182公顷，城镇村道路用地0.4409公顷</w:t>
            </w:r>
            <w:r>
              <w:rPr>
                <w:rFonts w:hint="default" w:ascii="Times New Roman" w:hAnsi="Times New Roman" w:eastAsia="仿宋" w:cs="Times New Roman"/>
                <w:spacing w:val="3"/>
                <w:sz w:val="24"/>
                <w:szCs w:val="24"/>
                <w:highlight w:val="none"/>
              </w:rPr>
              <w:t>。因此，城镇建设用地规模落实前后，</w:t>
            </w:r>
            <w:r>
              <w:rPr>
                <w:rFonts w:hint="eastAsia" w:ascii="Times New Roman" w:hAnsi="Times New Roman" w:eastAsia="仿宋" w:cs="Times New Roman"/>
                <w:spacing w:val="3"/>
                <w:sz w:val="24"/>
                <w:szCs w:val="24"/>
                <w:highlight w:val="none"/>
                <w:lang w:val="en-US" w:eastAsia="zh-CN"/>
              </w:rPr>
              <w:t>特殊用地</w:t>
            </w:r>
            <w:r>
              <w:rPr>
                <w:rFonts w:hint="default" w:ascii="Times New Roman" w:hAnsi="Times New Roman" w:eastAsia="仿宋" w:cs="Times New Roman"/>
                <w:spacing w:val="3"/>
                <w:sz w:val="24"/>
                <w:szCs w:val="24"/>
                <w:highlight w:val="none"/>
              </w:rPr>
              <w:t>减少</w:t>
            </w:r>
            <w:r>
              <w:rPr>
                <w:rFonts w:hint="eastAsia" w:ascii="Times New Roman" w:hAnsi="Times New Roman" w:eastAsia="仿宋" w:cs="Times New Roman"/>
                <w:spacing w:val="3"/>
                <w:sz w:val="24"/>
                <w:szCs w:val="24"/>
                <w:highlight w:val="none"/>
                <w:lang w:val="en-US" w:eastAsia="zh-CN"/>
              </w:rPr>
              <w:t>1.2591</w:t>
            </w:r>
            <w:r>
              <w:rPr>
                <w:rFonts w:hint="default" w:ascii="Times New Roman" w:hAnsi="Times New Roman" w:eastAsia="仿宋" w:cs="Times New Roman"/>
                <w:spacing w:val="3"/>
                <w:sz w:val="24"/>
                <w:szCs w:val="24"/>
                <w:highlight w:val="none"/>
              </w:rPr>
              <w:t>公顷</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文化</w:t>
            </w:r>
            <w:r>
              <w:rPr>
                <w:rFonts w:hint="default" w:ascii="Times New Roman" w:hAnsi="Times New Roman" w:eastAsia="仿宋" w:cs="Times New Roman"/>
                <w:spacing w:val="3"/>
                <w:sz w:val="24"/>
                <w:szCs w:val="24"/>
                <w:highlight w:val="none"/>
                <w:lang w:val="en-US" w:eastAsia="zh-CN"/>
              </w:rPr>
              <w:t>用地增加</w:t>
            </w:r>
            <w:r>
              <w:rPr>
                <w:rFonts w:hint="eastAsia" w:ascii="Times New Roman" w:hAnsi="Times New Roman" w:eastAsia="仿宋" w:cs="Times New Roman"/>
                <w:spacing w:val="3"/>
                <w:sz w:val="24"/>
                <w:szCs w:val="24"/>
                <w:highlight w:val="none"/>
                <w:lang w:val="en-US" w:eastAsia="zh-CN"/>
              </w:rPr>
              <w:t>0.8182</w:t>
            </w:r>
            <w:r>
              <w:rPr>
                <w:rFonts w:hint="default" w:ascii="Times New Roman" w:hAnsi="Times New Roman" w:eastAsia="仿宋" w:cs="Times New Roman"/>
                <w:spacing w:val="3"/>
                <w:sz w:val="24"/>
                <w:szCs w:val="24"/>
                <w:highlight w:val="none"/>
                <w:lang w:val="en-US" w:eastAsia="zh-CN"/>
              </w:rPr>
              <w:t>公顷</w:t>
            </w:r>
            <w:r>
              <w:rPr>
                <w:rFonts w:hint="eastAsia" w:ascii="Times New Roman" w:hAnsi="Times New Roman" w:eastAsia="仿宋" w:cs="Times New Roman"/>
                <w:spacing w:val="3"/>
                <w:sz w:val="24"/>
                <w:szCs w:val="24"/>
                <w:highlight w:val="none"/>
                <w:lang w:val="en-US" w:eastAsia="zh-CN"/>
              </w:rPr>
              <w:t>，城镇村道路用地增加0.4409公顷；一般农业区减少0.0135公顷，综合服务区增加0.0135公顷</w:t>
            </w:r>
            <w:r>
              <w:rPr>
                <w:rFonts w:hint="default" w:ascii="Times New Roman" w:hAnsi="Times New Roman" w:eastAsia="仿宋" w:cs="Times New Roman"/>
                <w:spacing w:val="3"/>
                <w:sz w:val="24"/>
                <w:szCs w:val="24"/>
                <w:highlight w:val="none"/>
                <w:lang w:val="en-US" w:eastAsia="zh-CN"/>
              </w:rPr>
              <w:t>。</w:t>
            </w:r>
          </w:p>
          <w:p w14:paraId="74C7BE2A">
            <w:pPr>
              <w:autoSpaceDE/>
              <w:autoSpaceDN/>
              <w:spacing w:before="136" w:line="336" w:lineRule="auto"/>
              <w:ind w:left="125" w:firstLine="0"/>
              <w:jc w:val="center"/>
              <w:rPr>
                <w:rFonts w:hint="default" w:ascii="Times New Roman" w:hAnsi="Times New Roman" w:eastAsia="仿宋" w:cs="Times New Roman"/>
                <w:b/>
                <w:bCs/>
                <w:spacing w:val="3"/>
                <w:sz w:val="24"/>
                <w:szCs w:val="24"/>
                <w:highlight w:val="none"/>
              </w:rPr>
            </w:pPr>
            <w:r>
              <w:rPr>
                <w:rFonts w:hint="default" w:ascii="Times New Roman" w:hAnsi="Times New Roman" w:eastAsia="仿宋" w:cs="Times New Roman"/>
                <w:b/>
                <w:bCs/>
                <w:spacing w:val="3"/>
                <w:sz w:val="24"/>
                <w:szCs w:val="24"/>
                <w:highlight w:val="none"/>
              </w:rPr>
              <w:t>表2-</w:t>
            </w:r>
            <w:r>
              <w:rPr>
                <w:rFonts w:hint="eastAsia" w:ascii="Times New Roman" w:hAnsi="Times New Roman" w:eastAsia="仿宋" w:cs="Times New Roman"/>
                <w:b/>
                <w:bCs/>
                <w:spacing w:val="3"/>
                <w:sz w:val="24"/>
                <w:szCs w:val="24"/>
                <w:highlight w:val="none"/>
                <w:lang w:val="en-US" w:eastAsia="zh-CN"/>
              </w:rPr>
              <w:t>4</w:t>
            </w:r>
            <w:r>
              <w:rPr>
                <w:rFonts w:hint="default" w:ascii="Times New Roman" w:hAnsi="Times New Roman" w:eastAsia="仿宋" w:cs="Times New Roman"/>
                <w:b/>
                <w:bCs/>
                <w:spacing w:val="3"/>
                <w:sz w:val="24"/>
                <w:szCs w:val="24"/>
                <w:highlight w:val="none"/>
              </w:rPr>
              <w:t xml:space="preserve"> 本项目</w:t>
            </w:r>
            <w:r>
              <w:rPr>
                <w:rFonts w:hint="eastAsia" w:ascii="Times New Roman" w:hAnsi="Times New Roman" w:eastAsia="仿宋" w:cs="Times New Roman"/>
                <w:b/>
                <w:bCs/>
                <w:spacing w:val="3"/>
                <w:sz w:val="24"/>
                <w:szCs w:val="24"/>
                <w:highlight w:val="none"/>
                <w:lang w:val="en-US" w:eastAsia="zh-CN"/>
              </w:rPr>
              <w:t>具体使用</w:t>
            </w:r>
            <w:r>
              <w:rPr>
                <w:rFonts w:hint="default" w:ascii="Times New Roman" w:hAnsi="Times New Roman" w:eastAsia="仿宋" w:cs="Times New Roman"/>
                <w:b/>
                <w:bCs/>
                <w:spacing w:val="3"/>
                <w:sz w:val="24"/>
                <w:szCs w:val="24"/>
                <w:highlight w:val="none"/>
                <w:lang w:val="en-US" w:eastAsia="zh-CN"/>
              </w:rPr>
              <w:t>对比</w:t>
            </w:r>
            <w:r>
              <w:rPr>
                <w:rFonts w:hint="default" w:ascii="Times New Roman" w:hAnsi="Times New Roman" w:eastAsia="仿宋" w:cs="Times New Roman"/>
                <w:b/>
                <w:bCs/>
                <w:spacing w:val="3"/>
                <w:sz w:val="24"/>
                <w:szCs w:val="24"/>
                <w:highlight w:val="none"/>
              </w:rPr>
              <w:t>情况表</w:t>
            </w:r>
          </w:p>
          <w:p w14:paraId="61025D69">
            <w:pPr>
              <w:autoSpaceDE/>
              <w:autoSpaceDN/>
              <w:spacing w:before="136" w:line="336" w:lineRule="auto"/>
              <w:ind w:left="125" w:firstLine="0"/>
              <w:jc w:val="right"/>
              <w:rPr>
                <w:rFonts w:hint="default" w:ascii="Times New Roman" w:hAnsi="Times New Roman" w:eastAsia="仿宋" w:cs="Times New Roman"/>
                <w:b w:val="0"/>
                <w:bCs w:val="0"/>
                <w:spacing w:val="3"/>
                <w:sz w:val="18"/>
                <w:szCs w:val="18"/>
                <w:highlight w:val="none"/>
                <w:lang w:val="en-US" w:eastAsia="zh-CN"/>
              </w:rPr>
            </w:pPr>
            <w:r>
              <w:rPr>
                <w:rFonts w:hint="eastAsia" w:ascii="Times New Roman" w:hAnsi="Times New Roman" w:eastAsia="仿宋" w:cs="Times New Roman"/>
                <w:b w:val="0"/>
                <w:bCs w:val="0"/>
                <w:spacing w:val="3"/>
                <w:sz w:val="18"/>
                <w:szCs w:val="18"/>
                <w:highlight w:val="none"/>
                <w:lang w:val="en-US" w:eastAsia="zh-CN"/>
              </w:rPr>
              <w:t>单位：公顷</w:t>
            </w:r>
          </w:p>
          <w:tbl>
            <w:tblPr>
              <w:tblStyle w:val="12"/>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696"/>
              <w:gridCol w:w="672"/>
              <w:gridCol w:w="354"/>
              <w:gridCol w:w="354"/>
              <w:gridCol w:w="360"/>
              <w:gridCol w:w="684"/>
              <w:gridCol w:w="348"/>
              <w:gridCol w:w="648"/>
              <w:gridCol w:w="708"/>
              <w:gridCol w:w="384"/>
              <w:gridCol w:w="360"/>
              <w:gridCol w:w="761"/>
              <w:gridCol w:w="859"/>
              <w:gridCol w:w="324"/>
              <w:gridCol w:w="658"/>
            </w:tblGrid>
            <w:tr w14:paraId="3A01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371" w:type="dxa"/>
                  <w:gridSpan w:val="4"/>
                  <w:vAlign w:val="center"/>
                </w:tcPr>
                <w:p w14:paraId="30613A6D">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土地利用现状</w:t>
                  </w:r>
                </w:p>
              </w:tc>
              <w:tc>
                <w:tcPr>
                  <w:tcW w:w="3102" w:type="dxa"/>
                  <w:gridSpan w:val="6"/>
                  <w:vAlign w:val="center"/>
                </w:tcPr>
                <w:p w14:paraId="29B4B05B">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规模落实前</w:t>
                  </w:r>
                </w:p>
              </w:tc>
              <w:tc>
                <w:tcPr>
                  <w:tcW w:w="3346" w:type="dxa"/>
                  <w:gridSpan w:val="6"/>
                  <w:vAlign w:val="center"/>
                </w:tcPr>
                <w:p w14:paraId="03C6DC31">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规模落实后</w:t>
                  </w:r>
                </w:p>
              </w:tc>
            </w:tr>
            <w:tr w14:paraId="0F35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649" w:type="dxa"/>
                  <w:vMerge w:val="restart"/>
                  <w:vAlign w:val="center"/>
                </w:tcPr>
                <w:p w14:paraId="320961B8">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农用地</w:t>
                  </w:r>
                </w:p>
              </w:tc>
              <w:tc>
                <w:tcPr>
                  <w:tcW w:w="696" w:type="dxa"/>
                  <w:vMerge w:val="restart"/>
                  <w:vAlign w:val="center"/>
                </w:tcPr>
                <w:p w14:paraId="400FC669">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耕地</w:t>
                  </w:r>
                </w:p>
              </w:tc>
              <w:tc>
                <w:tcPr>
                  <w:tcW w:w="672" w:type="dxa"/>
                  <w:vMerge w:val="restart"/>
                  <w:vAlign w:val="center"/>
                </w:tcPr>
                <w:p w14:paraId="54A92AF7">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建设用地</w:t>
                  </w:r>
                </w:p>
              </w:tc>
              <w:tc>
                <w:tcPr>
                  <w:tcW w:w="354" w:type="dxa"/>
                  <w:vMerge w:val="restart"/>
                  <w:vAlign w:val="center"/>
                </w:tcPr>
                <w:p w14:paraId="783D1EFD">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未利用地</w:t>
                  </w:r>
                </w:p>
              </w:tc>
              <w:tc>
                <w:tcPr>
                  <w:tcW w:w="1746" w:type="dxa"/>
                  <w:gridSpan w:val="4"/>
                  <w:vAlign w:val="center"/>
                </w:tcPr>
                <w:p w14:paraId="47463507">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规划用地用海</w:t>
                  </w:r>
                </w:p>
              </w:tc>
              <w:tc>
                <w:tcPr>
                  <w:tcW w:w="1356" w:type="dxa"/>
                  <w:gridSpan w:val="2"/>
                  <w:vAlign w:val="center"/>
                </w:tcPr>
                <w:p w14:paraId="729E03AE">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规划分区</w:t>
                  </w:r>
                </w:p>
              </w:tc>
              <w:tc>
                <w:tcPr>
                  <w:tcW w:w="2688" w:type="dxa"/>
                  <w:gridSpan w:val="5"/>
                  <w:vAlign w:val="center"/>
                </w:tcPr>
                <w:p w14:paraId="67EFFFA9">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规划用地用海</w:t>
                  </w:r>
                </w:p>
              </w:tc>
              <w:tc>
                <w:tcPr>
                  <w:tcW w:w="658" w:type="dxa"/>
                  <w:vAlign w:val="center"/>
                </w:tcPr>
                <w:p w14:paraId="288ACDDF">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规划分区</w:t>
                  </w:r>
                </w:p>
              </w:tc>
            </w:tr>
            <w:tr w14:paraId="5856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9" w:type="dxa"/>
                  <w:vMerge w:val="continue"/>
                  <w:vAlign w:val="center"/>
                </w:tcPr>
                <w:p w14:paraId="63EA9816">
                  <w:pPr>
                    <w:spacing w:before="136" w:line="240" w:lineRule="auto"/>
                    <w:ind w:left="0" w:firstLine="0"/>
                    <w:jc w:val="center"/>
                    <w:rPr>
                      <w:b/>
                      <w:bCs/>
                      <w:sz w:val="15"/>
                      <w:szCs w:val="15"/>
                      <w:highlight w:val="none"/>
                    </w:rPr>
                  </w:pPr>
                </w:p>
              </w:tc>
              <w:tc>
                <w:tcPr>
                  <w:tcW w:w="696" w:type="dxa"/>
                  <w:vMerge w:val="continue"/>
                  <w:vAlign w:val="center"/>
                </w:tcPr>
                <w:p w14:paraId="482CC3FE">
                  <w:pPr>
                    <w:spacing w:before="136" w:line="240" w:lineRule="auto"/>
                    <w:ind w:left="0" w:firstLine="0"/>
                    <w:jc w:val="center"/>
                    <w:rPr>
                      <w:b/>
                      <w:bCs/>
                      <w:sz w:val="15"/>
                      <w:szCs w:val="15"/>
                      <w:highlight w:val="none"/>
                    </w:rPr>
                  </w:pPr>
                </w:p>
              </w:tc>
              <w:tc>
                <w:tcPr>
                  <w:tcW w:w="672" w:type="dxa"/>
                  <w:vMerge w:val="continue"/>
                  <w:vAlign w:val="center"/>
                </w:tcPr>
                <w:p w14:paraId="5515E262">
                  <w:pPr>
                    <w:spacing w:before="136" w:line="240" w:lineRule="auto"/>
                    <w:ind w:left="0" w:firstLine="0"/>
                    <w:jc w:val="center"/>
                    <w:rPr>
                      <w:b/>
                      <w:bCs/>
                      <w:sz w:val="15"/>
                      <w:szCs w:val="15"/>
                      <w:highlight w:val="none"/>
                    </w:rPr>
                  </w:pPr>
                </w:p>
              </w:tc>
              <w:tc>
                <w:tcPr>
                  <w:tcW w:w="354" w:type="dxa"/>
                  <w:vMerge w:val="continue"/>
                  <w:vAlign w:val="center"/>
                </w:tcPr>
                <w:p w14:paraId="237DFB4C">
                  <w:pPr>
                    <w:spacing w:before="136" w:line="240" w:lineRule="auto"/>
                    <w:ind w:left="0" w:firstLine="0"/>
                    <w:jc w:val="center"/>
                    <w:rPr>
                      <w:b/>
                      <w:bCs/>
                      <w:sz w:val="15"/>
                      <w:szCs w:val="15"/>
                      <w:highlight w:val="none"/>
                    </w:rPr>
                  </w:pPr>
                </w:p>
              </w:tc>
              <w:tc>
                <w:tcPr>
                  <w:tcW w:w="354" w:type="dxa"/>
                  <w:vMerge w:val="restart"/>
                  <w:vAlign w:val="center"/>
                </w:tcPr>
                <w:p w14:paraId="2BB2170A">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农用地</w:t>
                  </w:r>
                </w:p>
              </w:tc>
              <w:tc>
                <w:tcPr>
                  <w:tcW w:w="360" w:type="dxa"/>
                  <w:vMerge w:val="restart"/>
                  <w:vAlign w:val="center"/>
                </w:tcPr>
                <w:p w14:paraId="58C79367">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耕地</w:t>
                  </w:r>
                </w:p>
              </w:tc>
              <w:tc>
                <w:tcPr>
                  <w:tcW w:w="684" w:type="dxa"/>
                  <w:vMerge w:val="restart"/>
                  <w:vAlign w:val="center"/>
                </w:tcPr>
                <w:p w14:paraId="5FE86358">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建设用地（特殊用地）</w:t>
                  </w:r>
                </w:p>
              </w:tc>
              <w:tc>
                <w:tcPr>
                  <w:tcW w:w="348" w:type="dxa"/>
                  <w:vMerge w:val="restart"/>
                  <w:vAlign w:val="center"/>
                </w:tcPr>
                <w:p w14:paraId="337EF10C">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未利用地</w:t>
                  </w:r>
                </w:p>
              </w:tc>
              <w:tc>
                <w:tcPr>
                  <w:tcW w:w="648" w:type="dxa"/>
                  <w:vMerge w:val="restart"/>
                  <w:vAlign w:val="center"/>
                </w:tcPr>
                <w:p w14:paraId="7FDF27E9">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综合服务区</w:t>
                  </w:r>
                </w:p>
              </w:tc>
              <w:tc>
                <w:tcPr>
                  <w:tcW w:w="708" w:type="dxa"/>
                  <w:vMerge w:val="restart"/>
                  <w:vAlign w:val="center"/>
                </w:tcPr>
                <w:p w14:paraId="3C607790">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一般农业区</w:t>
                  </w:r>
                </w:p>
              </w:tc>
              <w:tc>
                <w:tcPr>
                  <w:tcW w:w="384" w:type="dxa"/>
                  <w:vMerge w:val="restart"/>
                  <w:vAlign w:val="center"/>
                </w:tcPr>
                <w:p w14:paraId="6CFF4286">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农用地</w:t>
                  </w:r>
                </w:p>
              </w:tc>
              <w:tc>
                <w:tcPr>
                  <w:tcW w:w="360" w:type="dxa"/>
                  <w:vMerge w:val="restart"/>
                  <w:vAlign w:val="center"/>
                </w:tcPr>
                <w:p w14:paraId="0B787324">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耕地</w:t>
                  </w:r>
                </w:p>
              </w:tc>
              <w:tc>
                <w:tcPr>
                  <w:tcW w:w="1620" w:type="dxa"/>
                  <w:gridSpan w:val="2"/>
                  <w:vAlign w:val="center"/>
                </w:tcPr>
                <w:p w14:paraId="0D94C9C1">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建设用地</w:t>
                  </w:r>
                </w:p>
              </w:tc>
              <w:tc>
                <w:tcPr>
                  <w:tcW w:w="324" w:type="dxa"/>
                  <w:vMerge w:val="restart"/>
                  <w:vAlign w:val="center"/>
                </w:tcPr>
                <w:p w14:paraId="227338B6">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未利用地</w:t>
                  </w:r>
                </w:p>
              </w:tc>
              <w:tc>
                <w:tcPr>
                  <w:tcW w:w="658" w:type="dxa"/>
                  <w:vMerge w:val="restart"/>
                  <w:vAlign w:val="center"/>
                </w:tcPr>
                <w:p w14:paraId="306DC425">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综合服务区</w:t>
                  </w:r>
                </w:p>
              </w:tc>
            </w:tr>
            <w:tr w14:paraId="45A9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9" w:type="dxa"/>
                  <w:vMerge w:val="continue"/>
                  <w:vAlign w:val="center"/>
                </w:tcPr>
                <w:p w14:paraId="0EF5641D">
                  <w:pPr>
                    <w:spacing w:before="136" w:line="240" w:lineRule="auto"/>
                    <w:ind w:left="0" w:firstLine="0"/>
                    <w:jc w:val="center"/>
                  </w:pPr>
                </w:p>
              </w:tc>
              <w:tc>
                <w:tcPr>
                  <w:tcW w:w="696" w:type="dxa"/>
                  <w:vMerge w:val="continue"/>
                  <w:vAlign w:val="center"/>
                </w:tcPr>
                <w:p w14:paraId="2BAD1013">
                  <w:pPr>
                    <w:spacing w:before="136" w:line="240" w:lineRule="auto"/>
                    <w:ind w:left="0" w:firstLine="0"/>
                    <w:jc w:val="center"/>
                  </w:pPr>
                </w:p>
              </w:tc>
              <w:tc>
                <w:tcPr>
                  <w:tcW w:w="672" w:type="dxa"/>
                  <w:vMerge w:val="continue"/>
                  <w:vAlign w:val="center"/>
                </w:tcPr>
                <w:p w14:paraId="0632087B">
                  <w:pPr>
                    <w:spacing w:before="136" w:line="240" w:lineRule="auto"/>
                    <w:ind w:left="0" w:firstLine="0"/>
                    <w:jc w:val="center"/>
                  </w:pPr>
                </w:p>
              </w:tc>
              <w:tc>
                <w:tcPr>
                  <w:tcW w:w="354" w:type="dxa"/>
                  <w:vMerge w:val="continue"/>
                  <w:vAlign w:val="center"/>
                </w:tcPr>
                <w:p w14:paraId="42575982">
                  <w:pPr>
                    <w:spacing w:before="136" w:line="240" w:lineRule="auto"/>
                    <w:ind w:left="0" w:firstLine="0"/>
                    <w:jc w:val="center"/>
                  </w:pPr>
                </w:p>
              </w:tc>
              <w:tc>
                <w:tcPr>
                  <w:tcW w:w="354" w:type="dxa"/>
                  <w:vMerge w:val="continue"/>
                  <w:vAlign w:val="center"/>
                </w:tcPr>
                <w:p w14:paraId="1CE9A7E1">
                  <w:pPr>
                    <w:spacing w:before="136" w:line="240" w:lineRule="auto"/>
                    <w:ind w:left="0" w:firstLine="0"/>
                    <w:jc w:val="center"/>
                  </w:pPr>
                </w:p>
              </w:tc>
              <w:tc>
                <w:tcPr>
                  <w:tcW w:w="360" w:type="dxa"/>
                  <w:vMerge w:val="continue"/>
                  <w:vAlign w:val="center"/>
                </w:tcPr>
                <w:p w14:paraId="08F7D081">
                  <w:pPr>
                    <w:spacing w:before="136" w:line="240" w:lineRule="auto"/>
                    <w:ind w:left="0" w:firstLine="0"/>
                    <w:jc w:val="center"/>
                  </w:pPr>
                </w:p>
              </w:tc>
              <w:tc>
                <w:tcPr>
                  <w:tcW w:w="684" w:type="dxa"/>
                  <w:vMerge w:val="continue"/>
                  <w:vAlign w:val="center"/>
                </w:tcPr>
                <w:p w14:paraId="3F6EFCC9">
                  <w:pPr>
                    <w:spacing w:before="136" w:line="240" w:lineRule="auto"/>
                    <w:ind w:left="0" w:firstLine="0"/>
                    <w:jc w:val="center"/>
                  </w:pPr>
                </w:p>
              </w:tc>
              <w:tc>
                <w:tcPr>
                  <w:tcW w:w="348" w:type="dxa"/>
                  <w:vMerge w:val="continue"/>
                  <w:vAlign w:val="center"/>
                </w:tcPr>
                <w:p w14:paraId="33C03C65">
                  <w:pPr>
                    <w:spacing w:before="136" w:line="240" w:lineRule="auto"/>
                    <w:ind w:left="0" w:firstLine="0"/>
                    <w:jc w:val="center"/>
                  </w:pPr>
                </w:p>
              </w:tc>
              <w:tc>
                <w:tcPr>
                  <w:tcW w:w="648" w:type="dxa"/>
                  <w:vMerge w:val="continue"/>
                  <w:vAlign w:val="center"/>
                </w:tcPr>
                <w:p w14:paraId="7DC24911">
                  <w:pPr>
                    <w:spacing w:before="136" w:line="240" w:lineRule="auto"/>
                    <w:ind w:left="0" w:firstLine="0"/>
                    <w:jc w:val="center"/>
                  </w:pPr>
                </w:p>
              </w:tc>
              <w:tc>
                <w:tcPr>
                  <w:tcW w:w="708" w:type="dxa"/>
                  <w:vMerge w:val="continue"/>
                  <w:vAlign w:val="center"/>
                </w:tcPr>
                <w:p w14:paraId="0C2CAF44">
                  <w:pPr>
                    <w:spacing w:before="136" w:line="240" w:lineRule="auto"/>
                    <w:ind w:left="0" w:firstLine="0"/>
                    <w:jc w:val="center"/>
                  </w:pPr>
                </w:p>
              </w:tc>
              <w:tc>
                <w:tcPr>
                  <w:tcW w:w="384" w:type="dxa"/>
                  <w:vMerge w:val="continue"/>
                  <w:vAlign w:val="center"/>
                </w:tcPr>
                <w:p w14:paraId="7B89B981">
                  <w:pPr>
                    <w:spacing w:before="136" w:line="240" w:lineRule="auto"/>
                    <w:ind w:left="0" w:firstLine="0"/>
                    <w:jc w:val="center"/>
                  </w:pPr>
                </w:p>
              </w:tc>
              <w:tc>
                <w:tcPr>
                  <w:tcW w:w="360" w:type="dxa"/>
                  <w:vMerge w:val="continue"/>
                  <w:vAlign w:val="center"/>
                </w:tcPr>
                <w:p w14:paraId="7CEDC36A">
                  <w:pPr>
                    <w:spacing w:before="136" w:line="240" w:lineRule="auto"/>
                    <w:ind w:left="0" w:firstLine="0"/>
                    <w:jc w:val="center"/>
                  </w:pPr>
                </w:p>
              </w:tc>
              <w:tc>
                <w:tcPr>
                  <w:tcW w:w="761" w:type="dxa"/>
                  <w:vAlign w:val="center"/>
                </w:tcPr>
                <w:p w14:paraId="2F7A511F">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文化用地</w:t>
                  </w:r>
                </w:p>
              </w:tc>
              <w:tc>
                <w:tcPr>
                  <w:tcW w:w="859" w:type="dxa"/>
                  <w:vAlign w:val="center"/>
                </w:tcPr>
                <w:p w14:paraId="38C4CEF4">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城镇村道路用地</w:t>
                  </w:r>
                </w:p>
              </w:tc>
              <w:tc>
                <w:tcPr>
                  <w:tcW w:w="324" w:type="dxa"/>
                  <w:vMerge w:val="continue"/>
                  <w:vAlign w:val="center"/>
                </w:tcPr>
                <w:p w14:paraId="21042100">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p>
              </w:tc>
              <w:tc>
                <w:tcPr>
                  <w:tcW w:w="658" w:type="dxa"/>
                  <w:vMerge w:val="continue"/>
                  <w:vAlign w:val="center"/>
                </w:tcPr>
                <w:p w14:paraId="7CC02B98">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p>
              </w:tc>
            </w:tr>
            <w:tr w14:paraId="0D0A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649" w:type="dxa"/>
                  <w:vAlign w:val="center"/>
                </w:tcPr>
                <w:p w14:paraId="5BEED628">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0.8637</w:t>
                  </w:r>
                </w:p>
              </w:tc>
              <w:tc>
                <w:tcPr>
                  <w:tcW w:w="696" w:type="dxa"/>
                  <w:vAlign w:val="center"/>
                </w:tcPr>
                <w:p w14:paraId="4D8B59C0">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0.3645</w:t>
                  </w:r>
                </w:p>
              </w:tc>
              <w:tc>
                <w:tcPr>
                  <w:tcW w:w="672" w:type="dxa"/>
                  <w:vAlign w:val="center"/>
                </w:tcPr>
                <w:p w14:paraId="3740FCAD">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0.3954</w:t>
                  </w:r>
                </w:p>
              </w:tc>
              <w:tc>
                <w:tcPr>
                  <w:tcW w:w="354" w:type="dxa"/>
                  <w:vAlign w:val="center"/>
                </w:tcPr>
                <w:p w14:paraId="0D8B24EB">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354" w:type="dxa"/>
                  <w:vAlign w:val="center"/>
                </w:tcPr>
                <w:p w14:paraId="50B630DF">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360" w:type="dxa"/>
                  <w:vAlign w:val="center"/>
                </w:tcPr>
                <w:p w14:paraId="1CC554ED">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684" w:type="dxa"/>
                  <w:vAlign w:val="center"/>
                </w:tcPr>
                <w:p w14:paraId="205771F5">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1.2591</w:t>
                  </w:r>
                </w:p>
              </w:tc>
              <w:tc>
                <w:tcPr>
                  <w:tcW w:w="348" w:type="dxa"/>
                  <w:vAlign w:val="center"/>
                </w:tcPr>
                <w:p w14:paraId="13EFA7EB">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648" w:type="dxa"/>
                  <w:vAlign w:val="center"/>
                </w:tcPr>
                <w:p w14:paraId="05513CA2">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1.2456</w:t>
                  </w:r>
                </w:p>
              </w:tc>
              <w:tc>
                <w:tcPr>
                  <w:tcW w:w="708" w:type="dxa"/>
                  <w:vAlign w:val="center"/>
                </w:tcPr>
                <w:p w14:paraId="57B73D4E">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0.0135</w:t>
                  </w:r>
                </w:p>
              </w:tc>
              <w:tc>
                <w:tcPr>
                  <w:tcW w:w="384" w:type="dxa"/>
                  <w:vAlign w:val="center"/>
                </w:tcPr>
                <w:p w14:paraId="7866D695">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360" w:type="dxa"/>
                  <w:vAlign w:val="center"/>
                </w:tcPr>
                <w:p w14:paraId="77A41127">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761" w:type="dxa"/>
                  <w:vAlign w:val="center"/>
                </w:tcPr>
                <w:p w14:paraId="40AD1CFB">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0.8182</w:t>
                  </w:r>
                </w:p>
              </w:tc>
              <w:tc>
                <w:tcPr>
                  <w:tcW w:w="859" w:type="dxa"/>
                  <w:vAlign w:val="center"/>
                </w:tcPr>
                <w:p w14:paraId="356D0A28">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0.4409</w:t>
                  </w:r>
                </w:p>
              </w:tc>
              <w:tc>
                <w:tcPr>
                  <w:tcW w:w="324" w:type="dxa"/>
                  <w:vAlign w:val="center"/>
                </w:tcPr>
                <w:p w14:paraId="53FA46A8">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658" w:type="dxa"/>
                  <w:vAlign w:val="center"/>
                </w:tcPr>
                <w:p w14:paraId="3D3857F8">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0.8182</w:t>
                  </w:r>
                </w:p>
              </w:tc>
            </w:tr>
          </w:tbl>
          <w:p w14:paraId="44C2395D">
            <w:pPr>
              <w:spacing w:before="136" w:line="337" w:lineRule="auto"/>
              <w:ind w:left="123" w:firstLine="454"/>
              <w:jc w:val="both"/>
              <w:rPr>
                <w:rFonts w:hint="default" w:ascii="Times New Roman" w:hAnsi="Times New Roman" w:eastAsia="仿宋" w:cs="Times New Roman"/>
                <w:spacing w:val="3"/>
                <w:sz w:val="24"/>
                <w:szCs w:val="24"/>
              </w:rPr>
            </w:pPr>
            <w:r>
              <w:rPr>
                <w:rFonts w:hint="default" w:ascii="Times New Roman" w:hAnsi="Times New Roman" w:eastAsia="仿宋" w:cs="Times New Roman"/>
                <w:spacing w:val="3"/>
                <w:sz w:val="24"/>
                <w:szCs w:val="24"/>
              </w:rPr>
              <w:t>（</w:t>
            </w:r>
            <w:r>
              <w:rPr>
                <w:rFonts w:hint="eastAsia" w:ascii="Times New Roman" w:hAnsi="Times New Roman" w:eastAsia="仿宋" w:cs="Times New Roman"/>
                <w:spacing w:val="3"/>
                <w:sz w:val="24"/>
                <w:szCs w:val="24"/>
                <w:lang w:val="en-US" w:eastAsia="zh-CN"/>
              </w:rPr>
              <w:t>二</w:t>
            </w:r>
            <w:r>
              <w:rPr>
                <w:rFonts w:hint="default" w:ascii="Times New Roman" w:hAnsi="Times New Roman" w:eastAsia="仿宋" w:cs="Times New Roman"/>
                <w:spacing w:val="3"/>
                <w:sz w:val="24"/>
                <w:szCs w:val="24"/>
              </w:rPr>
              <w:t>）南雄市珠玑镇群众活动综合体（梅岭片区）项目</w:t>
            </w:r>
          </w:p>
          <w:p w14:paraId="35EF0FCA">
            <w:pPr>
              <w:spacing w:before="136" w:line="337" w:lineRule="auto"/>
              <w:ind w:left="123" w:firstLine="454"/>
              <w:jc w:val="both"/>
              <w:rPr>
                <w:rFonts w:hint="default" w:ascii="Times New Roman" w:hAnsi="Times New Roman" w:eastAsia="仿宋" w:cs="Times New Roman"/>
                <w:spacing w:val="3"/>
                <w:sz w:val="24"/>
                <w:szCs w:val="24"/>
                <w:highlight w:val="none"/>
              </w:rPr>
            </w:pPr>
            <w:r>
              <w:rPr>
                <w:rFonts w:hint="default" w:ascii="Times New Roman" w:hAnsi="Times New Roman" w:eastAsia="仿宋" w:cs="Times New Roman"/>
                <w:spacing w:val="3"/>
                <w:sz w:val="24"/>
                <w:szCs w:val="24"/>
              </w:rPr>
              <w:t>南雄市珠玑镇群众活动综合体（梅岭片区）项目</w:t>
            </w:r>
            <w:r>
              <w:rPr>
                <w:rFonts w:hint="default" w:ascii="Times New Roman" w:hAnsi="Times New Roman" w:eastAsia="仿宋" w:cs="Times New Roman"/>
                <w:spacing w:val="3"/>
                <w:sz w:val="24"/>
                <w:szCs w:val="24"/>
                <w:highlight w:val="none"/>
              </w:rPr>
              <w:t>共涉及</w:t>
            </w:r>
            <w:r>
              <w:rPr>
                <w:rFonts w:hint="default" w:ascii="Times New Roman" w:hAnsi="Times New Roman" w:eastAsia="仿宋" w:cs="Times New Roman"/>
                <w:spacing w:val="3"/>
                <w:sz w:val="24"/>
                <w:szCs w:val="24"/>
                <w:highlight w:val="none"/>
                <w:lang w:val="en-US" w:eastAsia="zh-CN"/>
              </w:rPr>
              <w:t>1</w:t>
            </w:r>
            <w:r>
              <w:rPr>
                <w:rFonts w:hint="default" w:ascii="Times New Roman" w:hAnsi="Times New Roman" w:eastAsia="仿宋" w:cs="Times New Roman"/>
                <w:spacing w:val="3"/>
                <w:sz w:val="24"/>
                <w:szCs w:val="24"/>
                <w:highlight w:val="none"/>
              </w:rPr>
              <w:t>个地块（</w:t>
            </w:r>
            <w:r>
              <w:rPr>
                <w:rFonts w:hint="eastAsia" w:ascii="Times New Roman" w:hAnsi="Times New Roman" w:eastAsia="仿宋" w:cs="Times New Roman"/>
                <w:spacing w:val="3"/>
                <w:sz w:val="24"/>
                <w:szCs w:val="24"/>
                <w:highlight w:val="none"/>
                <w:lang w:val="en-US" w:eastAsia="zh-CN"/>
              </w:rPr>
              <w:t>WTR</w:t>
            </w:r>
            <w:r>
              <w:rPr>
                <w:rFonts w:hint="eastAsia" w:ascii="Times New Roman" w:hAnsi="Times New Roman" w:eastAsia="仿宋" w:cs="Times New Roman"/>
                <w:spacing w:val="3"/>
                <w:sz w:val="24"/>
                <w:szCs w:val="24"/>
                <w:highlight w:val="none"/>
                <w:lang w:eastAsia="zh-CN"/>
              </w:rPr>
              <w:t>1</w:t>
            </w:r>
            <w:r>
              <w:rPr>
                <w:rFonts w:hint="eastAsia" w:ascii="Times New Roman" w:hAnsi="Times New Roman" w:eastAsia="仿宋" w:cs="Times New Roman"/>
                <w:spacing w:val="3"/>
                <w:sz w:val="24"/>
                <w:szCs w:val="24"/>
                <w:highlight w:val="none"/>
                <w:lang w:val="en-US" w:eastAsia="zh-CN"/>
              </w:rPr>
              <w:t>3</w:t>
            </w:r>
            <w:r>
              <w:rPr>
                <w:rFonts w:hint="default" w:ascii="Times New Roman" w:hAnsi="Times New Roman" w:eastAsia="仿宋" w:cs="Times New Roman"/>
                <w:spacing w:val="3"/>
                <w:sz w:val="24"/>
                <w:szCs w:val="24"/>
                <w:highlight w:val="none"/>
              </w:rPr>
              <w:t>地块），面积</w:t>
            </w:r>
            <w:r>
              <w:rPr>
                <w:rFonts w:hint="eastAsia" w:ascii="Times New Roman" w:hAnsi="Times New Roman" w:eastAsia="仿宋" w:cs="Times New Roman"/>
                <w:spacing w:val="3"/>
                <w:sz w:val="24"/>
                <w:szCs w:val="24"/>
                <w:highlight w:val="none"/>
                <w:lang w:val="en-US" w:eastAsia="zh-CN"/>
              </w:rPr>
              <w:t>0.5404</w:t>
            </w:r>
            <w:r>
              <w:rPr>
                <w:rFonts w:hint="default" w:ascii="Times New Roman" w:hAnsi="Times New Roman" w:eastAsia="仿宋" w:cs="Times New Roman"/>
                <w:spacing w:val="3"/>
                <w:sz w:val="24"/>
                <w:szCs w:val="24"/>
                <w:highlight w:val="none"/>
              </w:rPr>
              <w:t>公顷。根据</w:t>
            </w:r>
            <w:r>
              <w:rPr>
                <w:rFonts w:hint="default" w:ascii="Times New Roman" w:hAnsi="Times New Roman" w:eastAsia="仿宋" w:cs="Times New Roman"/>
                <w:spacing w:val="3"/>
                <w:sz w:val="24"/>
                <w:szCs w:val="24"/>
                <w:highlight w:val="none"/>
                <w:lang w:eastAsia="zh-CN"/>
              </w:rPr>
              <w:t>南雄市</w:t>
            </w:r>
            <w:r>
              <w:rPr>
                <w:rFonts w:hint="eastAsia" w:ascii="Times New Roman" w:hAnsi="Times New Roman" w:eastAsia="仿宋" w:cs="Times New Roman"/>
                <w:spacing w:val="3"/>
                <w:sz w:val="24"/>
                <w:szCs w:val="24"/>
                <w:highlight w:val="none"/>
                <w:lang w:eastAsia="zh-CN"/>
              </w:rPr>
              <w:t>2024年度国土变更调查</w:t>
            </w:r>
            <w:r>
              <w:rPr>
                <w:rFonts w:hint="default" w:ascii="Times New Roman" w:hAnsi="Times New Roman" w:eastAsia="仿宋" w:cs="Times New Roman"/>
                <w:spacing w:val="3"/>
                <w:sz w:val="24"/>
                <w:szCs w:val="24"/>
                <w:highlight w:val="none"/>
              </w:rPr>
              <w:t>成果分析，涉及建设用地0.</w:t>
            </w:r>
            <w:r>
              <w:rPr>
                <w:rFonts w:hint="eastAsia" w:ascii="Times New Roman" w:hAnsi="Times New Roman" w:eastAsia="仿宋" w:cs="Times New Roman"/>
                <w:spacing w:val="3"/>
                <w:sz w:val="24"/>
                <w:szCs w:val="24"/>
                <w:highlight w:val="none"/>
                <w:lang w:val="en-US" w:eastAsia="zh-CN"/>
              </w:rPr>
              <w:t>5404</w:t>
            </w:r>
            <w:r>
              <w:rPr>
                <w:rFonts w:hint="default" w:ascii="Times New Roman" w:hAnsi="Times New Roman" w:eastAsia="仿宋" w:cs="Times New Roman"/>
                <w:spacing w:val="3"/>
                <w:sz w:val="24"/>
                <w:szCs w:val="24"/>
                <w:highlight w:val="none"/>
              </w:rPr>
              <w:t>公顷。城镇建设用地规模落实前，其规划用途为</w:t>
            </w:r>
            <w:r>
              <w:rPr>
                <w:rFonts w:hint="default" w:ascii="Times New Roman" w:hAnsi="Times New Roman" w:eastAsia="仿宋" w:cs="Times New Roman"/>
                <w:sz w:val="24"/>
                <w:szCs w:val="24"/>
                <w:highlight w:val="none"/>
              </w:rPr>
              <w:t>建设用地0.</w:t>
            </w:r>
            <w:r>
              <w:rPr>
                <w:rFonts w:hint="eastAsia" w:ascii="Times New Roman" w:hAnsi="Times New Roman" w:eastAsia="仿宋" w:cs="Times New Roman"/>
                <w:sz w:val="24"/>
                <w:szCs w:val="24"/>
                <w:highlight w:val="none"/>
                <w:lang w:val="en-US" w:eastAsia="zh-CN"/>
              </w:rPr>
              <w:t>5404</w:t>
            </w:r>
            <w:r>
              <w:rPr>
                <w:rFonts w:hint="default" w:ascii="Times New Roman" w:hAnsi="Times New Roman" w:eastAsia="仿宋" w:cs="Times New Roman"/>
                <w:sz w:val="24"/>
                <w:szCs w:val="24"/>
                <w:highlight w:val="none"/>
              </w:rPr>
              <w:t>公顷（</w:t>
            </w:r>
            <w:r>
              <w:rPr>
                <w:rFonts w:hint="default" w:ascii="Times New Roman" w:hAnsi="Times New Roman" w:eastAsia="仿宋" w:cs="Times New Roman"/>
                <w:sz w:val="24"/>
                <w:szCs w:val="24"/>
                <w:highlight w:val="none"/>
                <w:lang w:val="en-US" w:eastAsia="zh-CN"/>
              </w:rPr>
              <w:t>其中</w:t>
            </w:r>
            <w:r>
              <w:rPr>
                <w:rFonts w:hint="eastAsia" w:ascii="Times New Roman" w:hAnsi="Times New Roman" w:eastAsia="仿宋" w:cs="Times New Roman"/>
                <w:sz w:val="24"/>
                <w:szCs w:val="24"/>
                <w:highlight w:val="none"/>
                <w:lang w:val="en-US" w:eastAsia="zh-CN"/>
              </w:rPr>
              <w:t>商业</w:t>
            </w:r>
            <w:r>
              <w:rPr>
                <w:rFonts w:hint="default" w:ascii="Times New Roman" w:hAnsi="Times New Roman" w:eastAsia="仿宋" w:cs="Times New Roman"/>
                <w:sz w:val="24"/>
                <w:szCs w:val="24"/>
                <w:highlight w:val="none"/>
                <w:lang w:val="en-US" w:eastAsia="zh-CN"/>
              </w:rPr>
              <w:t>用地0.</w:t>
            </w:r>
            <w:r>
              <w:rPr>
                <w:rFonts w:hint="eastAsia" w:ascii="Times New Roman" w:hAnsi="Times New Roman" w:eastAsia="仿宋" w:cs="Times New Roman"/>
                <w:sz w:val="24"/>
                <w:szCs w:val="24"/>
                <w:highlight w:val="none"/>
                <w:lang w:val="en-US" w:eastAsia="zh-CN"/>
              </w:rPr>
              <w:t>5404</w:t>
            </w:r>
            <w:r>
              <w:rPr>
                <w:rFonts w:hint="default" w:ascii="Times New Roman" w:hAnsi="Times New Roman" w:eastAsia="仿宋" w:cs="Times New Roman"/>
                <w:sz w:val="24"/>
                <w:szCs w:val="24"/>
                <w:highlight w:val="none"/>
                <w:lang w:val="en-US" w:eastAsia="zh-CN"/>
              </w:rPr>
              <w:t>公顷</w:t>
            </w:r>
            <w:r>
              <w:rPr>
                <w:rFonts w:hint="default" w:ascii="Times New Roman" w:hAnsi="Times New Roman" w:eastAsia="仿宋" w:cs="Times New Roman"/>
                <w:sz w:val="24"/>
                <w:szCs w:val="24"/>
                <w:highlight w:val="none"/>
              </w:rPr>
              <w:t>）</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规划分区为村庄建设区0.5404公顷</w:t>
            </w:r>
            <w:r>
              <w:rPr>
                <w:rFonts w:hint="default" w:ascii="Times New Roman" w:hAnsi="Times New Roman" w:eastAsia="仿宋" w:cs="Times New Roman"/>
                <w:spacing w:val="3"/>
                <w:sz w:val="24"/>
                <w:szCs w:val="24"/>
                <w:highlight w:val="none"/>
              </w:rPr>
              <w:t>。城镇建设用地规模落实后，其规划用途全部调整为</w:t>
            </w:r>
            <w:r>
              <w:rPr>
                <w:rFonts w:hint="eastAsia" w:ascii="Times New Roman" w:hAnsi="Times New Roman" w:eastAsia="仿宋" w:cs="Times New Roman"/>
                <w:spacing w:val="3"/>
                <w:sz w:val="24"/>
                <w:szCs w:val="24"/>
                <w:highlight w:val="none"/>
                <w:lang w:val="en-US" w:eastAsia="zh-CN"/>
              </w:rPr>
              <w:t>文化</w:t>
            </w:r>
            <w:r>
              <w:rPr>
                <w:rFonts w:hint="default" w:ascii="Times New Roman" w:hAnsi="Times New Roman" w:eastAsia="仿宋" w:cs="Times New Roman"/>
                <w:spacing w:val="3"/>
                <w:sz w:val="24"/>
                <w:szCs w:val="24"/>
                <w:highlight w:val="none"/>
              </w:rPr>
              <w:t>用地。因此，城镇建设用地规模落实前后，</w:t>
            </w:r>
            <w:r>
              <w:rPr>
                <w:rFonts w:hint="eastAsia" w:ascii="Times New Roman" w:hAnsi="Times New Roman" w:eastAsia="仿宋" w:cs="Times New Roman"/>
                <w:spacing w:val="3"/>
                <w:sz w:val="24"/>
                <w:szCs w:val="24"/>
                <w:highlight w:val="none"/>
                <w:lang w:val="en-US" w:eastAsia="zh-CN"/>
              </w:rPr>
              <w:t>商业</w:t>
            </w:r>
            <w:r>
              <w:rPr>
                <w:rFonts w:hint="default" w:ascii="Times New Roman" w:hAnsi="Times New Roman" w:eastAsia="仿宋" w:cs="Times New Roman"/>
                <w:spacing w:val="3"/>
                <w:sz w:val="24"/>
                <w:szCs w:val="24"/>
                <w:highlight w:val="none"/>
                <w:lang w:val="en-US" w:eastAsia="zh-CN"/>
              </w:rPr>
              <w:t>用地减少0.</w:t>
            </w:r>
            <w:r>
              <w:rPr>
                <w:rFonts w:hint="eastAsia" w:ascii="Times New Roman" w:hAnsi="Times New Roman" w:eastAsia="仿宋" w:cs="Times New Roman"/>
                <w:spacing w:val="3"/>
                <w:sz w:val="24"/>
                <w:szCs w:val="24"/>
                <w:highlight w:val="none"/>
                <w:lang w:val="en-US" w:eastAsia="zh-CN"/>
              </w:rPr>
              <w:t>5404</w:t>
            </w:r>
            <w:r>
              <w:rPr>
                <w:rFonts w:hint="default" w:ascii="Times New Roman" w:hAnsi="Times New Roman" w:eastAsia="仿宋" w:cs="Times New Roman"/>
                <w:spacing w:val="3"/>
                <w:sz w:val="24"/>
                <w:szCs w:val="24"/>
                <w:highlight w:val="none"/>
                <w:lang w:val="en-US" w:eastAsia="zh-CN"/>
              </w:rPr>
              <w:t>公顷</w:t>
            </w:r>
            <w:r>
              <w:rPr>
                <w:rFonts w:hint="default" w:ascii="Times New Roman" w:hAnsi="Times New Roman" w:eastAsia="仿宋" w:cs="Times New Roman"/>
                <w:spacing w:val="3"/>
                <w:sz w:val="24"/>
                <w:szCs w:val="24"/>
                <w:highlight w:val="none"/>
              </w:rPr>
              <w:t>，</w:t>
            </w:r>
            <w:r>
              <w:rPr>
                <w:rFonts w:hint="eastAsia" w:ascii="Times New Roman" w:hAnsi="Times New Roman" w:eastAsia="仿宋" w:cs="Times New Roman"/>
                <w:spacing w:val="3"/>
                <w:sz w:val="24"/>
                <w:szCs w:val="24"/>
                <w:highlight w:val="none"/>
                <w:lang w:val="en-US" w:eastAsia="zh-CN"/>
              </w:rPr>
              <w:t>文化</w:t>
            </w:r>
            <w:r>
              <w:rPr>
                <w:rFonts w:hint="default" w:ascii="Times New Roman" w:hAnsi="Times New Roman" w:eastAsia="仿宋" w:cs="Times New Roman"/>
                <w:spacing w:val="3"/>
                <w:sz w:val="24"/>
                <w:szCs w:val="24"/>
                <w:highlight w:val="none"/>
              </w:rPr>
              <w:t>用地增加0.</w:t>
            </w:r>
            <w:r>
              <w:rPr>
                <w:rFonts w:hint="eastAsia" w:ascii="Times New Roman" w:hAnsi="Times New Roman" w:eastAsia="仿宋" w:cs="Times New Roman"/>
                <w:spacing w:val="3"/>
                <w:sz w:val="24"/>
                <w:szCs w:val="24"/>
                <w:highlight w:val="none"/>
                <w:lang w:val="en-US" w:eastAsia="zh-CN"/>
              </w:rPr>
              <w:t>5404</w:t>
            </w:r>
            <w:r>
              <w:rPr>
                <w:rFonts w:hint="default" w:ascii="Times New Roman" w:hAnsi="Times New Roman" w:eastAsia="仿宋" w:cs="Times New Roman"/>
                <w:spacing w:val="3"/>
                <w:sz w:val="24"/>
                <w:szCs w:val="24"/>
                <w:highlight w:val="none"/>
              </w:rPr>
              <w:t>公顷</w:t>
            </w:r>
            <w:r>
              <w:rPr>
                <w:rFonts w:hint="eastAsia" w:ascii="Times New Roman" w:hAnsi="Times New Roman" w:eastAsia="仿宋" w:cs="Times New Roman"/>
                <w:spacing w:val="3"/>
                <w:sz w:val="24"/>
                <w:szCs w:val="24"/>
                <w:highlight w:val="none"/>
                <w:lang w:eastAsia="zh-CN"/>
              </w:rPr>
              <w:t>；</w:t>
            </w:r>
            <w:r>
              <w:rPr>
                <w:rFonts w:hint="eastAsia" w:ascii="Times New Roman" w:hAnsi="Times New Roman" w:eastAsia="仿宋" w:cs="Times New Roman"/>
                <w:spacing w:val="3"/>
                <w:sz w:val="24"/>
                <w:szCs w:val="24"/>
                <w:highlight w:val="none"/>
                <w:lang w:val="en-US" w:eastAsia="zh-CN"/>
              </w:rPr>
              <w:t>村庄建设区减少0.5404公顷，综合服务区增加0.5404公顷</w:t>
            </w:r>
            <w:r>
              <w:rPr>
                <w:rFonts w:hint="default" w:ascii="Times New Roman" w:hAnsi="Times New Roman" w:eastAsia="仿宋" w:cs="Times New Roman"/>
                <w:spacing w:val="3"/>
                <w:sz w:val="24"/>
                <w:szCs w:val="24"/>
                <w:highlight w:val="none"/>
              </w:rPr>
              <w:t>。</w:t>
            </w:r>
          </w:p>
          <w:p w14:paraId="503882F3">
            <w:pPr>
              <w:autoSpaceDE/>
              <w:autoSpaceDN/>
              <w:spacing w:before="136" w:line="336" w:lineRule="auto"/>
              <w:ind w:left="0" w:firstLine="0"/>
              <w:jc w:val="center"/>
              <w:rPr>
                <w:rFonts w:hint="default" w:ascii="Times New Roman" w:hAnsi="Times New Roman" w:eastAsia="仿宋" w:cs="Times New Roman"/>
                <w:b/>
                <w:bCs/>
                <w:spacing w:val="3"/>
                <w:sz w:val="24"/>
                <w:szCs w:val="24"/>
                <w:highlight w:val="none"/>
              </w:rPr>
            </w:pPr>
            <w:r>
              <w:rPr>
                <w:rFonts w:hint="default" w:ascii="Times New Roman" w:hAnsi="Times New Roman" w:eastAsia="仿宋" w:cs="Times New Roman"/>
                <w:b/>
                <w:bCs/>
                <w:spacing w:val="3"/>
                <w:sz w:val="24"/>
                <w:szCs w:val="24"/>
                <w:highlight w:val="none"/>
              </w:rPr>
              <w:t>表2-</w:t>
            </w:r>
            <w:r>
              <w:rPr>
                <w:rFonts w:hint="eastAsia" w:ascii="Times New Roman" w:hAnsi="Times New Roman" w:eastAsia="仿宋" w:cs="Times New Roman"/>
                <w:b/>
                <w:bCs/>
                <w:spacing w:val="3"/>
                <w:sz w:val="24"/>
                <w:szCs w:val="24"/>
                <w:highlight w:val="none"/>
                <w:lang w:val="en-US" w:eastAsia="zh-CN"/>
              </w:rPr>
              <w:t>5</w:t>
            </w:r>
            <w:r>
              <w:rPr>
                <w:rFonts w:hint="default" w:ascii="Times New Roman" w:hAnsi="Times New Roman" w:eastAsia="仿宋" w:cs="Times New Roman"/>
                <w:b/>
                <w:bCs/>
                <w:spacing w:val="3"/>
                <w:sz w:val="24"/>
                <w:szCs w:val="24"/>
                <w:highlight w:val="none"/>
              </w:rPr>
              <w:t xml:space="preserve"> 本项目</w:t>
            </w:r>
            <w:r>
              <w:rPr>
                <w:rFonts w:hint="eastAsia" w:ascii="Times New Roman" w:hAnsi="Times New Roman" w:eastAsia="仿宋" w:cs="Times New Roman"/>
                <w:b/>
                <w:bCs/>
                <w:spacing w:val="3"/>
                <w:sz w:val="24"/>
                <w:szCs w:val="24"/>
                <w:highlight w:val="none"/>
                <w:lang w:val="en-US" w:eastAsia="zh-CN"/>
              </w:rPr>
              <w:t>具体使用</w:t>
            </w:r>
            <w:r>
              <w:rPr>
                <w:rFonts w:hint="default" w:ascii="Times New Roman" w:hAnsi="Times New Roman" w:eastAsia="仿宋" w:cs="Times New Roman"/>
                <w:b/>
                <w:bCs/>
                <w:spacing w:val="3"/>
                <w:sz w:val="24"/>
                <w:szCs w:val="24"/>
                <w:highlight w:val="none"/>
                <w:lang w:val="en-US" w:eastAsia="zh-CN"/>
              </w:rPr>
              <w:t>对比</w:t>
            </w:r>
            <w:r>
              <w:rPr>
                <w:rFonts w:hint="default" w:ascii="Times New Roman" w:hAnsi="Times New Roman" w:eastAsia="仿宋" w:cs="Times New Roman"/>
                <w:b/>
                <w:bCs/>
                <w:spacing w:val="3"/>
                <w:sz w:val="24"/>
                <w:szCs w:val="24"/>
                <w:highlight w:val="none"/>
              </w:rPr>
              <w:t>情况表</w:t>
            </w:r>
          </w:p>
          <w:p w14:paraId="6A220638">
            <w:pPr>
              <w:autoSpaceDE/>
              <w:autoSpaceDN/>
              <w:spacing w:before="136" w:line="336" w:lineRule="auto"/>
              <w:ind w:left="0" w:firstLine="0"/>
              <w:jc w:val="right"/>
              <w:rPr>
                <w:rFonts w:hint="default" w:ascii="Times New Roman" w:hAnsi="Times New Roman" w:eastAsia="仿宋" w:cs="Times New Roman"/>
                <w:b w:val="0"/>
                <w:bCs w:val="0"/>
                <w:spacing w:val="3"/>
                <w:sz w:val="18"/>
                <w:szCs w:val="18"/>
                <w:highlight w:val="none"/>
                <w:lang w:val="en-US" w:eastAsia="zh-CN"/>
              </w:rPr>
            </w:pPr>
            <w:r>
              <w:rPr>
                <w:rFonts w:hint="eastAsia" w:ascii="Times New Roman" w:hAnsi="Times New Roman" w:eastAsia="仿宋" w:cs="Times New Roman"/>
                <w:b w:val="0"/>
                <w:bCs w:val="0"/>
                <w:spacing w:val="3"/>
                <w:sz w:val="18"/>
                <w:szCs w:val="18"/>
                <w:highlight w:val="none"/>
                <w:lang w:val="en-US" w:eastAsia="zh-CN"/>
              </w:rPr>
              <w:t>单位：公顷</w:t>
            </w:r>
          </w:p>
          <w:tbl>
            <w:tblPr>
              <w:tblStyle w:val="12"/>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694"/>
              <w:gridCol w:w="693"/>
              <w:gridCol w:w="300"/>
              <w:gridCol w:w="390"/>
              <w:gridCol w:w="416"/>
              <w:gridCol w:w="707"/>
              <w:gridCol w:w="610"/>
              <w:gridCol w:w="861"/>
              <w:gridCol w:w="503"/>
              <w:gridCol w:w="471"/>
              <w:gridCol w:w="1022"/>
              <w:gridCol w:w="599"/>
              <w:gridCol w:w="869"/>
            </w:tblGrid>
            <w:tr w14:paraId="347A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2371" w:type="dxa"/>
                  <w:gridSpan w:val="4"/>
                  <w:vAlign w:val="center"/>
                </w:tcPr>
                <w:p w14:paraId="78F13301">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土地利用现状</w:t>
                  </w:r>
                </w:p>
              </w:tc>
              <w:tc>
                <w:tcPr>
                  <w:tcW w:w="2984" w:type="dxa"/>
                  <w:gridSpan w:val="5"/>
                  <w:vAlign w:val="center"/>
                </w:tcPr>
                <w:p w14:paraId="455493FA">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规模落实前</w:t>
                  </w:r>
                </w:p>
              </w:tc>
              <w:tc>
                <w:tcPr>
                  <w:tcW w:w="3464" w:type="dxa"/>
                  <w:gridSpan w:val="5"/>
                  <w:vAlign w:val="center"/>
                </w:tcPr>
                <w:p w14:paraId="46E3B986">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规模落实后</w:t>
                  </w:r>
                </w:p>
              </w:tc>
            </w:tr>
            <w:tr w14:paraId="49C4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684" w:type="dxa"/>
                  <w:vMerge w:val="restart"/>
                  <w:vAlign w:val="center"/>
                </w:tcPr>
                <w:p w14:paraId="2ADB4E37">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农用地</w:t>
                  </w:r>
                </w:p>
              </w:tc>
              <w:tc>
                <w:tcPr>
                  <w:tcW w:w="694" w:type="dxa"/>
                  <w:vMerge w:val="restart"/>
                  <w:vAlign w:val="center"/>
                </w:tcPr>
                <w:p w14:paraId="1C35EFA4">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耕地</w:t>
                  </w:r>
                </w:p>
              </w:tc>
              <w:tc>
                <w:tcPr>
                  <w:tcW w:w="693" w:type="dxa"/>
                  <w:vMerge w:val="restart"/>
                  <w:vAlign w:val="center"/>
                </w:tcPr>
                <w:p w14:paraId="4C087427">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建设用地</w:t>
                  </w:r>
                </w:p>
              </w:tc>
              <w:tc>
                <w:tcPr>
                  <w:tcW w:w="300" w:type="dxa"/>
                  <w:vMerge w:val="restart"/>
                  <w:vAlign w:val="center"/>
                </w:tcPr>
                <w:p w14:paraId="781DE5E9">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未利用地</w:t>
                  </w:r>
                </w:p>
              </w:tc>
              <w:tc>
                <w:tcPr>
                  <w:tcW w:w="2123" w:type="dxa"/>
                  <w:gridSpan w:val="4"/>
                  <w:vAlign w:val="center"/>
                </w:tcPr>
                <w:p w14:paraId="43F82A93">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规划用地用海</w:t>
                  </w:r>
                </w:p>
              </w:tc>
              <w:tc>
                <w:tcPr>
                  <w:tcW w:w="861" w:type="dxa"/>
                  <w:vAlign w:val="center"/>
                </w:tcPr>
                <w:p w14:paraId="20D907ED">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规划分区</w:t>
                  </w:r>
                </w:p>
              </w:tc>
              <w:tc>
                <w:tcPr>
                  <w:tcW w:w="2595" w:type="dxa"/>
                  <w:gridSpan w:val="4"/>
                  <w:vAlign w:val="center"/>
                </w:tcPr>
                <w:p w14:paraId="50FA2696">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规划用地用海</w:t>
                  </w:r>
                </w:p>
              </w:tc>
              <w:tc>
                <w:tcPr>
                  <w:tcW w:w="869" w:type="dxa"/>
                  <w:vAlign w:val="center"/>
                </w:tcPr>
                <w:p w14:paraId="701CC81E">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规划分区</w:t>
                  </w:r>
                </w:p>
              </w:tc>
            </w:tr>
            <w:tr w14:paraId="0E12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684" w:type="dxa"/>
                  <w:vMerge w:val="continue"/>
                  <w:vAlign w:val="center"/>
                </w:tcPr>
                <w:p w14:paraId="42C93B73">
                  <w:pPr>
                    <w:spacing w:before="136" w:line="240" w:lineRule="auto"/>
                    <w:ind w:left="0" w:firstLine="0"/>
                    <w:jc w:val="center"/>
                    <w:rPr>
                      <w:b/>
                      <w:bCs/>
                      <w:sz w:val="15"/>
                      <w:szCs w:val="15"/>
                      <w:highlight w:val="none"/>
                    </w:rPr>
                  </w:pPr>
                </w:p>
              </w:tc>
              <w:tc>
                <w:tcPr>
                  <w:tcW w:w="694" w:type="dxa"/>
                  <w:vMerge w:val="continue"/>
                  <w:vAlign w:val="center"/>
                </w:tcPr>
                <w:p w14:paraId="00A9FD99">
                  <w:pPr>
                    <w:spacing w:before="136" w:line="240" w:lineRule="auto"/>
                    <w:ind w:left="0" w:firstLine="0"/>
                    <w:jc w:val="center"/>
                    <w:rPr>
                      <w:b/>
                      <w:bCs/>
                      <w:sz w:val="15"/>
                      <w:szCs w:val="15"/>
                      <w:highlight w:val="none"/>
                    </w:rPr>
                  </w:pPr>
                </w:p>
              </w:tc>
              <w:tc>
                <w:tcPr>
                  <w:tcW w:w="693" w:type="dxa"/>
                  <w:vMerge w:val="continue"/>
                  <w:vAlign w:val="center"/>
                </w:tcPr>
                <w:p w14:paraId="2F4F8733">
                  <w:pPr>
                    <w:spacing w:before="136" w:line="240" w:lineRule="auto"/>
                    <w:ind w:left="0" w:firstLine="0"/>
                    <w:jc w:val="center"/>
                    <w:rPr>
                      <w:b/>
                      <w:bCs/>
                      <w:sz w:val="15"/>
                      <w:szCs w:val="15"/>
                      <w:highlight w:val="none"/>
                    </w:rPr>
                  </w:pPr>
                </w:p>
              </w:tc>
              <w:tc>
                <w:tcPr>
                  <w:tcW w:w="300" w:type="dxa"/>
                  <w:vMerge w:val="continue"/>
                  <w:vAlign w:val="center"/>
                </w:tcPr>
                <w:p w14:paraId="385C2248">
                  <w:pPr>
                    <w:spacing w:before="136" w:line="240" w:lineRule="auto"/>
                    <w:ind w:left="0" w:firstLine="0"/>
                    <w:jc w:val="center"/>
                    <w:rPr>
                      <w:b/>
                      <w:bCs/>
                      <w:sz w:val="15"/>
                      <w:szCs w:val="15"/>
                      <w:highlight w:val="none"/>
                    </w:rPr>
                  </w:pPr>
                </w:p>
              </w:tc>
              <w:tc>
                <w:tcPr>
                  <w:tcW w:w="390" w:type="dxa"/>
                  <w:vAlign w:val="center"/>
                </w:tcPr>
                <w:p w14:paraId="7EFA9258">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农用地</w:t>
                  </w:r>
                </w:p>
              </w:tc>
              <w:tc>
                <w:tcPr>
                  <w:tcW w:w="416" w:type="dxa"/>
                  <w:vAlign w:val="center"/>
                </w:tcPr>
                <w:p w14:paraId="0B56F45A">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耕地</w:t>
                  </w:r>
                </w:p>
              </w:tc>
              <w:tc>
                <w:tcPr>
                  <w:tcW w:w="707" w:type="dxa"/>
                  <w:vAlign w:val="center"/>
                </w:tcPr>
                <w:p w14:paraId="3C3CEDB7">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建设用地（商业用地）</w:t>
                  </w:r>
                </w:p>
              </w:tc>
              <w:tc>
                <w:tcPr>
                  <w:tcW w:w="610" w:type="dxa"/>
                  <w:vAlign w:val="center"/>
                </w:tcPr>
                <w:p w14:paraId="7471E725">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未利用地</w:t>
                  </w:r>
                </w:p>
              </w:tc>
              <w:tc>
                <w:tcPr>
                  <w:tcW w:w="861" w:type="dxa"/>
                  <w:vAlign w:val="center"/>
                </w:tcPr>
                <w:p w14:paraId="1FAFD655">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村庄建设区</w:t>
                  </w:r>
                </w:p>
              </w:tc>
              <w:tc>
                <w:tcPr>
                  <w:tcW w:w="503" w:type="dxa"/>
                  <w:vAlign w:val="center"/>
                </w:tcPr>
                <w:p w14:paraId="5DF1A69B">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农用地</w:t>
                  </w:r>
                </w:p>
              </w:tc>
              <w:tc>
                <w:tcPr>
                  <w:tcW w:w="471" w:type="dxa"/>
                  <w:vAlign w:val="center"/>
                </w:tcPr>
                <w:p w14:paraId="37C8D019">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耕地</w:t>
                  </w:r>
                </w:p>
              </w:tc>
              <w:tc>
                <w:tcPr>
                  <w:tcW w:w="1022" w:type="dxa"/>
                  <w:vAlign w:val="center"/>
                </w:tcPr>
                <w:p w14:paraId="1DC27444">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建设用地（文化用地）</w:t>
                  </w:r>
                </w:p>
              </w:tc>
              <w:tc>
                <w:tcPr>
                  <w:tcW w:w="599" w:type="dxa"/>
                  <w:vAlign w:val="center"/>
                </w:tcPr>
                <w:p w14:paraId="726DAE90">
                  <w:pPr>
                    <w:spacing w:before="136" w:line="240" w:lineRule="auto"/>
                    <w:ind w:left="0" w:firstLine="0"/>
                    <w:jc w:val="center"/>
                    <w:rPr>
                      <w:rFonts w:hint="eastAsia"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未利用地</w:t>
                  </w:r>
                </w:p>
              </w:tc>
              <w:tc>
                <w:tcPr>
                  <w:tcW w:w="869" w:type="dxa"/>
                  <w:vAlign w:val="center"/>
                </w:tcPr>
                <w:p w14:paraId="091A4359">
                  <w:pPr>
                    <w:spacing w:before="136" w:line="240" w:lineRule="auto"/>
                    <w:ind w:left="0" w:firstLine="0"/>
                    <w:jc w:val="center"/>
                    <w:rPr>
                      <w:rFonts w:hint="default" w:ascii="Times New Roman" w:hAnsi="Times New Roman" w:eastAsia="仿宋" w:cs="Times New Roman"/>
                      <w:b/>
                      <w:bCs/>
                      <w:spacing w:val="3"/>
                      <w:sz w:val="15"/>
                      <w:szCs w:val="15"/>
                      <w:highlight w:val="none"/>
                      <w:vertAlign w:val="baseline"/>
                      <w:lang w:val="en-US" w:eastAsia="zh-CN"/>
                    </w:rPr>
                  </w:pPr>
                  <w:r>
                    <w:rPr>
                      <w:rFonts w:hint="eastAsia" w:ascii="Times New Roman" w:hAnsi="Times New Roman" w:eastAsia="仿宋" w:cs="Times New Roman"/>
                      <w:b/>
                      <w:bCs/>
                      <w:spacing w:val="3"/>
                      <w:sz w:val="15"/>
                      <w:szCs w:val="15"/>
                      <w:highlight w:val="none"/>
                      <w:vertAlign w:val="baseline"/>
                      <w:lang w:val="en-US" w:eastAsia="zh-CN"/>
                    </w:rPr>
                    <w:t>综合服务区</w:t>
                  </w:r>
                </w:p>
              </w:tc>
            </w:tr>
            <w:tr w14:paraId="1997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84" w:type="dxa"/>
                  <w:vAlign w:val="center"/>
                </w:tcPr>
                <w:p w14:paraId="43AFA5A7">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0.0000</w:t>
                  </w:r>
                </w:p>
              </w:tc>
              <w:tc>
                <w:tcPr>
                  <w:tcW w:w="694" w:type="dxa"/>
                  <w:vAlign w:val="center"/>
                </w:tcPr>
                <w:p w14:paraId="06EA8CE3">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0.0000</w:t>
                  </w:r>
                </w:p>
              </w:tc>
              <w:tc>
                <w:tcPr>
                  <w:tcW w:w="693" w:type="dxa"/>
                  <w:vAlign w:val="center"/>
                </w:tcPr>
                <w:p w14:paraId="53218C34">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0.5404</w:t>
                  </w:r>
                </w:p>
              </w:tc>
              <w:tc>
                <w:tcPr>
                  <w:tcW w:w="300" w:type="dxa"/>
                  <w:vAlign w:val="center"/>
                </w:tcPr>
                <w:p w14:paraId="2E5662E0">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390" w:type="dxa"/>
                  <w:vAlign w:val="center"/>
                </w:tcPr>
                <w:p w14:paraId="63E62082">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416" w:type="dxa"/>
                  <w:vAlign w:val="center"/>
                </w:tcPr>
                <w:p w14:paraId="098DF88D">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707" w:type="dxa"/>
                  <w:vAlign w:val="center"/>
                </w:tcPr>
                <w:p w14:paraId="47FB834C">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0.5404</w:t>
                  </w:r>
                </w:p>
              </w:tc>
              <w:tc>
                <w:tcPr>
                  <w:tcW w:w="610" w:type="dxa"/>
                  <w:vAlign w:val="center"/>
                </w:tcPr>
                <w:p w14:paraId="07413B41">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861" w:type="dxa"/>
                  <w:vAlign w:val="center"/>
                </w:tcPr>
                <w:p w14:paraId="14062EAF">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0.5404</w:t>
                  </w:r>
                </w:p>
              </w:tc>
              <w:tc>
                <w:tcPr>
                  <w:tcW w:w="503" w:type="dxa"/>
                  <w:vAlign w:val="center"/>
                </w:tcPr>
                <w:p w14:paraId="4B67604D">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471" w:type="dxa"/>
                  <w:vAlign w:val="center"/>
                </w:tcPr>
                <w:p w14:paraId="50871428">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1022" w:type="dxa"/>
                  <w:vAlign w:val="center"/>
                </w:tcPr>
                <w:p w14:paraId="5DCA1223">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0.5404</w:t>
                  </w:r>
                </w:p>
              </w:tc>
              <w:tc>
                <w:tcPr>
                  <w:tcW w:w="599" w:type="dxa"/>
                  <w:vAlign w:val="center"/>
                </w:tcPr>
                <w:p w14:paraId="5EE27992">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w:t>
                  </w:r>
                </w:p>
              </w:tc>
              <w:tc>
                <w:tcPr>
                  <w:tcW w:w="869" w:type="dxa"/>
                  <w:vAlign w:val="center"/>
                </w:tcPr>
                <w:p w14:paraId="5CB5BD5B">
                  <w:pPr>
                    <w:spacing w:before="136" w:line="240" w:lineRule="auto"/>
                    <w:ind w:left="0" w:firstLine="0"/>
                    <w:jc w:val="center"/>
                    <w:rPr>
                      <w:rFonts w:hint="default" w:ascii="Times New Roman" w:hAnsi="Times New Roman" w:eastAsia="仿宋" w:cs="Times New Roman"/>
                      <w:b w:val="0"/>
                      <w:bCs w:val="0"/>
                      <w:spacing w:val="3"/>
                      <w:sz w:val="15"/>
                      <w:szCs w:val="15"/>
                      <w:highlight w:val="none"/>
                      <w:vertAlign w:val="baseline"/>
                      <w:lang w:val="en-US" w:eastAsia="zh-CN"/>
                    </w:rPr>
                  </w:pPr>
                  <w:r>
                    <w:rPr>
                      <w:rFonts w:hint="eastAsia" w:ascii="Times New Roman" w:hAnsi="Times New Roman" w:eastAsia="仿宋" w:cs="Times New Roman"/>
                      <w:b w:val="0"/>
                      <w:bCs w:val="0"/>
                      <w:spacing w:val="3"/>
                      <w:sz w:val="15"/>
                      <w:szCs w:val="15"/>
                      <w:highlight w:val="none"/>
                      <w:vertAlign w:val="baseline"/>
                      <w:lang w:val="en-US" w:eastAsia="zh-CN"/>
                    </w:rPr>
                    <w:t>0.5404</w:t>
                  </w:r>
                </w:p>
              </w:tc>
            </w:tr>
          </w:tbl>
          <w:p w14:paraId="24475473">
            <w:pPr>
              <w:numPr>
                <w:ilvl w:val="0"/>
                <w:numId w:val="0"/>
              </w:numPr>
              <w:spacing w:before="136" w:line="337" w:lineRule="auto"/>
              <w:ind w:left="123" w:firstLine="454"/>
              <w:jc w:val="both"/>
              <w:rPr>
                <w:rFonts w:hint="eastAsia" w:ascii="Times New Roman" w:hAnsi="Times New Roman" w:eastAsia="仿宋" w:cs="Times New Roman"/>
                <w:b/>
                <w:bCs/>
                <w:spacing w:val="3"/>
                <w:sz w:val="24"/>
                <w:szCs w:val="24"/>
                <w:lang w:val="en-US" w:eastAsia="zh-CN"/>
              </w:rPr>
            </w:pPr>
            <w:r>
              <w:rPr>
                <w:rFonts w:hint="eastAsia" w:ascii="Times New Roman" w:hAnsi="Times New Roman" w:eastAsia="仿宋" w:cs="Times New Roman"/>
                <w:b/>
                <w:bCs/>
                <w:snapToGrid w:val="0"/>
                <w:color w:val="000000"/>
                <w:spacing w:val="3"/>
                <w:sz w:val="24"/>
                <w:szCs w:val="24"/>
                <w:lang w:val="en-US" w:eastAsia="zh-CN" w:bidi="ar-SA"/>
              </w:rPr>
              <w:t>五、</w:t>
            </w:r>
            <w:r>
              <w:rPr>
                <w:rFonts w:hint="eastAsia" w:ascii="Times New Roman" w:hAnsi="Times New Roman" w:eastAsia="仿宋" w:cs="Times New Roman"/>
                <w:b/>
                <w:bCs/>
                <w:spacing w:val="3"/>
                <w:sz w:val="24"/>
                <w:szCs w:val="24"/>
                <w:lang w:val="en-US" w:eastAsia="zh-CN"/>
              </w:rPr>
              <w:t>公众参与和意见征集情况</w:t>
            </w:r>
          </w:p>
          <w:p w14:paraId="6D454F4B">
            <w:pPr>
              <w:spacing w:before="136" w:line="337" w:lineRule="auto"/>
              <w:ind w:left="123" w:firstLine="454"/>
              <w:jc w:val="both"/>
              <w:rPr>
                <w:rFonts w:hint="default" w:ascii="Times New Roman" w:hAnsi="Times New Roman" w:eastAsia="仿宋" w:cs="Times New Roman"/>
                <w:b w:val="0"/>
                <w:bCs w:val="0"/>
                <w:spacing w:val="3"/>
                <w:sz w:val="24"/>
                <w:szCs w:val="24"/>
                <w:lang w:val="en-US" w:eastAsia="zh-CN"/>
              </w:rPr>
            </w:pPr>
            <w:r>
              <w:rPr>
                <w:rFonts w:hint="default" w:ascii="Times New Roman" w:hAnsi="Times New Roman" w:eastAsia="仿宋" w:cs="Times New Roman"/>
                <w:b w:val="0"/>
                <w:bCs w:val="0"/>
                <w:spacing w:val="3"/>
                <w:sz w:val="24"/>
                <w:szCs w:val="24"/>
                <w:lang w:val="en-US" w:eastAsia="zh-CN"/>
              </w:rPr>
              <w:t>于2026年</w:t>
            </w:r>
            <w:r>
              <w:rPr>
                <w:rFonts w:hint="eastAsia" w:ascii="Times New Roman" w:hAnsi="Times New Roman" w:eastAsia="仿宋" w:cs="Times New Roman"/>
                <w:b w:val="0"/>
                <w:bCs w:val="0"/>
                <w:spacing w:val="3"/>
                <w:sz w:val="24"/>
                <w:szCs w:val="24"/>
                <w:lang w:val="en-US" w:eastAsia="zh-CN"/>
              </w:rPr>
              <w:t>2</w:t>
            </w:r>
            <w:r>
              <w:rPr>
                <w:rFonts w:hint="default" w:ascii="Times New Roman" w:hAnsi="Times New Roman" w:eastAsia="仿宋" w:cs="Times New Roman"/>
                <w:b w:val="0"/>
                <w:bCs w:val="0"/>
                <w:spacing w:val="3"/>
                <w:sz w:val="24"/>
                <w:szCs w:val="24"/>
                <w:lang w:val="en-US" w:eastAsia="zh-CN"/>
              </w:rPr>
              <w:t>月</w:t>
            </w:r>
            <w:r>
              <w:rPr>
                <w:rFonts w:hint="eastAsia" w:ascii="Times New Roman" w:hAnsi="Times New Roman" w:eastAsia="仿宋" w:cs="Times New Roman"/>
                <w:b w:val="0"/>
                <w:bCs w:val="0"/>
                <w:spacing w:val="3"/>
                <w:sz w:val="24"/>
                <w:szCs w:val="24"/>
                <w:lang w:val="en-US" w:eastAsia="zh-CN"/>
              </w:rPr>
              <w:t>28</w:t>
            </w:r>
            <w:r>
              <w:rPr>
                <w:rFonts w:hint="default" w:ascii="Times New Roman" w:hAnsi="Times New Roman" w:eastAsia="仿宋" w:cs="Times New Roman"/>
                <w:b w:val="0"/>
                <w:bCs w:val="0"/>
                <w:spacing w:val="3"/>
                <w:sz w:val="24"/>
                <w:szCs w:val="24"/>
                <w:lang w:val="en-US" w:eastAsia="zh-CN"/>
              </w:rPr>
              <w:t>日至2026年</w:t>
            </w:r>
            <w:r>
              <w:rPr>
                <w:rFonts w:hint="eastAsia" w:ascii="Times New Roman" w:hAnsi="Times New Roman" w:eastAsia="仿宋" w:cs="Times New Roman"/>
                <w:b w:val="0"/>
                <w:bCs w:val="0"/>
                <w:spacing w:val="3"/>
                <w:sz w:val="24"/>
                <w:szCs w:val="24"/>
                <w:lang w:val="en-US" w:eastAsia="zh-CN"/>
              </w:rPr>
              <w:t>3</w:t>
            </w:r>
            <w:r>
              <w:rPr>
                <w:rFonts w:hint="default" w:ascii="Times New Roman" w:hAnsi="Times New Roman" w:eastAsia="仿宋" w:cs="Times New Roman"/>
                <w:b w:val="0"/>
                <w:bCs w:val="0"/>
                <w:spacing w:val="3"/>
                <w:sz w:val="24"/>
                <w:szCs w:val="24"/>
                <w:lang w:val="en-US" w:eastAsia="zh-CN"/>
              </w:rPr>
              <w:t>月</w:t>
            </w:r>
            <w:r>
              <w:rPr>
                <w:rFonts w:hint="eastAsia" w:ascii="Times New Roman" w:hAnsi="Times New Roman" w:eastAsia="仿宋" w:cs="Times New Roman"/>
                <w:b w:val="0"/>
                <w:bCs w:val="0"/>
                <w:spacing w:val="3"/>
                <w:sz w:val="24"/>
                <w:szCs w:val="24"/>
                <w:lang w:val="en-US" w:eastAsia="zh-CN"/>
              </w:rPr>
              <w:t>5</w:t>
            </w:r>
            <w:r>
              <w:rPr>
                <w:rFonts w:hint="default" w:ascii="Times New Roman" w:hAnsi="Times New Roman" w:eastAsia="仿宋" w:cs="Times New Roman"/>
                <w:b w:val="0"/>
                <w:bCs w:val="0"/>
                <w:spacing w:val="3"/>
                <w:sz w:val="24"/>
                <w:szCs w:val="24"/>
                <w:lang w:val="en-US" w:eastAsia="zh-CN"/>
              </w:rPr>
              <w:t>日，在南雄市人民政府网进行了线上公示。同步在</w:t>
            </w:r>
            <w:r>
              <w:rPr>
                <w:rFonts w:hint="eastAsia" w:ascii="Times New Roman" w:hAnsi="Times New Roman" w:eastAsia="仿宋" w:cs="Times New Roman"/>
                <w:b w:val="0"/>
                <w:bCs w:val="0"/>
                <w:spacing w:val="3"/>
                <w:sz w:val="24"/>
                <w:szCs w:val="24"/>
                <w:lang w:val="en-US" w:eastAsia="zh-CN"/>
              </w:rPr>
              <w:t>南雄市珠玑镇政府政务公开栏进行了线下公示。至公示期满未收到任何意见和建议。</w:t>
            </w:r>
          </w:p>
          <w:p w14:paraId="00AB9B64">
            <w:pPr>
              <w:spacing w:before="136" w:line="337" w:lineRule="auto"/>
              <w:ind w:left="123" w:firstLine="454"/>
              <w:jc w:val="both"/>
              <w:rPr>
                <w:rFonts w:hint="default" w:ascii="Times New Roman" w:hAnsi="Times New Roman" w:eastAsia="仿宋" w:cs="Times New Roman"/>
                <w:b/>
                <w:bCs/>
                <w:spacing w:val="3"/>
                <w:sz w:val="24"/>
                <w:szCs w:val="24"/>
                <w:lang w:val="en-US" w:eastAsia="zh-CN"/>
              </w:rPr>
            </w:pPr>
            <w:r>
              <w:rPr>
                <w:rFonts w:hint="eastAsia" w:ascii="Times New Roman" w:hAnsi="Times New Roman" w:eastAsia="仿宋" w:cs="Times New Roman"/>
                <w:b/>
                <w:bCs/>
                <w:spacing w:val="3"/>
                <w:sz w:val="24"/>
                <w:szCs w:val="24"/>
                <w:lang w:val="en-US" w:eastAsia="zh-CN"/>
              </w:rPr>
              <w:t>六、附件（另外单独材料提供）</w:t>
            </w:r>
          </w:p>
          <w:p w14:paraId="2E8F1B01">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1.南雄市人民政府关于落实地块符合《城镇开发边界外布局建设项目准入目录（试行）》的认定意见</w:t>
            </w:r>
          </w:p>
          <w:p w14:paraId="215AB0A1">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2.南雄市相关行业主管部门关于落实地块符合《城镇开发边界外布局建设项目准入目录（试行）》的认定意见</w:t>
            </w:r>
          </w:p>
          <w:p w14:paraId="3CCA526A">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3.项目建设相关佐证</w:t>
            </w:r>
          </w:p>
          <w:p w14:paraId="1BF7E92F">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4.项目地块涉及现状建设用地情况的说明</w:t>
            </w:r>
          </w:p>
          <w:p w14:paraId="1A174FBF">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5.城镇开发边界外新增城镇建设用地规模落实使用承诺函</w:t>
            </w:r>
          </w:p>
          <w:p w14:paraId="7AC0B8BA">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6.调入地块与调出地块公示情况</w:t>
            </w:r>
          </w:p>
          <w:p w14:paraId="2256B086">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7.南雄市自然资源局会审情况</w:t>
            </w:r>
          </w:p>
          <w:p w14:paraId="79B8FDA7">
            <w:pPr>
              <w:spacing w:before="136" w:line="337" w:lineRule="auto"/>
              <w:ind w:left="123" w:firstLine="454"/>
              <w:jc w:val="both"/>
              <w:rPr>
                <w:rFonts w:hint="default"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8.县级各部门和相关镇意见及采纳情况</w:t>
            </w:r>
          </w:p>
          <w:p w14:paraId="330D6E82">
            <w:pPr>
              <w:spacing w:before="136" w:line="337" w:lineRule="auto"/>
              <w:ind w:left="123" w:firstLine="454"/>
              <w:jc w:val="both"/>
              <w:rPr>
                <w:rFonts w:hint="default" w:ascii="Times New Roman" w:hAnsi="Times New Roman" w:eastAsia="仿宋" w:cs="Times New Roman"/>
                <w:b/>
                <w:bCs/>
                <w:spacing w:val="3"/>
                <w:sz w:val="24"/>
                <w:szCs w:val="24"/>
              </w:rPr>
            </w:pPr>
            <w:r>
              <w:rPr>
                <w:rFonts w:hint="eastAsia" w:ascii="Times New Roman" w:hAnsi="Times New Roman" w:eastAsia="仿宋" w:cs="Times New Roman"/>
                <w:b/>
                <w:bCs/>
                <w:spacing w:val="3"/>
                <w:sz w:val="24"/>
                <w:szCs w:val="24"/>
                <w:lang w:val="en-US" w:eastAsia="zh-CN"/>
              </w:rPr>
              <w:t>七</w:t>
            </w:r>
            <w:r>
              <w:rPr>
                <w:rFonts w:hint="default" w:ascii="Times New Roman" w:hAnsi="Times New Roman" w:eastAsia="仿宋" w:cs="Times New Roman"/>
                <w:b/>
                <w:bCs/>
                <w:spacing w:val="3"/>
                <w:sz w:val="24"/>
                <w:szCs w:val="24"/>
              </w:rPr>
              <w:t>、附表</w:t>
            </w:r>
          </w:p>
          <w:p w14:paraId="25553377">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ascii="Times New Roman" w:hAnsi="Times New Roman" w:eastAsia="仿宋" w:cs="Times New Roman"/>
                <w:spacing w:val="3"/>
                <w:sz w:val="24"/>
                <w:szCs w:val="24"/>
              </w:rPr>
              <w:t>1.</w:t>
            </w:r>
            <w:r>
              <w:rPr>
                <w:rFonts w:hint="default" w:ascii="Times New Roman" w:hAnsi="Times New Roman" w:eastAsia="仿宋" w:cs="Times New Roman"/>
                <w:spacing w:val="3"/>
                <w:sz w:val="24"/>
                <w:szCs w:val="24"/>
              </w:rPr>
              <w:t>韶关市</w:t>
            </w:r>
            <w:r>
              <w:rPr>
                <w:rFonts w:hint="default" w:ascii="Times New Roman" w:hAnsi="Times New Roman" w:eastAsia="仿宋" w:cs="Times New Roman"/>
                <w:spacing w:val="3"/>
                <w:sz w:val="24"/>
                <w:szCs w:val="24"/>
                <w:lang w:eastAsia="zh-CN"/>
              </w:rPr>
              <w:t>南雄市</w:t>
            </w:r>
            <w:r>
              <w:rPr>
                <w:rFonts w:hint="default" w:ascii="Times New Roman" w:hAnsi="Times New Roman" w:eastAsia="仿宋" w:cs="Times New Roman"/>
                <w:spacing w:val="3"/>
                <w:sz w:val="24"/>
                <w:szCs w:val="24"/>
              </w:rPr>
              <w:t>城镇建设用地规模</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规划布局</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台账，详见表1</w:t>
            </w:r>
          </w:p>
          <w:p w14:paraId="50A42596">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ascii="Times New Roman" w:hAnsi="Times New Roman" w:eastAsia="仿宋" w:cs="Times New Roman"/>
                <w:spacing w:val="3"/>
                <w:sz w:val="24"/>
                <w:szCs w:val="24"/>
              </w:rPr>
              <w:t>2</w:t>
            </w:r>
            <w:r>
              <w:rPr>
                <w:rFonts w:hint="default" w:ascii="Times New Roman" w:hAnsi="Times New Roman" w:eastAsia="仿宋" w:cs="Times New Roman"/>
                <w:spacing w:val="3"/>
                <w:sz w:val="24"/>
                <w:szCs w:val="24"/>
              </w:rPr>
              <w:t>.韶关市</w:t>
            </w:r>
            <w:r>
              <w:rPr>
                <w:rFonts w:hint="default" w:ascii="Times New Roman" w:hAnsi="Times New Roman" w:eastAsia="仿宋" w:cs="Times New Roman"/>
                <w:spacing w:val="3"/>
                <w:sz w:val="24"/>
                <w:szCs w:val="24"/>
                <w:lang w:eastAsia="zh-CN"/>
              </w:rPr>
              <w:t>南雄市</w:t>
            </w:r>
            <w:r>
              <w:rPr>
                <w:rFonts w:hint="default" w:ascii="Times New Roman" w:hAnsi="Times New Roman" w:eastAsia="仿宋" w:cs="Times New Roman"/>
                <w:spacing w:val="3"/>
                <w:sz w:val="24"/>
                <w:szCs w:val="24"/>
              </w:rPr>
              <w:t>城镇建设用地规模</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实际使用</w:t>
            </w:r>
            <w:r>
              <w:rPr>
                <w:rFonts w:hint="eastAsia" w:ascii="Times New Roman" w:hAnsi="Times New Roman" w:eastAsia="仿宋" w:cs="Times New Roman"/>
                <w:spacing w:val="3"/>
                <w:sz w:val="24"/>
                <w:szCs w:val="24"/>
                <w:lang w:eastAsia="zh-CN"/>
              </w:rPr>
              <w:t>）</w:t>
            </w:r>
            <w:r>
              <w:rPr>
                <w:rFonts w:hint="default" w:ascii="Times New Roman" w:hAnsi="Times New Roman" w:eastAsia="仿宋" w:cs="Times New Roman"/>
                <w:spacing w:val="3"/>
                <w:sz w:val="24"/>
                <w:szCs w:val="24"/>
              </w:rPr>
              <w:t>台账</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详见表2</w:t>
            </w:r>
          </w:p>
          <w:p w14:paraId="4F994B0F">
            <w:pPr>
              <w:spacing w:before="136" w:line="337" w:lineRule="auto"/>
              <w:ind w:left="123" w:firstLine="454"/>
              <w:jc w:val="both"/>
              <w:rPr>
                <w:rFonts w:hint="default" w:ascii="Times New Roman" w:hAnsi="Times New Roman" w:eastAsia="仿宋" w:cs="Times New Roman"/>
                <w:b/>
                <w:bCs/>
                <w:spacing w:val="3"/>
                <w:sz w:val="24"/>
                <w:szCs w:val="24"/>
              </w:rPr>
            </w:pPr>
            <w:r>
              <w:rPr>
                <w:rFonts w:hint="eastAsia" w:ascii="Times New Roman" w:hAnsi="Times New Roman" w:eastAsia="仿宋" w:cs="Times New Roman"/>
                <w:b/>
                <w:bCs/>
                <w:spacing w:val="3"/>
                <w:sz w:val="24"/>
                <w:szCs w:val="24"/>
                <w:lang w:val="en-US" w:eastAsia="zh-CN"/>
              </w:rPr>
              <w:t>八</w:t>
            </w:r>
            <w:r>
              <w:rPr>
                <w:rFonts w:hint="default" w:ascii="Times New Roman" w:hAnsi="Times New Roman" w:eastAsia="仿宋" w:cs="Times New Roman"/>
                <w:b/>
                <w:bCs/>
                <w:spacing w:val="3"/>
                <w:sz w:val="24"/>
                <w:szCs w:val="24"/>
              </w:rPr>
              <w:t>、附图</w:t>
            </w:r>
          </w:p>
          <w:p w14:paraId="46E16D58">
            <w:pPr>
              <w:spacing w:before="136" w:line="337" w:lineRule="auto"/>
              <w:ind w:left="123" w:firstLine="454"/>
              <w:jc w:val="both"/>
              <w:rPr>
                <w:rFonts w:hint="default" w:ascii="Times New Roman" w:hAnsi="Times New Roman" w:eastAsia="仿宋" w:cs="Times New Roman"/>
                <w:spacing w:val="3"/>
                <w:sz w:val="24"/>
                <w:szCs w:val="24"/>
              </w:rPr>
            </w:pPr>
            <w:r>
              <w:rPr>
                <w:rFonts w:ascii="Times New Roman" w:hAnsi="Times New Roman" w:eastAsia="仿宋" w:cs="Times New Roman"/>
                <w:spacing w:val="3"/>
                <w:sz w:val="24"/>
                <w:szCs w:val="24"/>
              </w:rPr>
              <w:t>1.</w:t>
            </w:r>
            <w:r>
              <w:rPr>
                <w:rFonts w:hint="eastAsia" w:ascii="Times New Roman" w:hAnsi="Times New Roman" w:eastAsia="仿宋" w:cs="Times New Roman"/>
                <w:spacing w:val="3"/>
                <w:sz w:val="24"/>
                <w:szCs w:val="24"/>
                <w:lang w:val="en-US" w:eastAsia="zh-CN"/>
              </w:rPr>
              <w:t>调入</w:t>
            </w:r>
            <w:r>
              <w:rPr>
                <w:rFonts w:hint="default" w:ascii="Times New Roman" w:hAnsi="Times New Roman" w:eastAsia="仿宋" w:cs="Times New Roman"/>
                <w:spacing w:val="3"/>
                <w:sz w:val="24"/>
                <w:szCs w:val="24"/>
              </w:rPr>
              <w:t>地块土地利用现状图</w:t>
            </w:r>
          </w:p>
          <w:p w14:paraId="618DCD10">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hint="eastAsia" w:ascii="Times New Roman" w:hAnsi="Times New Roman" w:eastAsia="仿宋" w:cs="Times New Roman"/>
                <w:spacing w:val="3"/>
                <w:sz w:val="24"/>
                <w:szCs w:val="24"/>
                <w:lang w:val="en-US" w:eastAsia="zh-CN"/>
              </w:rPr>
              <w:t>2.调出地块土地利用现状图</w:t>
            </w:r>
          </w:p>
          <w:p w14:paraId="512C9C37">
            <w:pPr>
              <w:spacing w:before="136" w:line="337" w:lineRule="auto"/>
              <w:ind w:left="123" w:firstLine="454"/>
              <w:jc w:val="both"/>
              <w:rPr>
                <w:rFonts w:hint="default" w:ascii="Times New Roman" w:hAnsi="Times New Roman" w:eastAsia="仿宋" w:cs="Times New Roman"/>
                <w:spacing w:val="3"/>
                <w:sz w:val="24"/>
                <w:szCs w:val="24"/>
              </w:rPr>
            </w:pPr>
            <w:r>
              <w:rPr>
                <w:rFonts w:hint="eastAsia" w:ascii="Times New Roman" w:hAnsi="Times New Roman" w:eastAsia="仿宋" w:cs="Times New Roman"/>
                <w:spacing w:val="3"/>
                <w:sz w:val="24"/>
                <w:szCs w:val="24"/>
                <w:lang w:val="en-US" w:eastAsia="zh-CN"/>
              </w:rPr>
              <w:t>3</w:t>
            </w:r>
            <w:r>
              <w:rPr>
                <w:rFonts w:ascii="Times New Roman" w:hAnsi="Times New Roman" w:eastAsia="仿宋" w:cs="Times New Roman"/>
                <w:spacing w:val="3"/>
                <w:sz w:val="24"/>
                <w:szCs w:val="24"/>
              </w:rPr>
              <w:t>.</w:t>
            </w:r>
            <w:r>
              <w:rPr>
                <w:rFonts w:hint="eastAsia" w:ascii="Times New Roman" w:hAnsi="Times New Roman" w:eastAsia="仿宋" w:cs="Times New Roman"/>
                <w:spacing w:val="3"/>
                <w:sz w:val="24"/>
                <w:szCs w:val="24"/>
                <w:lang w:val="en-US" w:eastAsia="zh-CN"/>
              </w:rPr>
              <w:t>调入</w:t>
            </w:r>
            <w:r>
              <w:rPr>
                <w:rFonts w:hint="default" w:ascii="Times New Roman" w:hAnsi="Times New Roman" w:eastAsia="仿宋" w:cs="Times New Roman"/>
                <w:spacing w:val="3"/>
                <w:sz w:val="24"/>
                <w:szCs w:val="24"/>
              </w:rPr>
              <w:t>地块</w:t>
            </w:r>
            <w:r>
              <w:rPr>
                <w:rFonts w:hint="eastAsia" w:ascii="Times New Roman" w:hAnsi="Times New Roman" w:eastAsia="仿宋" w:cs="Times New Roman"/>
                <w:spacing w:val="3"/>
                <w:sz w:val="24"/>
                <w:szCs w:val="24"/>
                <w:lang w:eastAsia="zh-CN"/>
              </w:rPr>
              <w:t>“</w:t>
            </w:r>
            <w:r>
              <w:rPr>
                <w:rFonts w:hint="default" w:ascii="Times New Roman" w:hAnsi="Times New Roman" w:eastAsia="仿宋" w:cs="Times New Roman"/>
                <w:spacing w:val="3"/>
                <w:sz w:val="24"/>
                <w:szCs w:val="24"/>
              </w:rPr>
              <w:t>三区三线</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衔接</w:t>
            </w:r>
            <w:r>
              <w:rPr>
                <w:rFonts w:hint="default" w:ascii="Times New Roman" w:hAnsi="Times New Roman" w:eastAsia="仿宋" w:cs="Times New Roman"/>
                <w:spacing w:val="3"/>
                <w:sz w:val="24"/>
                <w:szCs w:val="24"/>
              </w:rPr>
              <w:t>图</w:t>
            </w:r>
          </w:p>
          <w:p w14:paraId="4976393B">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hint="eastAsia" w:ascii="Times New Roman" w:hAnsi="Times New Roman" w:eastAsia="仿宋" w:cs="Times New Roman"/>
                <w:spacing w:val="3"/>
                <w:sz w:val="24"/>
                <w:szCs w:val="24"/>
                <w:lang w:val="en-US" w:eastAsia="zh-CN"/>
              </w:rPr>
              <w:t>4.调出</w:t>
            </w:r>
            <w:r>
              <w:rPr>
                <w:rFonts w:hint="default" w:ascii="Times New Roman" w:hAnsi="Times New Roman" w:eastAsia="仿宋" w:cs="Times New Roman"/>
                <w:spacing w:val="3"/>
                <w:sz w:val="24"/>
                <w:szCs w:val="24"/>
              </w:rPr>
              <w:t>地块</w:t>
            </w:r>
            <w:r>
              <w:rPr>
                <w:rFonts w:hint="eastAsia" w:ascii="Times New Roman" w:hAnsi="Times New Roman" w:eastAsia="仿宋" w:cs="Times New Roman"/>
                <w:spacing w:val="3"/>
                <w:sz w:val="24"/>
                <w:szCs w:val="24"/>
                <w:lang w:eastAsia="zh-CN"/>
              </w:rPr>
              <w:t>“</w:t>
            </w:r>
            <w:r>
              <w:rPr>
                <w:rFonts w:hint="default" w:ascii="Times New Roman" w:hAnsi="Times New Roman" w:eastAsia="仿宋" w:cs="Times New Roman"/>
                <w:spacing w:val="3"/>
                <w:sz w:val="24"/>
                <w:szCs w:val="24"/>
              </w:rPr>
              <w:t>三区三线</w:t>
            </w:r>
            <w:r>
              <w:rPr>
                <w:rFonts w:hint="eastAsia" w:ascii="Times New Roman" w:hAnsi="Times New Roman" w:eastAsia="仿宋" w:cs="Times New Roman"/>
                <w:spacing w:val="3"/>
                <w:sz w:val="24"/>
                <w:szCs w:val="24"/>
                <w:lang w:eastAsia="zh-CN"/>
              </w:rPr>
              <w:t>”</w:t>
            </w:r>
            <w:r>
              <w:rPr>
                <w:rFonts w:hint="eastAsia" w:ascii="Times New Roman" w:hAnsi="Times New Roman" w:eastAsia="仿宋" w:cs="Times New Roman"/>
                <w:spacing w:val="3"/>
                <w:sz w:val="24"/>
                <w:szCs w:val="24"/>
                <w:lang w:val="en-US" w:eastAsia="zh-CN"/>
              </w:rPr>
              <w:t>衔接</w:t>
            </w:r>
            <w:r>
              <w:rPr>
                <w:rFonts w:hint="default" w:ascii="Times New Roman" w:hAnsi="Times New Roman" w:eastAsia="仿宋" w:cs="Times New Roman"/>
                <w:spacing w:val="3"/>
                <w:sz w:val="24"/>
                <w:szCs w:val="24"/>
              </w:rPr>
              <w:t>图</w:t>
            </w:r>
          </w:p>
          <w:p w14:paraId="3771BC41">
            <w:pPr>
              <w:spacing w:before="136" w:line="337" w:lineRule="auto"/>
              <w:ind w:left="123" w:firstLine="454"/>
              <w:jc w:val="both"/>
              <w:rPr>
                <w:rFonts w:hint="default" w:ascii="Times New Roman" w:hAnsi="Times New Roman" w:eastAsia="仿宋" w:cs="Times New Roman"/>
                <w:spacing w:val="3"/>
                <w:sz w:val="24"/>
                <w:szCs w:val="24"/>
              </w:rPr>
            </w:pPr>
            <w:r>
              <w:rPr>
                <w:rFonts w:hint="eastAsia" w:ascii="Times New Roman" w:hAnsi="Times New Roman" w:eastAsia="仿宋" w:cs="Times New Roman"/>
                <w:spacing w:val="3"/>
                <w:sz w:val="24"/>
                <w:szCs w:val="24"/>
                <w:lang w:val="en-US" w:eastAsia="zh-CN"/>
              </w:rPr>
              <w:t>5</w:t>
            </w:r>
            <w:r>
              <w:rPr>
                <w:rFonts w:ascii="Times New Roman" w:hAnsi="Times New Roman" w:eastAsia="仿宋" w:cs="Times New Roman"/>
                <w:spacing w:val="3"/>
                <w:sz w:val="24"/>
                <w:szCs w:val="24"/>
              </w:rPr>
              <w:t>.</w:t>
            </w:r>
            <w:r>
              <w:rPr>
                <w:rFonts w:hint="eastAsia" w:ascii="Times New Roman" w:hAnsi="Times New Roman" w:eastAsia="仿宋" w:cs="Times New Roman"/>
                <w:spacing w:val="3"/>
                <w:sz w:val="24"/>
                <w:szCs w:val="24"/>
                <w:lang w:val="en-US" w:eastAsia="zh-CN"/>
              </w:rPr>
              <w:t>调入</w:t>
            </w:r>
            <w:r>
              <w:rPr>
                <w:rFonts w:hint="default" w:ascii="Times New Roman" w:hAnsi="Times New Roman" w:eastAsia="仿宋" w:cs="Times New Roman"/>
                <w:spacing w:val="3"/>
                <w:sz w:val="24"/>
                <w:szCs w:val="24"/>
              </w:rPr>
              <w:t>前地块土地使用规划局部图</w:t>
            </w:r>
          </w:p>
          <w:p w14:paraId="41183753">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hint="eastAsia" w:ascii="Times New Roman" w:hAnsi="Times New Roman" w:eastAsia="仿宋" w:cs="Times New Roman"/>
                <w:spacing w:val="3"/>
                <w:sz w:val="24"/>
                <w:szCs w:val="24"/>
                <w:lang w:val="en-US" w:eastAsia="zh-CN"/>
              </w:rPr>
              <w:t>6.调出前地块土地使用规划布局图</w:t>
            </w:r>
          </w:p>
          <w:p w14:paraId="214FCE06">
            <w:pPr>
              <w:spacing w:before="136" w:line="337" w:lineRule="auto"/>
              <w:ind w:left="123" w:firstLine="454"/>
              <w:jc w:val="both"/>
              <w:rPr>
                <w:rFonts w:hint="default" w:ascii="Times New Roman" w:hAnsi="Times New Roman" w:eastAsia="仿宋" w:cs="Times New Roman"/>
                <w:spacing w:val="3"/>
                <w:sz w:val="24"/>
                <w:szCs w:val="24"/>
              </w:rPr>
            </w:pPr>
            <w:r>
              <w:rPr>
                <w:rFonts w:hint="eastAsia" w:ascii="Times New Roman" w:hAnsi="Times New Roman" w:eastAsia="仿宋" w:cs="Times New Roman"/>
                <w:spacing w:val="3"/>
                <w:sz w:val="24"/>
                <w:szCs w:val="24"/>
                <w:lang w:val="en-US" w:eastAsia="zh-CN"/>
              </w:rPr>
              <w:t>7</w:t>
            </w:r>
            <w:r>
              <w:rPr>
                <w:rFonts w:ascii="Times New Roman" w:hAnsi="Times New Roman" w:eastAsia="仿宋" w:cs="Times New Roman"/>
                <w:spacing w:val="3"/>
                <w:sz w:val="24"/>
                <w:szCs w:val="24"/>
              </w:rPr>
              <w:t>.</w:t>
            </w:r>
            <w:r>
              <w:rPr>
                <w:rFonts w:hint="eastAsia" w:ascii="Times New Roman" w:hAnsi="Times New Roman" w:eastAsia="仿宋" w:cs="Times New Roman"/>
                <w:spacing w:val="3"/>
                <w:sz w:val="24"/>
                <w:szCs w:val="24"/>
                <w:lang w:val="en-US" w:eastAsia="zh-CN"/>
              </w:rPr>
              <w:t>调入</w:t>
            </w:r>
            <w:r>
              <w:rPr>
                <w:rFonts w:hint="default" w:ascii="Times New Roman" w:hAnsi="Times New Roman" w:eastAsia="仿宋" w:cs="Times New Roman"/>
                <w:spacing w:val="3"/>
                <w:sz w:val="24"/>
                <w:szCs w:val="24"/>
              </w:rPr>
              <w:t>后地块土地使用规划局部图</w:t>
            </w:r>
          </w:p>
          <w:p w14:paraId="1B556768">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hint="eastAsia" w:ascii="Times New Roman" w:hAnsi="Times New Roman" w:eastAsia="仿宋" w:cs="Times New Roman"/>
                <w:spacing w:val="3"/>
                <w:sz w:val="24"/>
                <w:szCs w:val="24"/>
                <w:lang w:val="en-US" w:eastAsia="zh-CN"/>
              </w:rPr>
              <w:t>8.调出</w:t>
            </w:r>
            <w:r>
              <w:rPr>
                <w:rFonts w:hint="default" w:ascii="Times New Roman" w:hAnsi="Times New Roman" w:eastAsia="仿宋" w:cs="Times New Roman"/>
                <w:spacing w:val="3"/>
                <w:sz w:val="24"/>
                <w:szCs w:val="24"/>
              </w:rPr>
              <w:t>后地块土地使用规划局部图</w:t>
            </w:r>
          </w:p>
          <w:p w14:paraId="0D9F8FCE">
            <w:pPr>
              <w:spacing w:before="136" w:line="337" w:lineRule="auto"/>
              <w:ind w:left="123" w:firstLine="454"/>
              <w:jc w:val="both"/>
              <w:rPr>
                <w:rFonts w:hint="default" w:ascii="Times New Roman" w:hAnsi="Times New Roman" w:eastAsia="仿宋" w:cs="Times New Roman"/>
                <w:spacing w:val="3"/>
                <w:sz w:val="24"/>
                <w:szCs w:val="24"/>
              </w:rPr>
            </w:pPr>
            <w:r>
              <w:rPr>
                <w:rFonts w:hint="eastAsia" w:ascii="Times New Roman" w:hAnsi="Times New Roman" w:eastAsia="仿宋" w:cs="Times New Roman"/>
                <w:spacing w:val="3"/>
                <w:sz w:val="24"/>
                <w:szCs w:val="24"/>
                <w:lang w:val="en-US" w:eastAsia="zh-CN"/>
              </w:rPr>
              <w:t>9</w:t>
            </w:r>
            <w:r>
              <w:rPr>
                <w:rFonts w:ascii="Times New Roman" w:hAnsi="Times New Roman" w:eastAsia="仿宋" w:cs="Times New Roman"/>
                <w:spacing w:val="3"/>
                <w:sz w:val="24"/>
                <w:szCs w:val="24"/>
              </w:rPr>
              <w:t>.</w:t>
            </w:r>
            <w:r>
              <w:rPr>
                <w:rFonts w:hint="eastAsia" w:ascii="Times New Roman" w:hAnsi="Times New Roman" w:eastAsia="仿宋" w:cs="Times New Roman"/>
                <w:spacing w:val="3"/>
                <w:sz w:val="24"/>
                <w:szCs w:val="24"/>
                <w:lang w:val="en-US" w:eastAsia="zh-CN"/>
              </w:rPr>
              <w:t>调入</w:t>
            </w:r>
            <w:r>
              <w:rPr>
                <w:rFonts w:hint="default" w:ascii="Times New Roman" w:hAnsi="Times New Roman" w:eastAsia="仿宋" w:cs="Times New Roman"/>
                <w:spacing w:val="3"/>
                <w:sz w:val="24"/>
                <w:szCs w:val="24"/>
              </w:rPr>
              <w:t>地块最新卫星影像图（局部图）</w:t>
            </w:r>
          </w:p>
          <w:p w14:paraId="33CA5CA2">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hint="eastAsia" w:ascii="Times New Roman" w:hAnsi="Times New Roman" w:eastAsia="仿宋" w:cs="Times New Roman"/>
                <w:spacing w:val="3"/>
                <w:sz w:val="24"/>
                <w:szCs w:val="24"/>
                <w:lang w:val="en-US" w:eastAsia="zh-CN"/>
              </w:rPr>
              <w:t>10.调出</w:t>
            </w:r>
            <w:r>
              <w:rPr>
                <w:rFonts w:hint="default" w:ascii="Times New Roman" w:hAnsi="Times New Roman" w:eastAsia="仿宋" w:cs="Times New Roman"/>
                <w:spacing w:val="3"/>
                <w:sz w:val="24"/>
                <w:szCs w:val="24"/>
              </w:rPr>
              <w:t>地块最新卫星影像图（局部图）</w:t>
            </w:r>
          </w:p>
          <w:p w14:paraId="412DFC53">
            <w:pPr>
              <w:spacing w:before="136" w:line="337" w:lineRule="auto"/>
              <w:ind w:left="123" w:firstLine="454"/>
              <w:jc w:val="both"/>
              <w:rPr>
                <w:rFonts w:hint="default" w:ascii="Times New Roman" w:hAnsi="Times New Roman" w:eastAsia="仿宋" w:cs="Times New Roman"/>
                <w:spacing w:val="3"/>
                <w:sz w:val="24"/>
                <w:szCs w:val="24"/>
                <w:lang w:val="en-US" w:eastAsia="zh-CN"/>
              </w:rPr>
            </w:pPr>
            <w:r>
              <w:rPr>
                <w:rFonts w:hint="eastAsia" w:ascii="Times New Roman" w:hAnsi="Times New Roman" w:eastAsia="仿宋" w:cs="Times New Roman"/>
                <w:spacing w:val="3"/>
                <w:sz w:val="24"/>
                <w:szCs w:val="24"/>
                <w:lang w:val="en-US" w:eastAsia="zh-CN"/>
              </w:rPr>
              <w:t>11.调入地块现状图片</w:t>
            </w:r>
          </w:p>
          <w:p w14:paraId="5A6C8686">
            <w:pPr>
              <w:spacing w:before="136" w:line="337" w:lineRule="auto"/>
              <w:ind w:left="123" w:firstLine="454"/>
              <w:jc w:val="both"/>
              <w:rPr>
                <w:rFonts w:hint="default" w:ascii="Times New Roman" w:hAnsi="Times New Roman" w:eastAsia="仿宋" w:cs="Times New Roman"/>
                <w:b w:val="0"/>
                <w:bCs w:val="0"/>
                <w:spacing w:val="3"/>
                <w:sz w:val="24"/>
                <w:szCs w:val="24"/>
                <w:lang w:val="en-US" w:eastAsia="zh-CN"/>
              </w:rPr>
            </w:pPr>
            <w:r>
              <w:rPr>
                <w:rFonts w:hint="default" w:ascii="Times New Roman" w:hAnsi="Times New Roman" w:eastAsia="仿宋" w:cs="Times New Roman"/>
                <w:b w:val="0"/>
                <w:bCs w:val="0"/>
                <w:spacing w:val="3"/>
                <w:sz w:val="24"/>
                <w:szCs w:val="24"/>
                <w:lang w:val="en-US" w:eastAsia="zh-CN"/>
              </w:rPr>
              <w:t>12.调出地块现状图片</w:t>
            </w:r>
          </w:p>
          <w:p w14:paraId="528CFC0D">
            <w:pPr>
              <w:spacing w:before="136" w:line="337" w:lineRule="auto"/>
              <w:ind w:left="123" w:firstLine="454"/>
              <w:jc w:val="both"/>
              <w:rPr>
                <w:rFonts w:hint="default" w:ascii="Times New Roman" w:hAnsi="Times New Roman" w:eastAsia="仿宋" w:cs="Times New Roman"/>
                <w:b/>
                <w:bCs/>
                <w:spacing w:val="3"/>
                <w:sz w:val="24"/>
                <w:szCs w:val="24"/>
                <w:lang w:val="en-US" w:eastAsia="zh-CN"/>
              </w:rPr>
            </w:pPr>
            <w:r>
              <w:rPr>
                <w:rFonts w:hint="eastAsia" w:ascii="Times New Roman" w:hAnsi="Times New Roman" w:eastAsia="仿宋" w:cs="Times New Roman"/>
                <w:b/>
                <w:bCs/>
                <w:spacing w:val="3"/>
                <w:sz w:val="24"/>
                <w:szCs w:val="24"/>
                <w:lang w:val="en-US" w:eastAsia="zh-CN"/>
              </w:rPr>
              <w:t>九</w:t>
            </w:r>
            <w:r>
              <w:rPr>
                <w:rFonts w:hint="default" w:ascii="Times New Roman" w:hAnsi="Times New Roman" w:eastAsia="仿宋" w:cs="Times New Roman"/>
                <w:b/>
                <w:bCs/>
                <w:spacing w:val="3"/>
                <w:sz w:val="24"/>
                <w:szCs w:val="24"/>
              </w:rPr>
              <w:t>、</w:t>
            </w:r>
            <w:r>
              <w:rPr>
                <w:rFonts w:hint="eastAsia" w:ascii="Times New Roman" w:hAnsi="Times New Roman" w:eastAsia="仿宋" w:cs="Times New Roman"/>
                <w:b/>
                <w:bCs/>
                <w:spacing w:val="3"/>
                <w:sz w:val="24"/>
                <w:szCs w:val="24"/>
                <w:lang w:val="en-US" w:eastAsia="zh-CN"/>
              </w:rPr>
              <w:t>矢量数据</w:t>
            </w:r>
          </w:p>
          <w:p w14:paraId="13B279F1">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1.城镇建设用地规模落实方案范围</w:t>
            </w:r>
          </w:p>
          <w:p w14:paraId="2E3F847B">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2.调整前规划用地用海</w:t>
            </w:r>
          </w:p>
          <w:p w14:paraId="44E2B8E2">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3.调整后规划用地用海</w:t>
            </w:r>
          </w:p>
          <w:p w14:paraId="3D89A898">
            <w:pPr>
              <w:spacing w:before="136" w:line="337" w:lineRule="auto"/>
              <w:ind w:left="123" w:firstLine="454"/>
              <w:jc w:val="both"/>
              <w:rPr>
                <w:rFonts w:hint="eastAsia"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4.调整前用地用海规划分区</w:t>
            </w:r>
          </w:p>
          <w:p w14:paraId="146D8DF7">
            <w:pPr>
              <w:spacing w:before="136" w:line="337" w:lineRule="auto"/>
              <w:ind w:left="123" w:firstLine="454"/>
              <w:jc w:val="both"/>
              <w:rPr>
                <w:rFonts w:hint="default" w:ascii="Times New Roman" w:hAnsi="Times New Roman" w:eastAsia="仿宋" w:cs="Times New Roman"/>
                <w:b w:val="0"/>
                <w:bCs w:val="0"/>
                <w:spacing w:val="3"/>
                <w:sz w:val="24"/>
                <w:szCs w:val="24"/>
                <w:lang w:val="en-US" w:eastAsia="zh-CN"/>
              </w:rPr>
            </w:pPr>
            <w:r>
              <w:rPr>
                <w:rFonts w:hint="eastAsia" w:ascii="Times New Roman" w:hAnsi="Times New Roman" w:eastAsia="仿宋" w:cs="Times New Roman"/>
                <w:b w:val="0"/>
                <w:bCs w:val="0"/>
                <w:spacing w:val="3"/>
                <w:sz w:val="24"/>
                <w:szCs w:val="24"/>
                <w:lang w:val="en-US" w:eastAsia="zh-CN"/>
              </w:rPr>
              <w:t>5.调整后用地用海规划分区</w:t>
            </w:r>
          </w:p>
        </w:tc>
      </w:tr>
      <w:tr w14:paraId="4C9D2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8" w:hRule="atLeast"/>
        </w:trPr>
        <w:tc>
          <w:tcPr>
            <w:tcW w:w="734" w:type="dxa"/>
            <w:tcBorders>
              <w:top w:val="single" w:color="auto" w:sz="4" w:space="0"/>
              <w:left w:val="single" w:color="auto" w:sz="4" w:space="0"/>
              <w:bottom w:val="single" w:color="auto" w:sz="4" w:space="0"/>
            </w:tcBorders>
            <w:vAlign w:val="center"/>
          </w:tcPr>
          <w:p w14:paraId="7AD652F4">
            <w:pPr>
              <w:spacing w:before="75" w:line="253" w:lineRule="auto"/>
              <w:ind w:left="123" w:leftChars="0" w:right="107" w:rightChars="0" w:firstLine="5" w:firstLineChars="0"/>
              <w:jc w:val="center"/>
              <w:rPr>
                <w:rFonts w:hint="eastAsia" w:ascii="Times New Roman" w:hAnsi="Times New Roman" w:eastAsia="仿宋" w:cs="Times New Roman"/>
                <w:spacing w:val="-29"/>
                <w:sz w:val="24"/>
                <w:szCs w:val="24"/>
                <w:lang w:val="en-US" w:eastAsia="zh-CN"/>
              </w:rPr>
            </w:pPr>
            <w:r>
              <w:rPr>
                <w:rFonts w:hint="default" w:ascii="Times New Roman" w:hAnsi="Times New Roman" w:eastAsia="仿宋" w:cs="Times New Roman"/>
                <w:spacing w:val="-27"/>
                <w:sz w:val="24"/>
                <w:szCs w:val="24"/>
              </w:rPr>
              <w:t>县级 自然 资源 主管 部门 审核 意见</w:t>
            </w:r>
          </w:p>
        </w:tc>
        <w:tc>
          <w:tcPr>
            <w:tcW w:w="8980" w:type="dxa"/>
            <w:tcBorders>
              <w:top w:val="single" w:color="auto" w:sz="4" w:space="0"/>
              <w:bottom w:val="single" w:color="auto" w:sz="4" w:space="0"/>
              <w:right w:val="single" w:color="auto" w:sz="4" w:space="0"/>
            </w:tcBorders>
            <w:vAlign w:val="top"/>
          </w:tcPr>
          <w:p w14:paraId="1721C885">
            <w:pPr>
              <w:spacing w:line="265" w:lineRule="auto"/>
            </w:pPr>
          </w:p>
          <w:p w14:paraId="51537767">
            <w:pPr>
              <w:spacing w:line="266" w:lineRule="auto"/>
            </w:pPr>
          </w:p>
          <w:p w14:paraId="5FDF7CC9">
            <w:pPr>
              <w:spacing w:line="266" w:lineRule="auto"/>
            </w:pPr>
          </w:p>
          <w:p w14:paraId="7E972E70">
            <w:pPr>
              <w:spacing w:line="266" w:lineRule="auto"/>
            </w:pPr>
          </w:p>
          <w:p w14:paraId="7193D8E5">
            <w:pPr>
              <w:spacing w:line="266" w:lineRule="auto"/>
            </w:pPr>
          </w:p>
          <w:p w14:paraId="08FBC1FD">
            <w:pPr>
              <w:spacing w:line="266" w:lineRule="auto"/>
            </w:pPr>
          </w:p>
          <w:p w14:paraId="72BA41A1">
            <w:pPr>
              <w:spacing w:line="266" w:lineRule="auto"/>
            </w:pPr>
          </w:p>
          <w:p w14:paraId="6A6F2797">
            <w:pPr>
              <w:spacing w:line="266" w:lineRule="auto"/>
            </w:pPr>
          </w:p>
          <w:p w14:paraId="398DF1B4">
            <w:pPr>
              <w:spacing w:before="74" w:line="230" w:lineRule="auto"/>
              <w:ind w:left="6289"/>
              <w:rPr>
                <w:rFonts w:hint="eastAsia" w:ascii="仿宋" w:hAnsi="仿宋" w:eastAsia="仿宋" w:cs="仿宋"/>
                <w:sz w:val="23"/>
                <w:szCs w:val="23"/>
              </w:rPr>
            </w:pPr>
            <w:r>
              <w:rPr>
                <w:rFonts w:ascii="仿宋" w:hAnsi="仿宋" w:eastAsia="仿宋" w:cs="仿宋"/>
                <w:spacing w:val="4"/>
                <w:sz w:val="23"/>
                <w:szCs w:val="23"/>
              </w:rPr>
              <w:t>自</w:t>
            </w:r>
            <w:r>
              <w:rPr>
                <w:rFonts w:ascii="仿宋" w:hAnsi="仿宋" w:eastAsia="仿宋" w:cs="仿宋"/>
                <w:spacing w:val="2"/>
                <w:sz w:val="23"/>
                <w:szCs w:val="23"/>
              </w:rPr>
              <w:t>然资源主管部门</w:t>
            </w:r>
          </w:p>
          <w:p w14:paraId="6B5C12F8">
            <w:pPr>
              <w:spacing w:before="25" w:line="231" w:lineRule="auto"/>
              <w:ind w:left="6849"/>
              <w:rPr>
                <w:rFonts w:hint="eastAsia" w:ascii="仿宋" w:hAnsi="仿宋" w:eastAsia="仿宋" w:cs="仿宋"/>
                <w:sz w:val="23"/>
                <w:szCs w:val="23"/>
              </w:rPr>
            </w:pPr>
            <w:r>
              <w:rPr>
                <w:rFonts w:ascii="仿宋" w:hAnsi="仿宋" w:eastAsia="仿宋" w:cs="仿宋"/>
                <w:spacing w:val="29"/>
                <w:sz w:val="23"/>
                <w:szCs w:val="23"/>
              </w:rPr>
              <w:t>(</w:t>
            </w:r>
            <w:r>
              <w:rPr>
                <w:rFonts w:ascii="仿宋" w:hAnsi="仿宋" w:eastAsia="仿宋" w:cs="仿宋"/>
                <w:spacing w:val="28"/>
                <w:sz w:val="23"/>
                <w:szCs w:val="23"/>
              </w:rPr>
              <w:t>公章)</w:t>
            </w:r>
          </w:p>
          <w:p w14:paraId="497D2C8C">
            <w:pPr>
              <w:spacing w:line="260" w:lineRule="auto"/>
            </w:pPr>
          </w:p>
          <w:p w14:paraId="2F2CED5E">
            <w:pPr>
              <w:spacing w:before="75" w:line="232" w:lineRule="auto"/>
              <w:ind w:left="5170"/>
              <w:rPr>
                <w:rFonts w:hint="eastAsia" w:ascii="仿宋" w:hAnsi="仿宋" w:eastAsia="仿宋" w:cs="仿宋"/>
                <w:sz w:val="23"/>
                <w:szCs w:val="23"/>
              </w:rPr>
            </w:pPr>
            <w:r>
              <w:rPr>
                <w:rFonts w:ascii="仿宋" w:hAnsi="仿宋" w:eastAsia="仿宋" w:cs="仿宋"/>
                <w:spacing w:val="-2"/>
                <w:sz w:val="23"/>
                <w:szCs w:val="23"/>
              </w:rPr>
              <w:t>主管领</w:t>
            </w:r>
            <w:r>
              <w:rPr>
                <w:rFonts w:ascii="仿宋" w:hAnsi="仿宋" w:eastAsia="仿宋" w:cs="仿宋"/>
                <w:spacing w:val="-1"/>
                <w:sz w:val="23"/>
                <w:szCs w:val="23"/>
              </w:rPr>
              <w:t>导签字：</w:t>
            </w:r>
          </w:p>
          <w:p w14:paraId="001D3077">
            <w:pPr>
              <w:spacing w:line="258" w:lineRule="auto"/>
            </w:pPr>
          </w:p>
          <w:p w14:paraId="12B61720">
            <w:pPr>
              <w:spacing w:before="136" w:line="337" w:lineRule="auto"/>
              <w:ind w:left="123" w:firstLine="4999" w:firstLineChars="2212"/>
              <w:jc w:val="both"/>
              <w:rPr>
                <w:rFonts w:ascii="仿宋" w:hAnsi="仿宋" w:eastAsia="仿宋" w:cs="仿宋"/>
                <w:spacing w:val="-1"/>
                <w:sz w:val="23"/>
                <w:szCs w:val="23"/>
              </w:rPr>
            </w:pPr>
            <w:r>
              <w:rPr>
                <w:rFonts w:ascii="仿宋" w:hAnsi="仿宋" w:eastAsia="仿宋" w:cs="仿宋"/>
                <w:spacing w:val="-2"/>
                <w:sz w:val="23"/>
                <w:szCs w:val="23"/>
              </w:rPr>
              <w:t xml:space="preserve">日期：  </w:t>
            </w:r>
            <w:r>
              <w:rPr>
                <w:rFonts w:ascii="仿宋" w:hAnsi="仿宋" w:eastAsia="仿宋" w:cs="仿宋"/>
                <w:spacing w:val="-1"/>
                <w:sz w:val="23"/>
                <w:szCs w:val="23"/>
              </w:rPr>
              <w:t xml:space="preserve">  年   月   日</w:t>
            </w:r>
          </w:p>
          <w:p w14:paraId="658F5D82">
            <w:pPr>
              <w:spacing w:before="136" w:line="337" w:lineRule="auto"/>
              <w:ind w:left="123" w:firstLine="5043" w:firstLineChars="2212"/>
              <w:jc w:val="both"/>
              <w:rPr>
                <w:rFonts w:ascii="仿宋" w:hAnsi="仿宋" w:eastAsia="仿宋" w:cs="仿宋"/>
                <w:spacing w:val="-1"/>
                <w:sz w:val="23"/>
                <w:szCs w:val="23"/>
              </w:rPr>
            </w:pPr>
          </w:p>
          <w:p w14:paraId="52739A69">
            <w:pPr>
              <w:spacing w:before="136" w:line="337" w:lineRule="auto"/>
              <w:ind w:left="123" w:leftChars="0" w:firstLine="5441" w:firstLineChars="2212"/>
              <w:jc w:val="both"/>
              <w:rPr>
                <w:rFonts w:hint="eastAsia" w:ascii="Times New Roman" w:hAnsi="Times New Roman" w:eastAsia="仿宋" w:cs="Times New Roman"/>
                <w:b w:val="0"/>
                <w:bCs w:val="0"/>
                <w:spacing w:val="3"/>
                <w:sz w:val="24"/>
                <w:szCs w:val="24"/>
                <w:lang w:val="en-US" w:eastAsia="zh-CN"/>
              </w:rPr>
            </w:pPr>
          </w:p>
        </w:tc>
      </w:tr>
      <w:tr w14:paraId="29023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8" w:hRule="atLeast"/>
        </w:trPr>
        <w:tc>
          <w:tcPr>
            <w:tcW w:w="734" w:type="dxa"/>
            <w:tcBorders>
              <w:top w:val="single" w:color="auto" w:sz="4" w:space="0"/>
              <w:left w:val="single" w:color="auto" w:sz="4" w:space="0"/>
              <w:bottom w:val="single" w:color="auto" w:sz="4" w:space="0"/>
            </w:tcBorders>
            <w:vAlign w:val="center"/>
          </w:tcPr>
          <w:p w14:paraId="41A81BF4">
            <w:pPr>
              <w:spacing w:before="75" w:line="253" w:lineRule="auto"/>
              <w:ind w:left="123" w:leftChars="0" w:right="107" w:rightChars="0" w:firstLine="5" w:firstLineChars="0"/>
              <w:jc w:val="center"/>
              <w:rPr>
                <w:rFonts w:hint="default" w:ascii="Times New Roman" w:hAnsi="Times New Roman" w:eastAsia="仿宋" w:cs="Times New Roman"/>
                <w:spacing w:val="-27"/>
                <w:sz w:val="24"/>
                <w:szCs w:val="24"/>
              </w:rPr>
            </w:pPr>
            <w:r>
              <w:rPr>
                <w:rFonts w:hint="default" w:ascii="Times New Roman" w:hAnsi="Times New Roman" w:eastAsia="仿宋" w:cs="Times New Roman"/>
                <w:spacing w:val="-27"/>
                <w:sz w:val="24"/>
                <w:szCs w:val="24"/>
              </w:rPr>
              <w:t>市级 自然 资源 主管 部门 审核 意见</w:t>
            </w:r>
          </w:p>
        </w:tc>
        <w:tc>
          <w:tcPr>
            <w:tcW w:w="8980" w:type="dxa"/>
            <w:tcBorders>
              <w:top w:val="single" w:color="auto" w:sz="4" w:space="0"/>
              <w:bottom w:val="single" w:color="auto" w:sz="4" w:space="0"/>
              <w:right w:val="single" w:color="auto" w:sz="4" w:space="0"/>
            </w:tcBorders>
            <w:vAlign w:val="top"/>
          </w:tcPr>
          <w:p w14:paraId="00DAC4AD">
            <w:pPr>
              <w:spacing w:line="241" w:lineRule="auto"/>
            </w:pPr>
          </w:p>
          <w:p w14:paraId="29C5DB7A">
            <w:pPr>
              <w:spacing w:line="241" w:lineRule="auto"/>
            </w:pPr>
          </w:p>
          <w:p w14:paraId="5EFEBE7A">
            <w:pPr>
              <w:spacing w:line="241" w:lineRule="auto"/>
            </w:pPr>
          </w:p>
          <w:p w14:paraId="5760C04E">
            <w:pPr>
              <w:spacing w:line="241" w:lineRule="auto"/>
            </w:pPr>
          </w:p>
          <w:p w14:paraId="3344EBE3">
            <w:pPr>
              <w:spacing w:line="242" w:lineRule="auto"/>
            </w:pPr>
          </w:p>
          <w:p w14:paraId="3843B5C0">
            <w:pPr>
              <w:spacing w:line="242" w:lineRule="auto"/>
            </w:pPr>
          </w:p>
          <w:p w14:paraId="5F204805">
            <w:pPr>
              <w:spacing w:line="242" w:lineRule="auto"/>
            </w:pPr>
          </w:p>
          <w:p w14:paraId="7FED5B79">
            <w:pPr>
              <w:spacing w:line="242" w:lineRule="auto"/>
            </w:pPr>
          </w:p>
          <w:p w14:paraId="134FE959">
            <w:pPr>
              <w:spacing w:line="242" w:lineRule="auto"/>
            </w:pPr>
          </w:p>
          <w:p w14:paraId="6EB1689A">
            <w:pPr>
              <w:spacing w:line="242" w:lineRule="auto"/>
            </w:pPr>
          </w:p>
          <w:p w14:paraId="7906F9D2">
            <w:pPr>
              <w:spacing w:line="242" w:lineRule="auto"/>
            </w:pPr>
          </w:p>
          <w:p w14:paraId="641F03C1">
            <w:pPr>
              <w:spacing w:before="74" w:line="230" w:lineRule="auto"/>
              <w:ind w:left="6289"/>
              <w:rPr>
                <w:rFonts w:hint="eastAsia" w:ascii="仿宋" w:hAnsi="仿宋" w:eastAsia="仿宋" w:cs="仿宋"/>
                <w:sz w:val="23"/>
                <w:szCs w:val="23"/>
              </w:rPr>
            </w:pPr>
            <w:r>
              <w:rPr>
                <w:rFonts w:ascii="仿宋" w:hAnsi="仿宋" w:eastAsia="仿宋" w:cs="仿宋"/>
                <w:spacing w:val="4"/>
                <w:sz w:val="23"/>
                <w:szCs w:val="23"/>
              </w:rPr>
              <w:t>自</w:t>
            </w:r>
            <w:r>
              <w:rPr>
                <w:rFonts w:ascii="仿宋" w:hAnsi="仿宋" w:eastAsia="仿宋" w:cs="仿宋"/>
                <w:spacing w:val="2"/>
                <w:sz w:val="23"/>
                <w:szCs w:val="23"/>
              </w:rPr>
              <w:t>然资源主管部门</w:t>
            </w:r>
          </w:p>
          <w:p w14:paraId="3F0BA182">
            <w:pPr>
              <w:spacing w:before="25" w:line="231" w:lineRule="auto"/>
              <w:ind w:left="6849"/>
              <w:rPr>
                <w:rFonts w:hint="eastAsia" w:ascii="仿宋" w:hAnsi="仿宋" w:eastAsia="仿宋" w:cs="仿宋"/>
                <w:sz w:val="23"/>
                <w:szCs w:val="23"/>
              </w:rPr>
            </w:pPr>
            <w:r>
              <w:rPr>
                <w:rFonts w:ascii="仿宋" w:hAnsi="仿宋" w:eastAsia="仿宋" w:cs="仿宋"/>
                <w:spacing w:val="29"/>
                <w:sz w:val="23"/>
                <w:szCs w:val="23"/>
              </w:rPr>
              <w:t>(</w:t>
            </w:r>
            <w:r>
              <w:rPr>
                <w:rFonts w:ascii="仿宋" w:hAnsi="仿宋" w:eastAsia="仿宋" w:cs="仿宋"/>
                <w:spacing w:val="28"/>
                <w:sz w:val="23"/>
                <w:szCs w:val="23"/>
              </w:rPr>
              <w:t>公章)</w:t>
            </w:r>
          </w:p>
          <w:p w14:paraId="2046263C">
            <w:pPr>
              <w:spacing w:line="260" w:lineRule="auto"/>
            </w:pPr>
          </w:p>
          <w:p w14:paraId="02178A8D">
            <w:pPr>
              <w:spacing w:before="75" w:line="232" w:lineRule="auto"/>
              <w:ind w:left="5170"/>
              <w:rPr>
                <w:rFonts w:hint="eastAsia" w:ascii="仿宋" w:hAnsi="仿宋" w:eastAsia="仿宋" w:cs="仿宋"/>
                <w:sz w:val="23"/>
                <w:szCs w:val="23"/>
              </w:rPr>
            </w:pPr>
            <w:r>
              <w:rPr>
                <w:rFonts w:ascii="仿宋" w:hAnsi="仿宋" w:eastAsia="仿宋" w:cs="仿宋"/>
                <w:spacing w:val="-2"/>
                <w:sz w:val="23"/>
                <w:szCs w:val="23"/>
              </w:rPr>
              <w:t>主管领</w:t>
            </w:r>
            <w:r>
              <w:rPr>
                <w:rFonts w:ascii="仿宋" w:hAnsi="仿宋" w:eastAsia="仿宋" w:cs="仿宋"/>
                <w:spacing w:val="-1"/>
                <w:sz w:val="23"/>
                <w:szCs w:val="23"/>
              </w:rPr>
              <w:t>导签字：</w:t>
            </w:r>
          </w:p>
          <w:p w14:paraId="6E2CD478">
            <w:pPr>
              <w:spacing w:line="258" w:lineRule="auto"/>
            </w:pPr>
          </w:p>
          <w:p w14:paraId="60430E30">
            <w:pPr>
              <w:spacing w:before="136" w:line="337" w:lineRule="auto"/>
              <w:ind w:left="123" w:firstLine="4999" w:firstLineChars="2212"/>
              <w:jc w:val="both"/>
              <w:rPr>
                <w:rFonts w:ascii="仿宋" w:hAnsi="仿宋" w:eastAsia="仿宋" w:cs="仿宋"/>
                <w:spacing w:val="-1"/>
                <w:sz w:val="23"/>
                <w:szCs w:val="23"/>
              </w:rPr>
            </w:pPr>
            <w:r>
              <w:rPr>
                <w:rFonts w:ascii="仿宋" w:hAnsi="仿宋" w:eastAsia="仿宋" w:cs="仿宋"/>
                <w:spacing w:val="-2"/>
                <w:sz w:val="23"/>
                <w:szCs w:val="23"/>
              </w:rPr>
              <w:t xml:space="preserve">日期：  </w:t>
            </w:r>
            <w:r>
              <w:rPr>
                <w:rFonts w:ascii="仿宋" w:hAnsi="仿宋" w:eastAsia="仿宋" w:cs="仿宋"/>
                <w:spacing w:val="-1"/>
                <w:sz w:val="23"/>
                <w:szCs w:val="23"/>
              </w:rPr>
              <w:t xml:space="preserve">  年   月   日</w:t>
            </w:r>
          </w:p>
          <w:p w14:paraId="75094189">
            <w:pPr>
              <w:spacing w:before="136" w:line="337" w:lineRule="auto"/>
              <w:ind w:left="123" w:firstLine="5043" w:firstLineChars="2212"/>
              <w:jc w:val="both"/>
              <w:rPr>
                <w:rFonts w:ascii="仿宋" w:hAnsi="仿宋" w:eastAsia="仿宋" w:cs="仿宋"/>
                <w:spacing w:val="-1"/>
                <w:sz w:val="23"/>
                <w:szCs w:val="23"/>
              </w:rPr>
            </w:pPr>
          </w:p>
          <w:p w14:paraId="11244BE1">
            <w:pPr>
              <w:spacing w:before="136" w:line="337" w:lineRule="auto"/>
              <w:ind w:left="123" w:leftChars="0" w:firstLine="5441" w:firstLineChars="2212"/>
              <w:jc w:val="both"/>
              <w:rPr>
                <w:rFonts w:hint="eastAsia" w:ascii="Times New Roman" w:hAnsi="Times New Roman" w:eastAsia="仿宋" w:cs="Times New Roman"/>
                <w:b w:val="0"/>
                <w:bCs w:val="0"/>
                <w:spacing w:val="3"/>
                <w:sz w:val="24"/>
                <w:szCs w:val="24"/>
                <w:lang w:val="en-US" w:eastAsia="zh-CN"/>
              </w:rPr>
            </w:pPr>
          </w:p>
        </w:tc>
      </w:tr>
      <w:tr w14:paraId="5B80F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734" w:type="dxa"/>
            <w:tcBorders>
              <w:top w:val="single" w:color="auto" w:sz="4" w:space="0"/>
              <w:left w:val="single" w:color="auto" w:sz="4" w:space="0"/>
              <w:bottom w:val="single" w:color="auto" w:sz="4" w:space="0"/>
            </w:tcBorders>
            <w:vAlign w:val="center"/>
          </w:tcPr>
          <w:p w14:paraId="4A46C797">
            <w:pPr>
              <w:spacing w:before="75" w:line="253" w:lineRule="auto"/>
              <w:ind w:left="123" w:leftChars="0" w:right="107" w:rightChars="0" w:firstLine="5" w:firstLineChars="0"/>
              <w:jc w:val="center"/>
              <w:rPr>
                <w:rFonts w:hint="default" w:ascii="Times New Roman" w:hAnsi="Times New Roman" w:eastAsia="仿宋" w:cs="Times New Roman"/>
                <w:spacing w:val="-27"/>
                <w:sz w:val="24"/>
                <w:szCs w:val="24"/>
              </w:rPr>
            </w:pPr>
            <w:r>
              <w:rPr>
                <w:rFonts w:hint="default" w:ascii="Times New Roman" w:hAnsi="Times New Roman" w:eastAsia="仿宋" w:cs="Times New Roman"/>
                <w:spacing w:val="-27"/>
                <w:sz w:val="24"/>
                <w:szCs w:val="24"/>
              </w:rPr>
              <w:t>备   注</w:t>
            </w:r>
          </w:p>
        </w:tc>
        <w:tc>
          <w:tcPr>
            <w:tcW w:w="8980" w:type="dxa"/>
            <w:tcBorders>
              <w:top w:val="single" w:color="auto" w:sz="4" w:space="0"/>
              <w:bottom w:val="single" w:color="auto" w:sz="4" w:space="0"/>
              <w:right w:val="single" w:color="auto" w:sz="4" w:space="0"/>
            </w:tcBorders>
            <w:vAlign w:val="top"/>
          </w:tcPr>
          <w:p w14:paraId="6F3B493D">
            <w:pPr>
              <w:spacing w:before="136" w:line="337" w:lineRule="auto"/>
              <w:ind w:left="123" w:leftChars="0" w:firstLine="454" w:firstLineChars="0"/>
              <w:jc w:val="both"/>
              <w:rPr>
                <w:rFonts w:hint="eastAsia" w:ascii="Times New Roman" w:hAnsi="Times New Roman" w:eastAsia="仿宋" w:cs="Times New Roman"/>
                <w:b w:val="0"/>
                <w:bCs w:val="0"/>
                <w:spacing w:val="3"/>
                <w:sz w:val="24"/>
                <w:szCs w:val="24"/>
                <w:lang w:val="en-US" w:eastAsia="zh-CN"/>
              </w:rPr>
            </w:pPr>
          </w:p>
        </w:tc>
      </w:tr>
    </w:tbl>
    <w:p w14:paraId="64EFCB97">
      <w:pPr>
        <w:jc w:val="right"/>
        <w:rPr>
          <w:rFonts w:hint="default"/>
          <w:lang w:val="en-US"/>
        </w:rPr>
        <w:sectPr>
          <w:footerReference r:id="rId3" w:type="default"/>
          <w:pgSz w:w="11906" w:h="16838"/>
          <w:pgMar w:top="1431" w:right="1091" w:bottom="1142" w:left="1094" w:header="0" w:footer="737" w:gutter="0"/>
          <w:pgNumType w:start="1"/>
          <w:cols w:space="720" w:num="1"/>
          <w:docGrid w:linePitch="286" w:charSpace="0"/>
        </w:sectPr>
      </w:pPr>
      <w:r>
        <w:rPr>
          <w:rFonts w:ascii="仿宋" w:hAnsi="仿宋" w:eastAsia="仿宋" w:cs="仿宋"/>
          <w:spacing w:val="3"/>
          <w:sz w:val="23"/>
          <w:szCs w:val="23"/>
        </w:rPr>
        <w:t>填表日期：</w:t>
      </w:r>
      <w:r>
        <w:rPr>
          <w:rFonts w:ascii="仿宋" w:hAnsi="仿宋" w:eastAsia="仿宋" w:cs="仿宋"/>
          <w:spacing w:val="3"/>
          <w:sz w:val="23"/>
          <w:szCs w:val="23"/>
          <w:highlight w:val="none"/>
        </w:rPr>
        <w:t xml:space="preserve"> </w:t>
      </w:r>
      <w:r>
        <w:rPr>
          <w:rFonts w:ascii="Times New Roman" w:hAnsi="Times New Roman" w:eastAsia="Times New Roman" w:cs="Times New Roman"/>
          <w:spacing w:val="3"/>
          <w:sz w:val="23"/>
          <w:szCs w:val="23"/>
          <w:highlight w:val="none"/>
        </w:rPr>
        <w:t>20</w:t>
      </w:r>
      <w:r>
        <w:rPr>
          <w:rFonts w:hint="eastAsia" w:ascii="Times New Roman" w:hAnsi="Times New Roman" w:eastAsia="宋体" w:cs="Times New Roman"/>
          <w:spacing w:val="3"/>
          <w:sz w:val="23"/>
          <w:szCs w:val="23"/>
          <w:highlight w:val="none"/>
        </w:rPr>
        <w:t>2</w:t>
      </w:r>
      <w:r>
        <w:rPr>
          <w:rFonts w:hint="eastAsia" w:ascii="Times New Roman" w:hAnsi="Times New Roman" w:eastAsia="宋体" w:cs="Times New Roman"/>
          <w:spacing w:val="3"/>
          <w:sz w:val="23"/>
          <w:szCs w:val="23"/>
          <w:highlight w:val="none"/>
          <w:lang w:val="en-US" w:eastAsia="zh-CN"/>
        </w:rPr>
        <w:t>6</w:t>
      </w:r>
      <w:r>
        <w:rPr>
          <w:rFonts w:ascii="仿宋" w:hAnsi="仿宋" w:eastAsia="仿宋" w:cs="仿宋"/>
          <w:spacing w:val="3"/>
          <w:sz w:val="23"/>
          <w:szCs w:val="23"/>
          <w:highlight w:val="none"/>
        </w:rPr>
        <w:t>年</w:t>
      </w:r>
      <w:r>
        <w:rPr>
          <w:rFonts w:hint="eastAsia" w:ascii="仿宋" w:hAnsi="仿宋" w:eastAsia="仿宋" w:cs="仿宋"/>
          <w:spacing w:val="3"/>
          <w:sz w:val="23"/>
          <w:szCs w:val="23"/>
          <w:highlight w:val="none"/>
          <w:lang w:val="en-US" w:eastAsia="zh-CN"/>
        </w:rPr>
        <w:t>3</w:t>
      </w:r>
      <w:r>
        <w:rPr>
          <w:rFonts w:ascii="仿宋" w:hAnsi="仿宋" w:eastAsia="仿宋" w:cs="仿宋"/>
          <w:spacing w:val="3"/>
          <w:sz w:val="23"/>
          <w:szCs w:val="23"/>
          <w:highlight w:val="none"/>
        </w:rPr>
        <w:t>月</w:t>
      </w:r>
      <w:r>
        <w:rPr>
          <w:rFonts w:hint="eastAsia" w:ascii="仿宋" w:hAnsi="仿宋" w:eastAsia="仿宋" w:cs="仿宋"/>
          <w:spacing w:val="3"/>
          <w:sz w:val="23"/>
          <w:szCs w:val="23"/>
          <w:highlight w:val="none"/>
          <w:lang w:val="en-US" w:eastAsia="zh-CN"/>
        </w:rPr>
        <w:t>X日</w:t>
      </w:r>
    </w:p>
    <w:p w14:paraId="11975F6A">
      <w:pPr>
        <w:spacing w:after="120" w:line="94" w:lineRule="auto"/>
        <w:rPr>
          <w:sz w:val="2"/>
        </w:rPr>
      </w:pPr>
    </w:p>
    <w:p w14:paraId="7092BD24">
      <w:pPr>
        <w:spacing w:before="62" w:after="120" w:line="222" w:lineRule="auto"/>
        <w:ind w:left="0"/>
        <w:jc w:val="center"/>
        <w:rPr>
          <w:rFonts w:hint="eastAsia" w:ascii="黑体" w:hAnsi="黑体" w:eastAsia="黑体" w:cs="黑体"/>
          <w:sz w:val="28"/>
          <w:szCs w:val="28"/>
        </w:rPr>
      </w:pPr>
      <w:r>
        <w:rPr>
          <w:rFonts w:ascii="黑体" w:hAnsi="黑体" w:eastAsia="黑体" w:cs="黑体"/>
          <w:spacing w:val="18"/>
          <w:sz w:val="28"/>
          <w:szCs w:val="28"/>
        </w:rPr>
        <w:t xml:space="preserve">表 </w:t>
      </w:r>
      <w:r>
        <w:rPr>
          <w:rFonts w:hint="eastAsia" w:ascii="黑体" w:hAnsi="黑体" w:eastAsia="黑体" w:cs="黑体"/>
          <w:spacing w:val="18"/>
          <w:sz w:val="28"/>
          <w:szCs w:val="28"/>
        </w:rPr>
        <w:t xml:space="preserve">1  </w:t>
      </w:r>
      <w:r>
        <w:rPr>
          <w:rFonts w:hint="eastAsia" w:ascii="黑体" w:hAnsi="黑体" w:eastAsia="黑体" w:cs="黑体"/>
          <w:spacing w:val="9"/>
          <w:sz w:val="28"/>
          <w:szCs w:val="28"/>
        </w:rPr>
        <w:t>韶关市</w:t>
      </w:r>
      <w:r>
        <w:rPr>
          <w:rFonts w:hint="eastAsia" w:ascii="黑体" w:hAnsi="黑体" w:eastAsia="黑体" w:cs="黑体"/>
          <w:spacing w:val="9"/>
          <w:sz w:val="28"/>
          <w:szCs w:val="28"/>
          <w:lang w:eastAsia="zh-CN"/>
        </w:rPr>
        <w:t>南雄市</w:t>
      </w:r>
      <w:r>
        <w:rPr>
          <w:rFonts w:ascii="黑体" w:hAnsi="黑体" w:eastAsia="黑体" w:cs="黑体"/>
          <w:spacing w:val="9"/>
          <w:sz w:val="28"/>
          <w:szCs w:val="28"/>
        </w:rPr>
        <w:t>镇建设用地规模</w:t>
      </w:r>
      <w:r>
        <w:rPr>
          <w:rFonts w:hint="eastAsia" w:ascii="黑体" w:hAnsi="黑体" w:eastAsia="黑体" w:cs="黑体"/>
          <w:spacing w:val="9"/>
          <w:sz w:val="28"/>
          <w:szCs w:val="28"/>
          <w:lang w:eastAsia="zh-CN"/>
        </w:rPr>
        <w:t>（</w:t>
      </w:r>
      <w:r>
        <w:rPr>
          <w:rFonts w:hint="eastAsia" w:ascii="黑体" w:hAnsi="黑体" w:eastAsia="黑体" w:cs="黑体"/>
          <w:spacing w:val="9"/>
          <w:sz w:val="28"/>
          <w:szCs w:val="28"/>
          <w:lang w:val="en-US" w:eastAsia="zh-CN"/>
        </w:rPr>
        <w:t>规划布局</w:t>
      </w:r>
      <w:r>
        <w:rPr>
          <w:rFonts w:hint="eastAsia" w:ascii="黑体" w:hAnsi="黑体" w:eastAsia="黑体" w:cs="黑体"/>
          <w:spacing w:val="9"/>
          <w:sz w:val="28"/>
          <w:szCs w:val="28"/>
          <w:lang w:eastAsia="zh-CN"/>
        </w:rPr>
        <w:t>）</w:t>
      </w:r>
      <w:r>
        <w:rPr>
          <w:rFonts w:hint="eastAsia" w:ascii="黑体" w:hAnsi="黑体" w:eastAsia="黑体" w:cs="黑体"/>
          <w:spacing w:val="9"/>
          <w:sz w:val="28"/>
          <w:szCs w:val="28"/>
          <w:lang w:val="en-US" w:eastAsia="zh-CN"/>
        </w:rPr>
        <w:t>台账</w:t>
      </w:r>
      <w:r>
        <w:rPr>
          <w:rFonts w:hint="eastAsia" w:ascii="黑体" w:hAnsi="黑体" w:eastAsia="黑体" w:cs="黑体"/>
          <w:spacing w:val="9"/>
          <w:sz w:val="28"/>
          <w:szCs w:val="28"/>
          <w:lang w:eastAsia="zh-CN"/>
        </w:rPr>
        <w:t>（</w:t>
      </w:r>
      <w:r>
        <w:rPr>
          <w:rFonts w:ascii="黑体" w:hAnsi="黑体" w:eastAsia="黑体" w:cs="黑体"/>
          <w:spacing w:val="9"/>
          <w:sz w:val="28"/>
          <w:szCs w:val="28"/>
        </w:rPr>
        <w:t>公顷，</w:t>
      </w:r>
      <w:r>
        <w:rPr>
          <w:rFonts w:hint="eastAsia" w:ascii="黑体" w:hAnsi="黑体" w:eastAsia="黑体" w:cs="黑体"/>
          <w:spacing w:val="9"/>
          <w:sz w:val="28"/>
          <w:szCs w:val="28"/>
        </w:rPr>
        <w:t>0.0000</w:t>
      </w:r>
      <w:r>
        <w:rPr>
          <w:rFonts w:hint="eastAsia" w:ascii="黑体" w:hAnsi="黑体" w:eastAsia="黑体" w:cs="黑体"/>
          <w:spacing w:val="9"/>
          <w:sz w:val="28"/>
          <w:szCs w:val="28"/>
          <w:lang w:eastAsia="zh-CN"/>
        </w:rPr>
        <w:t>）</w:t>
      </w:r>
    </w:p>
    <w:tbl>
      <w:tblPr>
        <w:tblStyle w:val="15"/>
        <w:tblpPr w:leftFromText="180" w:rightFromText="180" w:vertAnchor="text" w:horzAnchor="page" w:tblpX="1044" w:tblpY="26"/>
        <w:tblOverlap w:val="never"/>
        <w:tblW w:w="146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3"/>
        <w:gridCol w:w="1088"/>
        <w:gridCol w:w="1898"/>
        <w:gridCol w:w="904"/>
        <w:gridCol w:w="1069"/>
        <w:gridCol w:w="997"/>
        <w:gridCol w:w="1072"/>
        <w:gridCol w:w="905"/>
        <w:gridCol w:w="1117"/>
        <w:gridCol w:w="716"/>
        <w:gridCol w:w="1053"/>
        <w:gridCol w:w="1068"/>
        <w:gridCol w:w="990"/>
        <w:gridCol w:w="1068"/>
      </w:tblGrid>
      <w:tr w14:paraId="05D87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53" w:type="dxa"/>
            <w:vMerge w:val="restart"/>
            <w:vAlign w:val="center"/>
          </w:tcPr>
          <w:p w14:paraId="4E9199AB">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行政区</w:t>
            </w:r>
          </w:p>
        </w:tc>
        <w:tc>
          <w:tcPr>
            <w:tcW w:w="1088" w:type="dxa"/>
            <w:vMerge w:val="restart"/>
            <w:vAlign w:val="center"/>
          </w:tcPr>
          <w:p w14:paraId="24F42C8A">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城镇开发边界面积</w:t>
            </w:r>
          </w:p>
        </w:tc>
        <w:tc>
          <w:tcPr>
            <w:tcW w:w="1898" w:type="dxa"/>
            <w:vMerge w:val="restart"/>
            <w:vAlign w:val="center"/>
          </w:tcPr>
          <w:p w14:paraId="238E2077">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城镇开发边界外可规划新增城镇建设用地规模</w:t>
            </w:r>
          </w:p>
        </w:tc>
        <w:tc>
          <w:tcPr>
            <w:tcW w:w="4042" w:type="dxa"/>
            <w:gridSpan w:val="4"/>
            <w:vAlign w:val="center"/>
          </w:tcPr>
          <w:p w14:paraId="463753B4">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落实前</w:t>
            </w:r>
          </w:p>
        </w:tc>
        <w:tc>
          <w:tcPr>
            <w:tcW w:w="2738" w:type="dxa"/>
            <w:gridSpan w:val="3"/>
            <w:vAlign w:val="center"/>
          </w:tcPr>
          <w:p w14:paraId="67C5015F">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本方案</w:t>
            </w:r>
          </w:p>
        </w:tc>
        <w:tc>
          <w:tcPr>
            <w:tcW w:w="4179" w:type="dxa"/>
            <w:gridSpan w:val="4"/>
            <w:vAlign w:val="center"/>
          </w:tcPr>
          <w:p w14:paraId="30517DC5">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落实后</w:t>
            </w:r>
          </w:p>
        </w:tc>
      </w:tr>
      <w:tr w14:paraId="79B2B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753" w:type="dxa"/>
            <w:vMerge w:val="continue"/>
            <w:textDirection w:val="tbRlV"/>
            <w:vAlign w:val="center"/>
          </w:tcPr>
          <w:p w14:paraId="1E0AE484">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p>
        </w:tc>
        <w:tc>
          <w:tcPr>
            <w:tcW w:w="1088" w:type="dxa"/>
            <w:vMerge w:val="continue"/>
            <w:vAlign w:val="center"/>
          </w:tcPr>
          <w:p w14:paraId="4F980137">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p>
        </w:tc>
        <w:tc>
          <w:tcPr>
            <w:tcW w:w="1898" w:type="dxa"/>
            <w:vMerge w:val="continue"/>
            <w:tcBorders>
              <w:right w:val="single" w:color="auto" w:sz="4" w:space="0"/>
            </w:tcBorders>
            <w:textDirection w:val="tbRlV"/>
            <w:vAlign w:val="center"/>
          </w:tcPr>
          <w:p w14:paraId="7BE8DF98">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p>
        </w:tc>
        <w:tc>
          <w:tcPr>
            <w:tcW w:w="1973" w:type="dxa"/>
            <w:gridSpan w:val="2"/>
            <w:tcBorders>
              <w:top w:val="single" w:color="auto" w:sz="4" w:space="0"/>
              <w:left w:val="single" w:color="auto" w:sz="4" w:space="0"/>
              <w:bottom w:val="single" w:color="auto" w:sz="4" w:space="0"/>
              <w:right w:val="single" w:color="auto" w:sz="4" w:space="0"/>
            </w:tcBorders>
            <w:vAlign w:val="center"/>
          </w:tcPr>
          <w:p w14:paraId="2787C098">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eastAsia="zh-CN"/>
              </w:rPr>
            </w:pPr>
            <w:r>
              <w:rPr>
                <w:rFonts w:hint="eastAsia"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城镇开发边界</w:t>
            </w: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内</w:t>
            </w:r>
          </w:p>
        </w:tc>
        <w:tc>
          <w:tcPr>
            <w:tcW w:w="2069" w:type="dxa"/>
            <w:gridSpan w:val="2"/>
            <w:tcBorders>
              <w:top w:val="single" w:color="auto" w:sz="4" w:space="0"/>
              <w:left w:val="single" w:color="auto" w:sz="4" w:space="0"/>
              <w:bottom w:val="single" w:color="auto" w:sz="4" w:space="0"/>
              <w:right w:val="single" w:color="auto" w:sz="4" w:space="0"/>
            </w:tcBorders>
            <w:vAlign w:val="center"/>
          </w:tcPr>
          <w:p w14:paraId="519433E6">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城镇开发边界外</w:t>
            </w:r>
          </w:p>
        </w:tc>
        <w:tc>
          <w:tcPr>
            <w:tcW w:w="905" w:type="dxa"/>
            <w:tcBorders>
              <w:left w:val="single" w:color="auto" w:sz="4" w:space="0"/>
            </w:tcBorders>
            <w:vAlign w:val="center"/>
          </w:tcPr>
          <w:p w14:paraId="1E8DAABA">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城镇开发边界内</w:t>
            </w:r>
          </w:p>
        </w:tc>
        <w:tc>
          <w:tcPr>
            <w:tcW w:w="1833" w:type="dxa"/>
            <w:gridSpan w:val="2"/>
            <w:tcBorders>
              <w:left w:val="single" w:color="auto" w:sz="4" w:space="0"/>
            </w:tcBorders>
            <w:vAlign w:val="center"/>
          </w:tcPr>
          <w:p w14:paraId="74B6F008">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城镇开发边界外</w:t>
            </w:r>
          </w:p>
        </w:tc>
        <w:tc>
          <w:tcPr>
            <w:tcW w:w="2121" w:type="dxa"/>
            <w:gridSpan w:val="2"/>
            <w:vAlign w:val="center"/>
          </w:tcPr>
          <w:p w14:paraId="6BEBFD15">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城镇开发边界内</w:t>
            </w:r>
          </w:p>
        </w:tc>
        <w:tc>
          <w:tcPr>
            <w:tcW w:w="2058" w:type="dxa"/>
            <w:gridSpan w:val="2"/>
            <w:vAlign w:val="center"/>
          </w:tcPr>
          <w:p w14:paraId="5C384D7F">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城镇开发边界外</w:t>
            </w:r>
          </w:p>
        </w:tc>
      </w:tr>
      <w:tr w14:paraId="79DF1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1" w:hRule="atLeast"/>
        </w:trPr>
        <w:tc>
          <w:tcPr>
            <w:tcW w:w="753" w:type="dxa"/>
            <w:vMerge w:val="continue"/>
            <w:textDirection w:val="tbRlV"/>
            <w:vAlign w:val="center"/>
          </w:tcPr>
          <w:p w14:paraId="780AA889">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p>
        </w:tc>
        <w:tc>
          <w:tcPr>
            <w:tcW w:w="1088" w:type="dxa"/>
            <w:vMerge w:val="continue"/>
            <w:vAlign w:val="center"/>
          </w:tcPr>
          <w:p w14:paraId="4F7EF6D9">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p>
        </w:tc>
        <w:tc>
          <w:tcPr>
            <w:tcW w:w="1898" w:type="dxa"/>
            <w:vMerge w:val="continue"/>
            <w:tcBorders>
              <w:right w:val="single" w:color="auto" w:sz="4" w:space="0"/>
            </w:tcBorders>
            <w:textDirection w:val="tbRlV"/>
            <w:vAlign w:val="center"/>
          </w:tcPr>
          <w:p w14:paraId="6794D6C2">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p>
        </w:tc>
        <w:tc>
          <w:tcPr>
            <w:tcW w:w="904" w:type="dxa"/>
            <w:tcBorders>
              <w:top w:val="single" w:color="auto" w:sz="4" w:space="0"/>
              <w:left w:val="single" w:color="auto" w:sz="4" w:space="0"/>
              <w:bottom w:val="single" w:color="auto" w:sz="4" w:space="0"/>
              <w:right w:val="single" w:color="auto" w:sz="4" w:space="0"/>
            </w:tcBorders>
            <w:vAlign w:val="center"/>
          </w:tcPr>
          <w:p w14:paraId="62024E83">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已落实规模</w:t>
            </w:r>
          </w:p>
        </w:tc>
        <w:tc>
          <w:tcPr>
            <w:tcW w:w="1069" w:type="dxa"/>
            <w:tcBorders>
              <w:top w:val="single" w:color="auto" w:sz="4" w:space="0"/>
              <w:left w:val="single" w:color="auto" w:sz="4" w:space="0"/>
              <w:bottom w:val="single" w:color="auto" w:sz="4" w:space="0"/>
              <w:right w:val="single" w:color="auto" w:sz="4" w:space="0"/>
            </w:tcBorders>
            <w:vAlign w:val="center"/>
          </w:tcPr>
          <w:p w14:paraId="4D55230A">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剩余可落实规模</w:t>
            </w:r>
          </w:p>
        </w:tc>
        <w:tc>
          <w:tcPr>
            <w:tcW w:w="997" w:type="dxa"/>
            <w:tcBorders>
              <w:top w:val="single" w:color="auto" w:sz="4" w:space="0"/>
              <w:left w:val="single" w:color="auto" w:sz="4" w:space="0"/>
              <w:bottom w:val="single" w:color="auto" w:sz="4" w:space="0"/>
              <w:right w:val="single" w:color="auto" w:sz="4" w:space="0"/>
            </w:tcBorders>
            <w:vAlign w:val="center"/>
          </w:tcPr>
          <w:p w14:paraId="6C5BC448">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已落实规模</w:t>
            </w:r>
          </w:p>
        </w:tc>
        <w:tc>
          <w:tcPr>
            <w:tcW w:w="1072" w:type="dxa"/>
            <w:tcBorders>
              <w:top w:val="single" w:color="auto" w:sz="4" w:space="0"/>
              <w:left w:val="single" w:color="auto" w:sz="4" w:space="0"/>
              <w:bottom w:val="single" w:color="auto" w:sz="4" w:space="0"/>
              <w:right w:val="single" w:color="auto" w:sz="4" w:space="0"/>
            </w:tcBorders>
            <w:vAlign w:val="center"/>
          </w:tcPr>
          <w:p w14:paraId="7C62A277">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剩余可落实规模</w:t>
            </w:r>
          </w:p>
        </w:tc>
        <w:tc>
          <w:tcPr>
            <w:tcW w:w="905" w:type="dxa"/>
            <w:tcBorders>
              <w:left w:val="single" w:color="auto" w:sz="4" w:space="0"/>
            </w:tcBorders>
            <w:vAlign w:val="center"/>
          </w:tcPr>
          <w:p w14:paraId="1C1EB05E">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拟落实规模</w:t>
            </w:r>
          </w:p>
        </w:tc>
        <w:tc>
          <w:tcPr>
            <w:tcW w:w="1117" w:type="dxa"/>
            <w:vAlign w:val="center"/>
          </w:tcPr>
          <w:p w14:paraId="7A907F60">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拟落实/置换调入布局规模</w:t>
            </w:r>
          </w:p>
        </w:tc>
        <w:tc>
          <w:tcPr>
            <w:tcW w:w="716" w:type="dxa"/>
            <w:vAlign w:val="center"/>
          </w:tcPr>
          <w:p w14:paraId="2E421926">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sz w:val="21"/>
                <w:szCs w:val="21"/>
                <w:lang w:val="en-US" w:eastAsia="zh-CN"/>
                <w14:textOutline w14:w="3289" w14:cap="flat" w14:cmpd="sng" w14:algn="ctr">
                  <w14:solidFill>
                    <w14:srgbClr w14:val="000000"/>
                  </w14:solidFill>
                  <w14:prstDash w14:val="solid"/>
                  <w14:miter w14:val="0"/>
                </w14:textOutline>
              </w:rPr>
              <w:t>拟置换调出规模</w:t>
            </w:r>
          </w:p>
        </w:tc>
        <w:tc>
          <w:tcPr>
            <w:tcW w:w="1053" w:type="dxa"/>
            <w:vAlign w:val="center"/>
          </w:tcPr>
          <w:p w14:paraId="61D33BA6">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累积落实规模</w:t>
            </w:r>
          </w:p>
        </w:tc>
        <w:tc>
          <w:tcPr>
            <w:tcW w:w="1068" w:type="dxa"/>
            <w:vAlign w:val="center"/>
          </w:tcPr>
          <w:p w14:paraId="7825DEE4">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剩余可落实规模</w:t>
            </w:r>
          </w:p>
        </w:tc>
        <w:tc>
          <w:tcPr>
            <w:tcW w:w="990" w:type="dxa"/>
            <w:vAlign w:val="center"/>
          </w:tcPr>
          <w:p w14:paraId="73FB00D6">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累积落实规模</w:t>
            </w:r>
          </w:p>
        </w:tc>
        <w:tc>
          <w:tcPr>
            <w:tcW w:w="1068" w:type="dxa"/>
            <w:tcBorders>
              <w:bottom w:val="single" w:color="auto" w:sz="4" w:space="0"/>
            </w:tcBorders>
            <w:vAlign w:val="center"/>
          </w:tcPr>
          <w:p w14:paraId="2866CAEA">
            <w:pPr>
              <w:pStyle w:val="2"/>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剩余可落实规模</w:t>
            </w:r>
          </w:p>
        </w:tc>
      </w:tr>
      <w:tr w14:paraId="2410E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753" w:type="dxa"/>
            <w:tcBorders>
              <w:left w:val="single" w:color="auto" w:sz="4" w:space="0"/>
            </w:tcBorders>
            <w:vAlign w:val="center"/>
          </w:tcPr>
          <w:p w14:paraId="14E4E693">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栏1</w:t>
            </w:r>
          </w:p>
        </w:tc>
        <w:tc>
          <w:tcPr>
            <w:tcW w:w="1088" w:type="dxa"/>
            <w:shd w:val="clear" w:color="auto" w:fill="auto"/>
            <w:vAlign w:val="center"/>
          </w:tcPr>
          <w:p w14:paraId="757A3382">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栏2</w:t>
            </w:r>
          </w:p>
        </w:tc>
        <w:tc>
          <w:tcPr>
            <w:tcW w:w="1898" w:type="dxa"/>
            <w:shd w:val="clear" w:color="auto" w:fill="auto"/>
            <w:vAlign w:val="center"/>
          </w:tcPr>
          <w:p w14:paraId="4ABD89C2">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栏3</w:t>
            </w:r>
          </w:p>
        </w:tc>
        <w:tc>
          <w:tcPr>
            <w:tcW w:w="904" w:type="dxa"/>
            <w:shd w:val="clear" w:color="auto" w:fill="auto"/>
            <w:vAlign w:val="center"/>
          </w:tcPr>
          <w:p w14:paraId="78EC150C">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栏4</w:t>
            </w:r>
          </w:p>
        </w:tc>
        <w:tc>
          <w:tcPr>
            <w:tcW w:w="1069" w:type="dxa"/>
            <w:shd w:val="clear" w:color="auto" w:fill="auto"/>
            <w:vAlign w:val="center"/>
          </w:tcPr>
          <w:p w14:paraId="19789198">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栏5</w:t>
            </w:r>
          </w:p>
        </w:tc>
        <w:tc>
          <w:tcPr>
            <w:tcW w:w="997" w:type="dxa"/>
            <w:shd w:val="clear" w:color="auto" w:fill="auto"/>
            <w:vAlign w:val="center"/>
          </w:tcPr>
          <w:p w14:paraId="6DA45B8E">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leftChars="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栏6</w:t>
            </w:r>
          </w:p>
        </w:tc>
        <w:tc>
          <w:tcPr>
            <w:tcW w:w="1072" w:type="dxa"/>
            <w:shd w:val="clear" w:color="auto" w:fill="auto"/>
            <w:vAlign w:val="center"/>
          </w:tcPr>
          <w:p w14:paraId="3FDF7CF1">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leftChars="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栏7</w:t>
            </w:r>
          </w:p>
        </w:tc>
        <w:tc>
          <w:tcPr>
            <w:tcW w:w="905" w:type="dxa"/>
            <w:shd w:val="clear" w:color="auto" w:fill="auto"/>
            <w:vAlign w:val="center"/>
          </w:tcPr>
          <w:p w14:paraId="491E5B31">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栏8</w:t>
            </w:r>
          </w:p>
        </w:tc>
        <w:tc>
          <w:tcPr>
            <w:tcW w:w="1117" w:type="dxa"/>
            <w:shd w:val="clear" w:color="auto" w:fill="auto"/>
            <w:vAlign w:val="center"/>
          </w:tcPr>
          <w:p w14:paraId="1ED426C7">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栏9</w:t>
            </w:r>
          </w:p>
        </w:tc>
        <w:tc>
          <w:tcPr>
            <w:tcW w:w="716" w:type="dxa"/>
            <w:shd w:val="clear" w:color="auto" w:fill="auto"/>
            <w:vAlign w:val="center"/>
          </w:tcPr>
          <w:p w14:paraId="377B21EC">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栏10</w:t>
            </w:r>
          </w:p>
        </w:tc>
        <w:tc>
          <w:tcPr>
            <w:tcW w:w="1053" w:type="dxa"/>
            <w:shd w:val="clear" w:color="auto" w:fill="auto"/>
            <w:vAlign w:val="center"/>
          </w:tcPr>
          <w:p w14:paraId="5CF7E42F">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栏11</w:t>
            </w:r>
          </w:p>
        </w:tc>
        <w:tc>
          <w:tcPr>
            <w:tcW w:w="1068" w:type="dxa"/>
            <w:shd w:val="clear" w:color="auto" w:fill="auto"/>
            <w:vAlign w:val="center"/>
          </w:tcPr>
          <w:p w14:paraId="3980995A">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栏12</w:t>
            </w:r>
          </w:p>
        </w:tc>
        <w:tc>
          <w:tcPr>
            <w:tcW w:w="990" w:type="dxa"/>
            <w:shd w:val="clear" w:color="auto" w:fill="auto"/>
            <w:vAlign w:val="center"/>
          </w:tcPr>
          <w:p w14:paraId="4311EFD5">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eastAsia="zh-CN"/>
              </w:rPr>
              <w:t>栏13</w:t>
            </w:r>
          </w:p>
        </w:tc>
        <w:tc>
          <w:tcPr>
            <w:tcW w:w="1068" w:type="dxa"/>
            <w:shd w:val="clear" w:color="auto" w:fill="auto"/>
            <w:vAlign w:val="center"/>
          </w:tcPr>
          <w:p w14:paraId="0E49A720">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eastAsia="zh-CN"/>
              </w:rPr>
              <w:t>栏14</w:t>
            </w:r>
          </w:p>
        </w:tc>
      </w:tr>
      <w:tr w14:paraId="4B627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753" w:type="dxa"/>
            <w:tcBorders>
              <w:left w:val="single" w:color="auto" w:sz="4" w:space="0"/>
            </w:tcBorders>
            <w:vAlign w:val="center"/>
          </w:tcPr>
          <w:p w14:paraId="21D43A76">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lang w:val="en-US" w:eastAsia="zh-CN"/>
              </w:rPr>
              <w:t>南雄市</w:t>
            </w:r>
          </w:p>
        </w:tc>
        <w:tc>
          <w:tcPr>
            <w:tcW w:w="1088" w:type="dxa"/>
            <w:shd w:val="clear" w:color="auto" w:fill="auto"/>
            <w:vAlign w:val="center"/>
          </w:tcPr>
          <w:p w14:paraId="18E453B6">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lang w:val="en-US" w:eastAsia="zh-CN"/>
              </w:rPr>
              <w:t>3306.47</w:t>
            </w:r>
            <w:r>
              <w:rPr>
                <w:rFonts w:hint="eastAsia" w:ascii="Times New Roman" w:hAnsi="Times New Roman" w:eastAsia="仿宋_GB2312" w:cs="Times New Roman"/>
                <w:spacing w:val="0"/>
                <w:sz w:val="21"/>
                <w:szCs w:val="21"/>
                <w:highlight w:val="none"/>
                <w:lang w:val="en-US" w:eastAsia="zh-CN"/>
              </w:rPr>
              <w:t>43</w:t>
            </w:r>
          </w:p>
        </w:tc>
        <w:tc>
          <w:tcPr>
            <w:tcW w:w="1898" w:type="dxa"/>
            <w:shd w:val="clear" w:color="auto" w:fill="auto"/>
            <w:vAlign w:val="center"/>
          </w:tcPr>
          <w:p w14:paraId="0CCAC7DC">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172.9623</w:t>
            </w:r>
          </w:p>
        </w:tc>
        <w:tc>
          <w:tcPr>
            <w:tcW w:w="904" w:type="dxa"/>
            <w:shd w:val="clear" w:color="auto" w:fill="auto"/>
            <w:vAlign w:val="center"/>
          </w:tcPr>
          <w:p w14:paraId="70D76056">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3306.4723</w:t>
            </w:r>
          </w:p>
        </w:tc>
        <w:tc>
          <w:tcPr>
            <w:tcW w:w="1069" w:type="dxa"/>
            <w:shd w:val="clear" w:color="auto" w:fill="auto"/>
            <w:vAlign w:val="center"/>
          </w:tcPr>
          <w:p w14:paraId="47F962E3">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0.0020</w:t>
            </w:r>
          </w:p>
        </w:tc>
        <w:tc>
          <w:tcPr>
            <w:tcW w:w="997" w:type="dxa"/>
            <w:shd w:val="clear" w:color="auto" w:fill="auto"/>
            <w:vAlign w:val="center"/>
          </w:tcPr>
          <w:p w14:paraId="78D621CE">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zCs w:val="21"/>
                <w:highlight w:val="none"/>
                <w:lang w:val="en-US" w:eastAsia="zh-CN"/>
              </w:rPr>
              <w:t>172.2454</w:t>
            </w:r>
          </w:p>
        </w:tc>
        <w:tc>
          <w:tcPr>
            <w:tcW w:w="1072" w:type="dxa"/>
            <w:shd w:val="clear" w:color="auto" w:fill="auto"/>
            <w:vAlign w:val="center"/>
          </w:tcPr>
          <w:p w14:paraId="56063697">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0.7169</w:t>
            </w:r>
          </w:p>
        </w:tc>
        <w:tc>
          <w:tcPr>
            <w:tcW w:w="905" w:type="dxa"/>
            <w:shd w:val="clear" w:color="auto" w:fill="auto"/>
            <w:vAlign w:val="center"/>
          </w:tcPr>
          <w:p w14:paraId="334FA886">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0</w:t>
            </w:r>
          </w:p>
        </w:tc>
        <w:tc>
          <w:tcPr>
            <w:tcW w:w="1117" w:type="dxa"/>
            <w:shd w:val="clear" w:color="auto" w:fill="auto"/>
            <w:vAlign w:val="center"/>
          </w:tcPr>
          <w:p w14:paraId="1CD1CB4C">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1.7995</w:t>
            </w:r>
          </w:p>
        </w:tc>
        <w:tc>
          <w:tcPr>
            <w:tcW w:w="716" w:type="dxa"/>
            <w:shd w:val="clear" w:color="auto" w:fill="auto"/>
            <w:vAlign w:val="center"/>
          </w:tcPr>
          <w:p w14:paraId="227E955D">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3.1110</w:t>
            </w:r>
          </w:p>
        </w:tc>
        <w:tc>
          <w:tcPr>
            <w:tcW w:w="1053" w:type="dxa"/>
            <w:shd w:val="clear" w:color="auto" w:fill="auto"/>
            <w:vAlign w:val="center"/>
          </w:tcPr>
          <w:p w14:paraId="067151A3">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3306.4723</w:t>
            </w:r>
          </w:p>
        </w:tc>
        <w:tc>
          <w:tcPr>
            <w:tcW w:w="1068" w:type="dxa"/>
            <w:shd w:val="clear" w:color="auto" w:fill="auto"/>
            <w:vAlign w:val="center"/>
          </w:tcPr>
          <w:p w14:paraId="628FE441">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0.0020</w:t>
            </w:r>
          </w:p>
        </w:tc>
        <w:tc>
          <w:tcPr>
            <w:tcW w:w="990" w:type="dxa"/>
            <w:shd w:val="clear" w:color="auto" w:fill="auto"/>
            <w:vAlign w:val="center"/>
          </w:tcPr>
          <w:p w14:paraId="7E84FCB3">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170.9339</w:t>
            </w:r>
          </w:p>
        </w:tc>
        <w:tc>
          <w:tcPr>
            <w:tcW w:w="1068" w:type="dxa"/>
            <w:shd w:val="clear" w:color="auto" w:fill="auto"/>
            <w:vAlign w:val="center"/>
          </w:tcPr>
          <w:p w14:paraId="63D083A8">
            <w:pPr>
              <w:pStyle w:val="5"/>
              <w:keepNext w:val="0"/>
              <w:keepLines w:val="0"/>
              <w:pageBreakBefore w:val="0"/>
              <w:widowControl/>
              <w:kinsoku w:val="0"/>
              <w:wordWrap/>
              <w:overflowPunct/>
              <w:topLinePunct w:val="0"/>
              <w:autoSpaceDE w:val="0"/>
              <w:autoSpaceDN w:val="0"/>
              <w:bidi w:val="0"/>
              <w:adjustRightInd w:val="0"/>
              <w:snapToGrid w:val="0"/>
              <w:spacing w:beforeAutospacing="0" w:afterAutospacing="0"/>
              <w:ind w:left="0" w:right="0"/>
              <w:jc w:val="center"/>
              <w:textAlignment w:val="baseline"/>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2.0285</w:t>
            </w:r>
          </w:p>
        </w:tc>
      </w:tr>
    </w:tbl>
    <w:p w14:paraId="3D4B9977">
      <w:pPr>
        <w:spacing w:line="26" w:lineRule="exact"/>
        <w:rPr>
          <w:highlight w:val="yellow"/>
        </w:rPr>
      </w:pPr>
    </w:p>
    <w:p w14:paraId="2FB95B7E">
      <w:pPr>
        <w:spacing w:before="120" w:line="219" w:lineRule="auto"/>
        <w:ind w:left="28"/>
        <w:rPr>
          <w:rFonts w:hint="eastAsia" w:ascii="仿宋" w:hAnsi="仿宋" w:eastAsia="仿宋" w:cs="仿宋"/>
          <w:spacing w:val="-8"/>
          <w:sz w:val="21"/>
          <w:szCs w:val="21"/>
          <w:highlight w:val="none"/>
        </w:rPr>
      </w:pPr>
      <w:r>
        <w:rPr>
          <w:rFonts w:hint="eastAsia" w:ascii="仿宋" w:hAnsi="仿宋" w:eastAsia="仿宋" w:cs="仿宋"/>
          <w:spacing w:val="-8"/>
          <w:sz w:val="21"/>
          <w:szCs w:val="21"/>
          <w:highlight w:val="none"/>
        </w:rPr>
        <w:t>注： 1.</w:t>
      </w:r>
      <w:r>
        <w:rPr>
          <w:rFonts w:hint="eastAsia" w:ascii="仿宋" w:hAnsi="仿宋" w:eastAsia="仿宋" w:cs="仿宋"/>
          <w:spacing w:val="-8"/>
          <w:sz w:val="21"/>
          <w:szCs w:val="21"/>
          <w:highlight w:val="none"/>
          <w:lang w:val="en-US" w:eastAsia="zh-CN"/>
        </w:rPr>
        <w:t>栏2=栏4+栏5=栏11+栏12；</w:t>
      </w:r>
    </w:p>
    <w:p w14:paraId="6DD38B27">
      <w:pPr>
        <w:spacing w:line="218" w:lineRule="auto"/>
        <w:ind w:left="30"/>
        <w:rPr>
          <w:rFonts w:hint="eastAsia" w:ascii="仿宋" w:hAnsi="仿宋" w:eastAsia="仿宋" w:cs="仿宋"/>
          <w:spacing w:val="-8"/>
          <w:sz w:val="21"/>
          <w:szCs w:val="21"/>
        </w:rPr>
      </w:pPr>
      <w:r>
        <w:rPr>
          <w:rFonts w:hint="eastAsia" w:ascii="仿宋" w:hAnsi="仿宋" w:eastAsia="仿宋" w:cs="仿宋"/>
          <w:spacing w:val="-8"/>
          <w:sz w:val="21"/>
          <w:szCs w:val="21"/>
        </w:rPr>
        <w:t>2.</w:t>
      </w:r>
      <w:r>
        <w:rPr>
          <w:rFonts w:hint="eastAsia" w:ascii="仿宋" w:hAnsi="仿宋" w:eastAsia="仿宋" w:cs="仿宋"/>
          <w:spacing w:val="-8"/>
          <w:sz w:val="21"/>
          <w:szCs w:val="21"/>
          <w:lang w:val="en-US" w:eastAsia="zh-CN"/>
        </w:rPr>
        <w:t>栏3=栏6+栏7=栏13+栏14；</w:t>
      </w:r>
    </w:p>
    <w:p w14:paraId="2E64FCC9">
      <w:pPr>
        <w:spacing w:line="218" w:lineRule="auto"/>
        <w:ind w:left="30"/>
        <w:rPr>
          <w:rFonts w:hint="eastAsia" w:ascii="仿宋" w:hAnsi="仿宋" w:eastAsia="仿宋" w:cs="仿宋"/>
          <w:spacing w:val="-8"/>
          <w:sz w:val="21"/>
          <w:szCs w:val="21"/>
        </w:rPr>
      </w:pPr>
      <w:r>
        <w:rPr>
          <w:rFonts w:hint="eastAsia" w:ascii="仿宋" w:hAnsi="仿宋" w:eastAsia="仿宋" w:cs="仿宋"/>
          <w:spacing w:val="-8"/>
          <w:sz w:val="21"/>
          <w:szCs w:val="21"/>
        </w:rPr>
        <w:t>3.</w:t>
      </w:r>
      <w:r>
        <w:rPr>
          <w:rFonts w:hint="eastAsia" w:ascii="仿宋" w:hAnsi="仿宋" w:eastAsia="仿宋" w:cs="仿宋"/>
          <w:spacing w:val="-8"/>
          <w:sz w:val="21"/>
          <w:szCs w:val="21"/>
          <w:lang w:val="en-US" w:eastAsia="zh-CN"/>
        </w:rPr>
        <w:t>栏11=栏4+栏8；</w:t>
      </w:r>
    </w:p>
    <w:p w14:paraId="1BC875E1">
      <w:pPr>
        <w:spacing w:line="218" w:lineRule="auto"/>
        <w:ind w:left="30"/>
        <w:rPr>
          <w:rFonts w:hint="eastAsia" w:ascii="仿宋" w:hAnsi="仿宋" w:eastAsia="仿宋" w:cs="仿宋"/>
          <w:spacing w:val="-8"/>
          <w:sz w:val="21"/>
          <w:szCs w:val="21"/>
        </w:rPr>
      </w:pPr>
      <w:r>
        <w:rPr>
          <w:rFonts w:hint="eastAsia" w:ascii="仿宋" w:hAnsi="仿宋" w:eastAsia="仿宋" w:cs="仿宋"/>
          <w:spacing w:val="-8"/>
          <w:sz w:val="21"/>
          <w:szCs w:val="21"/>
        </w:rPr>
        <w:t>4.</w:t>
      </w:r>
      <w:r>
        <w:rPr>
          <w:rFonts w:hint="eastAsia" w:ascii="仿宋" w:hAnsi="仿宋" w:eastAsia="仿宋" w:cs="仿宋"/>
          <w:spacing w:val="-8"/>
          <w:sz w:val="21"/>
          <w:szCs w:val="21"/>
          <w:lang w:val="en-US" w:eastAsia="zh-CN"/>
        </w:rPr>
        <w:t>栏13=栏6+栏9-栏10；</w:t>
      </w:r>
    </w:p>
    <w:p w14:paraId="02127CC4">
      <w:pPr>
        <w:spacing w:line="218" w:lineRule="auto"/>
        <w:ind w:left="30"/>
        <w:rPr>
          <w:rFonts w:hint="eastAsia" w:ascii="仿宋" w:hAnsi="仿宋" w:eastAsia="仿宋" w:cs="仿宋"/>
          <w:spacing w:val="-8"/>
          <w:sz w:val="21"/>
          <w:szCs w:val="21"/>
        </w:rPr>
      </w:pPr>
      <w:r>
        <w:rPr>
          <w:rFonts w:hint="eastAsia" w:ascii="仿宋" w:hAnsi="仿宋" w:eastAsia="仿宋" w:cs="仿宋"/>
          <w:spacing w:val="-8"/>
          <w:sz w:val="21"/>
          <w:szCs w:val="21"/>
        </w:rPr>
        <w:t>5.</w:t>
      </w:r>
      <w:r>
        <w:rPr>
          <w:rFonts w:hint="eastAsia" w:ascii="仿宋" w:hAnsi="仿宋" w:eastAsia="仿宋" w:cs="仿宋"/>
          <w:spacing w:val="-8"/>
          <w:sz w:val="21"/>
          <w:szCs w:val="21"/>
          <w:lang w:val="en-US" w:eastAsia="zh-CN"/>
        </w:rPr>
        <w:t>栏3指城镇开发边界划定时城镇开发边界内2020年非建设用地面积的20%，具体以省国土空间规划“一张图”实施监督信息系统台账数据为准；</w:t>
      </w:r>
    </w:p>
    <w:p w14:paraId="1B0FB26F">
      <w:pPr>
        <w:spacing w:line="218" w:lineRule="auto"/>
        <w:ind w:left="30"/>
        <w:rPr>
          <w:rFonts w:hint="eastAsia" w:ascii="仿宋" w:hAnsi="仿宋" w:eastAsia="仿宋" w:cs="仿宋"/>
          <w:spacing w:val="-8"/>
          <w:sz w:val="21"/>
          <w:szCs w:val="21"/>
        </w:rPr>
      </w:pPr>
      <w:r>
        <w:rPr>
          <w:rFonts w:hint="eastAsia" w:ascii="仿宋" w:hAnsi="仿宋" w:eastAsia="仿宋" w:cs="仿宋"/>
          <w:spacing w:val="-8"/>
          <w:sz w:val="21"/>
          <w:szCs w:val="21"/>
        </w:rPr>
        <w:t>6.</w:t>
      </w:r>
      <w:r>
        <w:rPr>
          <w:rFonts w:hint="eastAsia" w:ascii="仿宋" w:hAnsi="仿宋" w:eastAsia="仿宋" w:cs="仿宋"/>
          <w:spacing w:val="-8"/>
          <w:sz w:val="21"/>
          <w:szCs w:val="21"/>
          <w:lang w:val="en-US" w:eastAsia="zh-CN"/>
        </w:rPr>
        <w:t>栏9当属于城镇开发边界外情形一时，填写拟落实布局规模；当属城镇开发边界外情形二时，填写拟置换调入布局规模；一个方案只能选址一种情形；</w:t>
      </w:r>
    </w:p>
    <w:p w14:paraId="57CA533A">
      <w:pPr>
        <w:spacing w:line="259" w:lineRule="auto"/>
        <w:rPr>
          <w:rFonts w:hint="eastAsia" w:ascii="仿宋" w:hAnsi="仿宋" w:eastAsia="仿宋" w:cs="仿宋"/>
          <w:spacing w:val="-8"/>
          <w:sz w:val="21"/>
          <w:szCs w:val="21"/>
        </w:rPr>
      </w:pPr>
      <w:r>
        <w:rPr>
          <w:rFonts w:hint="eastAsia" w:ascii="仿宋" w:hAnsi="仿宋" w:eastAsia="仿宋" w:cs="仿宋"/>
          <w:spacing w:val="-8"/>
          <w:sz w:val="21"/>
          <w:szCs w:val="21"/>
        </w:rPr>
        <w:t>7.</w:t>
      </w:r>
      <w:r>
        <w:rPr>
          <w:rFonts w:hint="eastAsia" w:ascii="仿宋" w:hAnsi="仿宋" w:eastAsia="仿宋" w:cs="仿宋"/>
          <w:spacing w:val="-8"/>
          <w:sz w:val="21"/>
          <w:szCs w:val="21"/>
          <w:lang w:val="en-US" w:eastAsia="zh-CN"/>
        </w:rPr>
        <w:t>本表所涉及的面积统计采用椭球面积计算，单位为公顷，保留四位小数</w:t>
      </w:r>
      <w:r>
        <w:rPr>
          <w:rFonts w:hint="eastAsia" w:ascii="仿宋" w:hAnsi="仿宋" w:eastAsia="仿宋" w:cs="仿宋"/>
          <w:spacing w:val="-8"/>
          <w:sz w:val="21"/>
          <w:szCs w:val="21"/>
        </w:rPr>
        <w:t>。</w:t>
      </w:r>
    </w:p>
    <w:p w14:paraId="2BB28839">
      <w:pPr>
        <w:spacing w:line="259" w:lineRule="auto"/>
      </w:pPr>
    </w:p>
    <w:p w14:paraId="7D80EF47">
      <w:pPr>
        <w:spacing w:line="259" w:lineRule="auto"/>
        <w:sectPr>
          <w:footerReference r:id="rId4" w:type="default"/>
          <w:pgSz w:w="16838" w:h="11906"/>
          <w:pgMar w:top="1011" w:right="1016" w:bottom="1141" w:left="1015" w:header="0" w:footer="942" w:gutter="0"/>
          <w:cols w:space="720" w:num="1"/>
        </w:sectPr>
      </w:pPr>
    </w:p>
    <w:p w14:paraId="6819E68F">
      <w:pPr>
        <w:spacing w:before="62" w:after="120" w:line="222" w:lineRule="auto"/>
        <w:ind w:left="0"/>
        <w:jc w:val="center"/>
        <w:rPr>
          <w:rFonts w:hint="default" w:ascii="黑体" w:hAnsi="黑体" w:eastAsia="黑体" w:cs="黑体"/>
          <w:spacing w:val="18"/>
          <w:sz w:val="28"/>
          <w:szCs w:val="28"/>
        </w:rPr>
      </w:pPr>
      <w:r>
        <w:rPr>
          <w:rFonts w:ascii="黑体" w:hAnsi="黑体" w:eastAsia="黑体" w:cs="黑体"/>
          <w:spacing w:val="18"/>
          <w:sz w:val="28"/>
          <w:szCs w:val="28"/>
        </w:rPr>
        <w:t>表 2</w:t>
      </w:r>
      <w:r>
        <w:rPr>
          <w:rFonts w:hint="default" w:ascii="黑体" w:hAnsi="黑体" w:eastAsia="黑体" w:cs="黑体"/>
          <w:spacing w:val="18"/>
          <w:sz w:val="28"/>
          <w:szCs w:val="28"/>
        </w:rPr>
        <w:t xml:space="preserve"> 韶关市</w:t>
      </w:r>
      <w:r>
        <w:rPr>
          <w:rFonts w:hint="default" w:ascii="黑体" w:hAnsi="黑体" w:eastAsia="黑体" w:cs="黑体"/>
          <w:spacing w:val="18"/>
          <w:sz w:val="28"/>
          <w:szCs w:val="28"/>
          <w:lang w:eastAsia="zh-CN"/>
        </w:rPr>
        <w:t>南雄市</w:t>
      </w:r>
      <w:r>
        <w:rPr>
          <w:rFonts w:ascii="黑体" w:hAnsi="黑体" w:eastAsia="黑体" w:cs="黑体"/>
          <w:spacing w:val="18"/>
          <w:sz w:val="28"/>
          <w:szCs w:val="28"/>
        </w:rPr>
        <w:t>城镇建设用地规模</w:t>
      </w:r>
      <w:bookmarkStart w:id="3" w:name="OLE_LINK55"/>
      <w:bookmarkStart w:id="4" w:name="OLE_LINK54"/>
      <w:r>
        <w:rPr>
          <w:rFonts w:hint="eastAsia" w:ascii="黑体" w:hAnsi="黑体" w:eastAsia="黑体" w:cs="黑体"/>
          <w:spacing w:val="18"/>
          <w:sz w:val="28"/>
          <w:szCs w:val="28"/>
          <w:lang w:eastAsia="zh-CN"/>
        </w:rPr>
        <w:t>（</w:t>
      </w:r>
      <w:r>
        <w:rPr>
          <w:rFonts w:hint="eastAsia" w:ascii="黑体" w:hAnsi="黑体" w:eastAsia="黑体" w:cs="黑体"/>
          <w:spacing w:val="18"/>
          <w:sz w:val="28"/>
          <w:szCs w:val="28"/>
          <w:lang w:val="en-US" w:eastAsia="zh-CN"/>
        </w:rPr>
        <w:t>实际使用</w:t>
      </w:r>
      <w:r>
        <w:rPr>
          <w:rFonts w:hint="eastAsia" w:ascii="黑体" w:hAnsi="黑体" w:eastAsia="黑体" w:cs="黑体"/>
          <w:spacing w:val="18"/>
          <w:sz w:val="28"/>
          <w:szCs w:val="28"/>
          <w:lang w:eastAsia="zh-CN"/>
        </w:rPr>
        <w:t>）</w:t>
      </w:r>
      <w:r>
        <w:rPr>
          <w:rFonts w:ascii="黑体" w:hAnsi="黑体" w:eastAsia="黑体" w:cs="黑体"/>
          <w:spacing w:val="18"/>
          <w:sz w:val="28"/>
          <w:szCs w:val="28"/>
        </w:rPr>
        <w:t>台</w:t>
      </w:r>
      <w:bookmarkEnd w:id="3"/>
      <w:bookmarkEnd w:id="4"/>
      <w:r>
        <w:rPr>
          <w:rFonts w:ascii="黑体" w:hAnsi="黑体" w:eastAsia="黑体" w:cs="黑体"/>
          <w:spacing w:val="18"/>
          <w:sz w:val="28"/>
          <w:szCs w:val="28"/>
        </w:rPr>
        <w:t>账</w:t>
      </w:r>
      <w:r>
        <w:rPr>
          <w:rFonts w:hint="default" w:ascii="黑体" w:hAnsi="黑体" w:eastAsia="黑体" w:cs="黑体"/>
          <w:spacing w:val="18"/>
          <w:sz w:val="28"/>
          <w:szCs w:val="28"/>
          <w:lang w:eastAsia="zh-CN"/>
        </w:rPr>
        <w:t>（</w:t>
      </w:r>
      <w:r>
        <w:rPr>
          <w:rFonts w:ascii="黑体" w:hAnsi="黑体" w:eastAsia="黑体" w:cs="黑体"/>
          <w:spacing w:val="18"/>
          <w:sz w:val="28"/>
          <w:szCs w:val="28"/>
        </w:rPr>
        <w:t>公顷，0.0000</w:t>
      </w:r>
      <w:r>
        <w:rPr>
          <w:rFonts w:hint="default" w:ascii="黑体" w:hAnsi="黑体" w:eastAsia="黑体" w:cs="黑体"/>
          <w:spacing w:val="18"/>
          <w:sz w:val="28"/>
          <w:szCs w:val="28"/>
          <w:lang w:eastAsia="zh-CN"/>
        </w:rPr>
        <w:t>）</w:t>
      </w:r>
    </w:p>
    <w:p w14:paraId="68EE8546">
      <w:pPr>
        <w:spacing w:line="26" w:lineRule="exact"/>
      </w:pPr>
    </w:p>
    <w:tbl>
      <w:tblPr>
        <w:tblStyle w:val="15"/>
        <w:tblW w:w="1481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21"/>
        <w:gridCol w:w="1095"/>
        <w:gridCol w:w="2384"/>
        <w:gridCol w:w="1944"/>
        <w:gridCol w:w="1944"/>
        <w:gridCol w:w="1229"/>
        <w:gridCol w:w="1167"/>
        <w:gridCol w:w="2274"/>
        <w:gridCol w:w="2052"/>
      </w:tblGrid>
      <w:tr w14:paraId="35950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721" w:type="dxa"/>
            <w:vMerge w:val="restart"/>
            <w:tcBorders>
              <w:bottom w:val="nil"/>
            </w:tcBorders>
            <w:vAlign w:val="center"/>
          </w:tcPr>
          <w:p w14:paraId="2B727C23">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行政区</w:t>
            </w:r>
          </w:p>
        </w:tc>
        <w:tc>
          <w:tcPr>
            <w:tcW w:w="1094" w:type="dxa"/>
            <w:vMerge w:val="restart"/>
            <w:tcBorders>
              <w:bottom w:val="nil"/>
            </w:tcBorders>
            <w:vAlign w:val="center"/>
          </w:tcPr>
          <w:p w14:paraId="6AA1C200">
            <w:pPr>
              <w:pStyle w:val="5"/>
              <w:jc w:val="cente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城镇开发边界面积</w:t>
            </w:r>
          </w:p>
        </w:tc>
        <w:tc>
          <w:tcPr>
            <w:tcW w:w="0" w:type="auto"/>
            <w:vMerge w:val="restart"/>
            <w:vAlign w:val="center"/>
          </w:tcPr>
          <w:p w14:paraId="3A4DFAF6">
            <w:pPr>
              <w:pStyle w:val="5"/>
              <w:jc w:val="cente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国土空间总体规划新增城镇建设用地规模</w:t>
            </w:r>
          </w:p>
        </w:tc>
        <w:tc>
          <w:tcPr>
            <w:tcW w:w="10580" w:type="dxa"/>
            <w:gridSpan w:val="6"/>
            <w:vAlign w:val="center"/>
          </w:tcPr>
          <w:p w14:paraId="44D57262">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r>
              <w:rPr>
                <w:rFonts w:hint="eastAsia" w:ascii="Times New Roman" w:hAnsi="Times New Roman" w:eastAsia="仿宋_GB2312" w:cs="Times New Roman"/>
                <w:b/>
                <w:bCs/>
                <w:spacing w:val="0"/>
                <w:position w:val="0"/>
                <w:sz w:val="21"/>
                <w:szCs w:val="21"/>
                <w:lang w:val="en-US" w:eastAsia="zh-CN"/>
                <w14:textOutline w14:w="3289" w14:cap="flat" w14:cmpd="sng" w14:algn="ctr">
                  <w14:solidFill>
                    <w14:srgbClr w14:val="000000"/>
                  </w14:solidFill>
                  <w14:prstDash w14:val="solid"/>
                  <w14:miter w14:val="0"/>
                </w14:textOutline>
              </w:rPr>
              <w:t>截至目前</w:t>
            </w:r>
          </w:p>
        </w:tc>
      </w:tr>
      <w:tr w14:paraId="0BD50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721" w:type="dxa"/>
            <w:vMerge w:val="continue"/>
            <w:tcBorders>
              <w:top w:val="nil"/>
              <w:bottom w:val="nil"/>
            </w:tcBorders>
            <w:vAlign w:val="center"/>
          </w:tcPr>
          <w:p w14:paraId="4573E22E">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p>
        </w:tc>
        <w:tc>
          <w:tcPr>
            <w:tcW w:w="1094" w:type="dxa"/>
            <w:vMerge w:val="continue"/>
            <w:tcBorders>
              <w:top w:val="nil"/>
              <w:bottom w:val="nil"/>
            </w:tcBorders>
            <w:vAlign w:val="center"/>
          </w:tcPr>
          <w:p w14:paraId="4FDFA211">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p>
        </w:tc>
        <w:tc>
          <w:tcPr>
            <w:tcW w:w="0" w:type="auto"/>
            <w:vMerge w:val="continue"/>
            <w:tcBorders>
              <w:right w:val="single" w:color="auto" w:sz="4" w:space="0"/>
            </w:tcBorders>
            <w:vAlign w:val="center"/>
          </w:tcPr>
          <w:p w14:paraId="2452DBB0">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p>
        </w:tc>
        <w:tc>
          <w:tcPr>
            <w:tcW w:w="0" w:type="auto"/>
            <w:gridSpan w:val="2"/>
            <w:tcBorders>
              <w:top w:val="single" w:color="auto" w:sz="4" w:space="0"/>
              <w:left w:val="single" w:color="auto" w:sz="4" w:space="0"/>
              <w:bottom w:val="single" w:color="auto" w:sz="4" w:space="0"/>
              <w:right w:val="single" w:color="auto" w:sz="4" w:space="0"/>
            </w:tcBorders>
            <w:vAlign w:val="center"/>
          </w:tcPr>
          <w:p w14:paraId="328639BB">
            <w:pPr>
              <w:pStyle w:val="5"/>
              <w:jc w:val="cente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城镇开发边界</w:t>
            </w: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内</w:t>
            </w:r>
          </w:p>
        </w:tc>
        <w:tc>
          <w:tcPr>
            <w:tcW w:w="0" w:type="auto"/>
            <w:gridSpan w:val="2"/>
            <w:tcBorders>
              <w:left w:val="single" w:color="auto" w:sz="4" w:space="0"/>
            </w:tcBorders>
            <w:vAlign w:val="center"/>
          </w:tcPr>
          <w:p w14:paraId="66C436C4">
            <w:pPr>
              <w:pStyle w:val="5"/>
              <w:jc w:val="cente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pPr>
            <w:bookmarkStart w:id="5" w:name="OLE_LINK11"/>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城镇开发边界</w:t>
            </w:r>
            <w:bookmarkEnd w:id="5"/>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外</w:t>
            </w:r>
          </w:p>
        </w:tc>
        <w:tc>
          <w:tcPr>
            <w:tcW w:w="0" w:type="auto"/>
            <w:vMerge w:val="restart"/>
            <w:tcBorders>
              <w:bottom w:val="nil"/>
            </w:tcBorders>
            <w:vAlign w:val="center"/>
          </w:tcPr>
          <w:p w14:paraId="45C31A0E">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城镇开发边界</w:t>
            </w: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内</w:t>
            </w:r>
            <w:r>
              <w:rPr>
                <w:rFonts w:hint="eastAsia"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外</w:t>
            </w: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累积</w:t>
            </w: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已</w:t>
            </w: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实际</w:t>
            </w: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使用规模</w:t>
            </w:r>
          </w:p>
        </w:tc>
        <w:tc>
          <w:tcPr>
            <w:tcW w:w="0" w:type="auto"/>
            <w:vMerge w:val="restart"/>
            <w:vAlign w:val="center"/>
          </w:tcPr>
          <w:p w14:paraId="2958271A">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剩余可使用规划城镇建设用地规模</w:t>
            </w:r>
          </w:p>
        </w:tc>
      </w:tr>
      <w:tr w14:paraId="30966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721" w:type="dxa"/>
            <w:vMerge w:val="continue"/>
            <w:tcBorders>
              <w:top w:val="nil"/>
            </w:tcBorders>
            <w:vAlign w:val="center"/>
          </w:tcPr>
          <w:p w14:paraId="04A0D33A">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p>
        </w:tc>
        <w:tc>
          <w:tcPr>
            <w:tcW w:w="1094" w:type="dxa"/>
            <w:vMerge w:val="continue"/>
            <w:tcBorders>
              <w:top w:val="nil"/>
            </w:tcBorders>
            <w:vAlign w:val="center"/>
          </w:tcPr>
          <w:p w14:paraId="38C0F4A0">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p>
        </w:tc>
        <w:tc>
          <w:tcPr>
            <w:tcW w:w="0" w:type="auto"/>
            <w:vMerge w:val="continue"/>
            <w:tcBorders>
              <w:right w:val="single" w:color="auto" w:sz="4" w:space="0"/>
            </w:tcBorders>
            <w:vAlign w:val="center"/>
          </w:tcPr>
          <w:p w14:paraId="417076AB">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p>
        </w:tc>
        <w:tc>
          <w:tcPr>
            <w:tcW w:w="0" w:type="auto"/>
            <w:tcBorders>
              <w:top w:val="single" w:color="auto" w:sz="4" w:space="0"/>
              <w:left w:val="single" w:color="auto" w:sz="4" w:space="0"/>
              <w:bottom w:val="single" w:color="auto" w:sz="4" w:space="0"/>
              <w:right w:val="single" w:color="auto" w:sz="4" w:space="0"/>
            </w:tcBorders>
            <w:vAlign w:val="center"/>
          </w:tcPr>
          <w:p w14:paraId="7B531BF4">
            <w:pPr>
              <w:pStyle w:val="5"/>
              <w:jc w:val="cente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新增空间范围内已实际使用规模</w:t>
            </w:r>
          </w:p>
        </w:tc>
        <w:tc>
          <w:tcPr>
            <w:tcW w:w="0" w:type="auto"/>
            <w:tcBorders>
              <w:top w:val="single" w:color="auto" w:sz="4" w:space="0"/>
              <w:left w:val="single" w:color="auto" w:sz="4" w:space="0"/>
              <w:bottom w:val="single" w:color="auto" w:sz="4" w:space="0"/>
              <w:right w:val="single" w:color="auto" w:sz="4" w:space="0"/>
            </w:tcBorders>
            <w:vAlign w:val="center"/>
          </w:tcPr>
          <w:p w14:paraId="12430044">
            <w:pPr>
              <w:pStyle w:val="5"/>
              <w:jc w:val="cente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新增空间范围内剩余可使用规模</w:t>
            </w:r>
          </w:p>
        </w:tc>
        <w:tc>
          <w:tcPr>
            <w:tcW w:w="0" w:type="auto"/>
            <w:tcBorders>
              <w:left w:val="single" w:color="auto" w:sz="4" w:space="0"/>
            </w:tcBorders>
            <w:vAlign w:val="center"/>
          </w:tcPr>
          <w:p w14:paraId="43CD4AF7">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已使实</w:t>
            </w:r>
            <w:r>
              <w:rPr>
                <w:rFonts w:hint="eastAsia"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际使</w:t>
            </w: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用规模</w:t>
            </w:r>
          </w:p>
        </w:tc>
        <w:tc>
          <w:tcPr>
            <w:tcW w:w="0" w:type="auto"/>
            <w:vAlign w:val="center"/>
          </w:tcPr>
          <w:p w14:paraId="2E2856B8">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剩余可</w:t>
            </w:r>
            <w:r>
              <w:rPr>
                <w:rFonts w:hint="default" w:ascii="Times New Roman" w:hAnsi="Times New Roman" w:eastAsia="仿宋_GB2312" w:cs="Times New Roman"/>
                <w:spacing w:val="0"/>
                <w:position w:val="0"/>
                <w:sz w:val="21"/>
                <w:szCs w:val="21"/>
                <w:lang w:val="en-US" w:eastAsia="zh-CN"/>
                <w14:textOutline w14:w="3289" w14:cap="flat" w14:cmpd="sng" w14:algn="ctr">
                  <w14:solidFill>
                    <w14:srgbClr w14:val="000000"/>
                  </w14:solidFill>
                  <w14:prstDash w14:val="solid"/>
                  <w14:miter w14:val="0"/>
                </w14:textOutline>
              </w:rPr>
              <w:t>使</w:t>
            </w:r>
            <w: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t>用规模</w:t>
            </w:r>
          </w:p>
        </w:tc>
        <w:tc>
          <w:tcPr>
            <w:tcW w:w="0" w:type="auto"/>
            <w:vMerge w:val="continue"/>
            <w:tcBorders>
              <w:top w:val="nil"/>
            </w:tcBorders>
            <w:vAlign w:val="center"/>
          </w:tcPr>
          <w:p w14:paraId="6D44C875">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p>
        </w:tc>
        <w:tc>
          <w:tcPr>
            <w:tcW w:w="0" w:type="auto"/>
            <w:vMerge w:val="continue"/>
            <w:vAlign w:val="center"/>
          </w:tcPr>
          <w:p w14:paraId="476CD8F9">
            <w:pPr>
              <w:pStyle w:val="5"/>
              <w:jc w:val="center"/>
              <w:rPr>
                <w:rFonts w:hint="default" w:ascii="Times New Roman" w:hAnsi="Times New Roman" w:eastAsia="仿宋_GB2312" w:cs="Times New Roman"/>
                <w:spacing w:val="0"/>
                <w:position w:val="0"/>
                <w:sz w:val="21"/>
                <w:szCs w:val="21"/>
                <w:lang w:val="en-US"/>
                <w14:textOutline w14:w="3289" w14:cap="flat" w14:cmpd="sng" w14:algn="ctr">
                  <w14:solidFill>
                    <w14:srgbClr w14:val="000000"/>
                  </w14:solidFill>
                  <w14:prstDash w14:val="solid"/>
                  <w14:miter w14:val="0"/>
                </w14:textOutline>
              </w:rPr>
            </w:pPr>
          </w:p>
        </w:tc>
      </w:tr>
      <w:tr w14:paraId="6A992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721" w:type="dxa"/>
            <w:vAlign w:val="center"/>
          </w:tcPr>
          <w:p w14:paraId="1F2F0B4E">
            <w:pPr>
              <w:pStyle w:val="5"/>
              <w:ind w:left="30"/>
              <w:jc w:val="center"/>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rPr>
              <w:t>栏 1</w:t>
            </w:r>
          </w:p>
        </w:tc>
        <w:tc>
          <w:tcPr>
            <w:tcW w:w="1094" w:type="dxa"/>
            <w:vAlign w:val="center"/>
          </w:tcPr>
          <w:p w14:paraId="7F7452D0">
            <w:pPr>
              <w:pStyle w:val="5"/>
              <w:ind w:left="30"/>
              <w:jc w:val="center"/>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rPr>
              <w:t>栏 2</w:t>
            </w:r>
          </w:p>
        </w:tc>
        <w:tc>
          <w:tcPr>
            <w:tcW w:w="0" w:type="auto"/>
            <w:vAlign w:val="center"/>
          </w:tcPr>
          <w:p w14:paraId="02DA501D">
            <w:pPr>
              <w:pStyle w:val="5"/>
              <w:ind w:left="30"/>
              <w:jc w:val="center"/>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rPr>
              <w:t>栏 3</w:t>
            </w:r>
          </w:p>
        </w:tc>
        <w:tc>
          <w:tcPr>
            <w:tcW w:w="0" w:type="auto"/>
            <w:tcBorders>
              <w:top w:val="single" w:color="auto" w:sz="4" w:space="0"/>
            </w:tcBorders>
            <w:vAlign w:val="center"/>
          </w:tcPr>
          <w:p w14:paraId="293FDD71">
            <w:pPr>
              <w:pStyle w:val="5"/>
              <w:ind w:left="30"/>
              <w:jc w:val="center"/>
              <w:rPr>
                <w:rFonts w:hint="default" w:ascii="Times New Roman" w:hAnsi="Times New Roman" w:eastAsia="仿宋_GB2312" w:cs="Times New Roman"/>
                <w:spacing w:val="0"/>
                <w:sz w:val="21"/>
                <w:szCs w:val="21"/>
                <w:lang w:val="en-US" w:eastAsia="zh-CN"/>
              </w:rPr>
            </w:pPr>
            <w:r>
              <w:rPr>
                <w:rFonts w:hint="default" w:ascii="Times New Roman" w:hAnsi="Times New Roman" w:eastAsia="仿宋_GB2312" w:cs="Times New Roman"/>
                <w:spacing w:val="0"/>
                <w:sz w:val="21"/>
                <w:szCs w:val="21"/>
                <w:lang w:val="en-US"/>
              </w:rPr>
              <w:t xml:space="preserve">栏 </w:t>
            </w:r>
            <w:r>
              <w:rPr>
                <w:rFonts w:hint="default" w:ascii="Times New Roman" w:hAnsi="Times New Roman" w:eastAsia="仿宋_GB2312" w:cs="Times New Roman"/>
                <w:spacing w:val="0"/>
                <w:sz w:val="21"/>
                <w:szCs w:val="21"/>
                <w:lang w:val="en-US" w:eastAsia="zh-CN"/>
              </w:rPr>
              <w:t>4</w:t>
            </w:r>
          </w:p>
        </w:tc>
        <w:tc>
          <w:tcPr>
            <w:tcW w:w="0" w:type="auto"/>
            <w:tcBorders>
              <w:top w:val="single" w:color="auto" w:sz="4" w:space="0"/>
            </w:tcBorders>
            <w:vAlign w:val="center"/>
          </w:tcPr>
          <w:p w14:paraId="7EC04785">
            <w:pPr>
              <w:pStyle w:val="5"/>
              <w:ind w:left="30"/>
              <w:jc w:val="center"/>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rPr>
              <w:t xml:space="preserve">栏 </w:t>
            </w:r>
            <w:r>
              <w:rPr>
                <w:rFonts w:hint="default" w:ascii="Times New Roman" w:hAnsi="Times New Roman" w:eastAsia="仿宋_GB2312" w:cs="Times New Roman"/>
                <w:spacing w:val="0"/>
                <w:sz w:val="21"/>
                <w:szCs w:val="21"/>
                <w:lang w:val="en-US" w:eastAsia="zh-CN"/>
              </w:rPr>
              <w:t>5</w:t>
            </w:r>
          </w:p>
        </w:tc>
        <w:tc>
          <w:tcPr>
            <w:tcW w:w="0" w:type="auto"/>
            <w:vAlign w:val="center"/>
          </w:tcPr>
          <w:p w14:paraId="23A13E01">
            <w:pPr>
              <w:pStyle w:val="5"/>
              <w:ind w:left="30"/>
              <w:jc w:val="center"/>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rPr>
              <w:t>栏 6</w:t>
            </w:r>
          </w:p>
        </w:tc>
        <w:tc>
          <w:tcPr>
            <w:tcW w:w="0" w:type="auto"/>
            <w:vAlign w:val="center"/>
          </w:tcPr>
          <w:p w14:paraId="7D433117">
            <w:pPr>
              <w:pStyle w:val="5"/>
              <w:ind w:left="30"/>
              <w:jc w:val="center"/>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rPr>
              <w:t>栏 7</w:t>
            </w:r>
          </w:p>
        </w:tc>
        <w:tc>
          <w:tcPr>
            <w:tcW w:w="0" w:type="auto"/>
            <w:vAlign w:val="center"/>
          </w:tcPr>
          <w:p w14:paraId="1122B859">
            <w:pPr>
              <w:pStyle w:val="5"/>
              <w:ind w:left="30"/>
              <w:jc w:val="center"/>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rPr>
              <w:t>栏 9</w:t>
            </w:r>
          </w:p>
        </w:tc>
        <w:tc>
          <w:tcPr>
            <w:tcW w:w="0" w:type="auto"/>
            <w:vAlign w:val="center"/>
          </w:tcPr>
          <w:p w14:paraId="669F92F2">
            <w:pPr>
              <w:pStyle w:val="5"/>
              <w:ind w:left="30"/>
              <w:jc w:val="center"/>
              <w:rPr>
                <w:rFonts w:hint="default" w:ascii="Times New Roman" w:hAnsi="Times New Roman" w:eastAsia="仿宋_GB2312" w:cs="Times New Roman"/>
                <w:spacing w:val="0"/>
                <w:sz w:val="21"/>
                <w:szCs w:val="21"/>
                <w:lang w:val="en-US"/>
              </w:rPr>
            </w:pPr>
            <w:r>
              <w:rPr>
                <w:rFonts w:hint="default" w:ascii="Times New Roman" w:hAnsi="Times New Roman" w:eastAsia="仿宋_GB2312" w:cs="Times New Roman"/>
                <w:spacing w:val="0"/>
                <w:sz w:val="21"/>
                <w:szCs w:val="21"/>
                <w:lang w:val="en-US"/>
              </w:rPr>
              <w:t>栏 1</w:t>
            </w:r>
            <w:r>
              <w:rPr>
                <w:rFonts w:hint="default" w:ascii="Times New Roman" w:hAnsi="Times New Roman" w:eastAsia="仿宋_GB2312" w:cs="Times New Roman"/>
                <w:spacing w:val="0"/>
                <w:sz w:val="21"/>
                <w:szCs w:val="21"/>
                <w:lang w:val="en-US" w:eastAsia="zh-CN"/>
              </w:rPr>
              <w:t>0</w:t>
            </w:r>
          </w:p>
        </w:tc>
      </w:tr>
      <w:tr w14:paraId="5A11D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721" w:type="dxa"/>
            <w:vAlign w:val="center"/>
          </w:tcPr>
          <w:p w14:paraId="28AEECE8">
            <w:pPr>
              <w:pStyle w:val="5"/>
              <w:ind w:left="3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lang w:val="en-US" w:eastAsia="zh-CN"/>
              </w:rPr>
              <w:t>南雄市</w:t>
            </w:r>
          </w:p>
        </w:tc>
        <w:tc>
          <w:tcPr>
            <w:tcW w:w="1094" w:type="dxa"/>
            <w:vAlign w:val="center"/>
          </w:tcPr>
          <w:p w14:paraId="3EEBCD09">
            <w:pPr>
              <w:pStyle w:val="5"/>
              <w:ind w:left="30"/>
              <w:jc w:val="center"/>
              <w:rPr>
                <w:rFonts w:hint="default"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pacing w:val="0"/>
                <w:sz w:val="21"/>
                <w:szCs w:val="21"/>
                <w:highlight w:val="none"/>
                <w:lang w:val="en-US" w:eastAsia="zh-CN"/>
              </w:rPr>
              <w:t>3306.47</w:t>
            </w:r>
            <w:r>
              <w:rPr>
                <w:rFonts w:hint="eastAsia" w:ascii="Times New Roman" w:hAnsi="Times New Roman" w:eastAsia="仿宋_GB2312" w:cs="Times New Roman"/>
                <w:spacing w:val="0"/>
                <w:sz w:val="21"/>
                <w:szCs w:val="21"/>
                <w:highlight w:val="none"/>
                <w:lang w:val="en-US" w:eastAsia="zh-CN"/>
              </w:rPr>
              <w:t>43</w:t>
            </w:r>
          </w:p>
        </w:tc>
        <w:tc>
          <w:tcPr>
            <w:tcW w:w="0" w:type="auto"/>
            <w:vAlign w:val="center"/>
          </w:tcPr>
          <w:p w14:paraId="4F9A9DF8">
            <w:pPr>
              <w:pStyle w:val="5"/>
              <w:ind w:left="30"/>
              <w:jc w:val="center"/>
              <w:rPr>
                <w:rFonts w:hint="eastAsia" w:ascii="Times New Roman" w:hAnsi="Times New Roman" w:eastAsia="仿宋_GB2312" w:cs="Times New Roman"/>
                <w:spacing w:val="0"/>
                <w:sz w:val="21"/>
                <w:szCs w:val="21"/>
                <w:highlight w:val="none"/>
                <w:lang w:val="en-US" w:eastAsia="zh-CN"/>
              </w:rPr>
            </w:pPr>
            <w:r>
              <w:rPr>
                <w:rFonts w:hint="default" w:ascii="Times New Roman" w:hAnsi="Times New Roman" w:eastAsia="仿宋_GB2312" w:cs="Times New Roman"/>
                <w:szCs w:val="21"/>
                <w:highlight w:val="none"/>
                <w:lang w:val="en-US"/>
              </w:rPr>
              <w:t>645.667</w:t>
            </w:r>
            <w:r>
              <w:rPr>
                <w:rFonts w:hint="eastAsia" w:ascii="Times New Roman" w:hAnsi="Times New Roman" w:eastAsia="仿宋_GB2312" w:cs="Times New Roman"/>
                <w:szCs w:val="21"/>
                <w:highlight w:val="none"/>
                <w:lang w:val="en-US" w:eastAsia="zh-CN"/>
              </w:rPr>
              <w:t>6</w:t>
            </w:r>
          </w:p>
        </w:tc>
        <w:tc>
          <w:tcPr>
            <w:tcW w:w="0" w:type="auto"/>
            <w:vAlign w:val="center"/>
          </w:tcPr>
          <w:p w14:paraId="5497289D">
            <w:pPr>
              <w:pStyle w:val="5"/>
              <w:ind w:left="30"/>
              <w:jc w:val="center"/>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zCs w:val="21"/>
                <w:highlight w:val="none"/>
                <w:lang w:val="en-US" w:eastAsia="zh-CN"/>
              </w:rPr>
              <w:t>152.9522</w:t>
            </w:r>
          </w:p>
        </w:tc>
        <w:tc>
          <w:tcPr>
            <w:tcW w:w="0" w:type="auto"/>
            <w:vAlign w:val="center"/>
          </w:tcPr>
          <w:p w14:paraId="51C53FEF">
            <w:pPr>
              <w:pStyle w:val="5"/>
              <w:ind w:left="30"/>
              <w:jc w:val="center"/>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zCs w:val="21"/>
                <w:highlight w:val="none"/>
                <w:lang w:val="en-US" w:eastAsia="zh-CN"/>
              </w:rPr>
              <w:t>492.7153</w:t>
            </w:r>
          </w:p>
        </w:tc>
        <w:tc>
          <w:tcPr>
            <w:tcW w:w="0" w:type="auto"/>
            <w:vAlign w:val="center"/>
          </w:tcPr>
          <w:p w14:paraId="6904934F">
            <w:pPr>
              <w:pStyle w:val="5"/>
              <w:ind w:left="30"/>
              <w:jc w:val="center"/>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zCs w:val="21"/>
                <w:highlight w:val="none"/>
                <w:lang w:val="en-US" w:eastAsia="zh-CN"/>
              </w:rPr>
              <w:t>22.7703</w:t>
            </w:r>
          </w:p>
        </w:tc>
        <w:tc>
          <w:tcPr>
            <w:tcW w:w="0" w:type="auto"/>
            <w:vAlign w:val="center"/>
          </w:tcPr>
          <w:p w14:paraId="7B43FEC2">
            <w:pPr>
              <w:pStyle w:val="5"/>
              <w:ind w:left="30"/>
              <w:jc w:val="center"/>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zCs w:val="21"/>
                <w:highlight w:val="none"/>
                <w:lang w:val="en-US" w:eastAsia="zh-CN"/>
              </w:rPr>
              <w:t>106.3632</w:t>
            </w:r>
          </w:p>
        </w:tc>
        <w:tc>
          <w:tcPr>
            <w:tcW w:w="0" w:type="auto"/>
            <w:vAlign w:val="center"/>
          </w:tcPr>
          <w:p w14:paraId="6EEE3DB3">
            <w:pPr>
              <w:pStyle w:val="5"/>
              <w:ind w:left="30"/>
              <w:jc w:val="center"/>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175.7225</w:t>
            </w:r>
          </w:p>
        </w:tc>
        <w:tc>
          <w:tcPr>
            <w:tcW w:w="0" w:type="auto"/>
            <w:vAlign w:val="center"/>
          </w:tcPr>
          <w:p w14:paraId="2D8226A6">
            <w:pPr>
              <w:pStyle w:val="5"/>
              <w:ind w:left="30"/>
              <w:jc w:val="center"/>
              <w:rPr>
                <w:rFonts w:hint="default" w:ascii="Times New Roman" w:hAnsi="Times New Roman" w:eastAsia="仿宋_GB2312" w:cs="Times New Roman"/>
                <w:spacing w:val="0"/>
                <w:sz w:val="21"/>
                <w:szCs w:val="21"/>
                <w:highlight w:val="none"/>
                <w:lang w:val="en-US" w:eastAsia="zh-CN"/>
              </w:rPr>
            </w:pPr>
            <w:r>
              <w:rPr>
                <w:rFonts w:hint="eastAsia" w:ascii="Times New Roman" w:hAnsi="Times New Roman" w:eastAsia="仿宋_GB2312" w:cs="Times New Roman"/>
                <w:spacing w:val="0"/>
                <w:sz w:val="21"/>
                <w:szCs w:val="21"/>
                <w:highlight w:val="none"/>
                <w:lang w:val="en-US" w:eastAsia="zh-CN"/>
              </w:rPr>
              <w:t>469.9451</w:t>
            </w:r>
          </w:p>
        </w:tc>
      </w:tr>
    </w:tbl>
    <w:p w14:paraId="412D7FB2">
      <w:pPr>
        <w:spacing w:before="120" w:line="219" w:lineRule="auto"/>
        <w:ind w:left="28"/>
        <w:rPr>
          <w:rFonts w:hint="eastAsia" w:ascii="仿宋" w:hAnsi="仿宋" w:eastAsia="仿宋" w:cs="仿宋"/>
          <w:spacing w:val="-8"/>
          <w:sz w:val="21"/>
          <w:szCs w:val="21"/>
        </w:rPr>
      </w:pPr>
      <w:r>
        <w:rPr>
          <w:rFonts w:hint="eastAsia" w:ascii="仿宋" w:hAnsi="仿宋" w:eastAsia="仿宋" w:cs="仿宋"/>
          <w:spacing w:val="-8"/>
          <w:sz w:val="21"/>
          <w:szCs w:val="21"/>
        </w:rPr>
        <w:t>注：1.栏</w:t>
      </w:r>
      <w:r>
        <w:rPr>
          <w:rFonts w:hint="eastAsia" w:ascii="仿宋" w:hAnsi="仿宋" w:eastAsia="仿宋" w:cs="仿宋"/>
          <w:spacing w:val="-8"/>
          <w:sz w:val="21"/>
          <w:szCs w:val="21"/>
          <w:lang w:eastAsia="zh-CN"/>
        </w:rPr>
        <w:t>3</w:t>
      </w:r>
      <w:r>
        <w:rPr>
          <w:rFonts w:hint="eastAsia" w:ascii="仿宋" w:hAnsi="仿宋" w:eastAsia="仿宋" w:cs="仿宋"/>
          <w:spacing w:val="-8"/>
          <w:sz w:val="21"/>
          <w:szCs w:val="21"/>
        </w:rPr>
        <w:t>=栏</w:t>
      </w:r>
      <w:r>
        <w:rPr>
          <w:rFonts w:hint="eastAsia" w:ascii="仿宋" w:hAnsi="仿宋" w:eastAsia="仿宋" w:cs="仿宋"/>
          <w:spacing w:val="-8"/>
          <w:sz w:val="21"/>
          <w:szCs w:val="21"/>
          <w:lang w:eastAsia="zh-CN"/>
        </w:rPr>
        <w:t>4+</w:t>
      </w:r>
      <w:r>
        <w:rPr>
          <w:rFonts w:hint="eastAsia" w:ascii="仿宋" w:hAnsi="仿宋" w:eastAsia="仿宋" w:cs="仿宋"/>
          <w:spacing w:val="-8"/>
          <w:sz w:val="21"/>
          <w:szCs w:val="21"/>
        </w:rPr>
        <w:t>栏</w:t>
      </w:r>
      <w:r>
        <w:rPr>
          <w:rFonts w:hint="eastAsia" w:ascii="仿宋" w:hAnsi="仿宋" w:eastAsia="仿宋" w:cs="仿宋"/>
          <w:spacing w:val="-8"/>
          <w:sz w:val="21"/>
          <w:szCs w:val="21"/>
          <w:lang w:eastAsia="zh-CN"/>
        </w:rPr>
        <w:t>5</w:t>
      </w:r>
      <w:r>
        <w:rPr>
          <w:rFonts w:hint="eastAsia" w:ascii="仿宋" w:hAnsi="仿宋" w:eastAsia="仿宋" w:cs="仿宋"/>
          <w:spacing w:val="-8"/>
          <w:sz w:val="21"/>
          <w:szCs w:val="21"/>
        </w:rPr>
        <w:t>；</w:t>
      </w:r>
    </w:p>
    <w:p w14:paraId="5114D84C">
      <w:pPr>
        <w:autoSpaceDE/>
        <w:autoSpaceDN/>
        <w:spacing w:before="0" w:line="219" w:lineRule="auto"/>
        <w:ind w:left="28"/>
        <w:rPr>
          <w:rFonts w:hint="eastAsia" w:ascii="仿宋" w:hAnsi="仿宋" w:eastAsia="仿宋" w:cs="仿宋"/>
          <w:spacing w:val="-8"/>
          <w:sz w:val="21"/>
          <w:szCs w:val="21"/>
        </w:rPr>
      </w:pPr>
      <w:r>
        <w:rPr>
          <w:rFonts w:hint="eastAsia" w:ascii="仿宋" w:hAnsi="仿宋" w:eastAsia="仿宋" w:cs="仿宋"/>
          <w:spacing w:val="-8"/>
          <w:sz w:val="21"/>
          <w:szCs w:val="21"/>
        </w:rPr>
        <w:t>2.栏</w:t>
      </w:r>
      <w:r>
        <w:rPr>
          <w:rFonts w:hint="eastAsia" w:ascii="仿宋" w:hAnsi="仿宋" w:eastAsia="仿宋" w:cs="仿宋"/>
          <w:spacing w:val="-8"/>
          <w:sz w:val="21"/>
          <w:szCs w:val="21"/>
          <w:lang w:eastAsia="zh-CN"/>
        </w:rPr>
        <w:t>7</w:t>
      </w:r>
      <w:r>
        <w:rPr>
          <w:rFonts w:hint="eastAsia" w:ascii="仿宋" w:hAnsi="仿宋" w:eastAsia="仿宋" w:cs="仿宋"/>
          <w:spacing w:val="-8"/>
          <w:sz w:val="21"/>
          <w:szCs w:val="21"/>
        </w:rPr>
        <w:t>=栏</w:t>
      </w:r>
      <w:r>
        <w:rPr>
          <w:rFonts w:hint="eastAsia" w:ascii="仿宋" w:hAnsi="仿宋" w:eastAsia="仿宋" w:cs="仿宋"/>
          <w:spacing w:val="-8"/>
          <w:sz w:val="21"/>
          <w:szCs w:val="21"/>
          <w:lang w:eastAsia="zh-CN"/>
        </w:rPr>
        <w:t>3</w:t>
      </w:r>
      <w:r>
        <w:rPr>
          <w:rFonts w:hint="eastAsia" w:ascii="仿宋" w:hAnsi="仿宋" w:eastAsia="仿宋" w:cs="仿宋"/>
          <w:spacing w:val="-8"/>
          <w:sz w:val="21"/>
          <w:szCs w:val="21"/>
          <w:lang w:val="en-US" w:eastAsia="zh-CN"/>
        </w:rPr>
        <w:t>*20%</w:t>
      </w:r>
      <w:r>
        <w:rPr>
          <w:rFonts w:hint="eastAsia" w:ascii="仿宋" w:hAnsi="仿宋" w:eastAsia="仿宋" w:cs="仿宋"/>
          <w:spacing w:val="-8"/>
          <w:sz w:val="21"/>
          <w:szCs w:val="21"/>
          <w:lang w:eastAsia="zh-CN"/>
        </w:rPr>
        <w:t>-</w:t>
      </w:r>
      <w:r>
        <w:rPr>
          <w:rFonts w:hint="eastAsia" w:ascii="仿宋" w:hAnsi="仿宋" w:eastAsia="仿宋" w:cs="仿宋"/>
          <w:spacing w:val="-8"/>
          <w:sz w:val="21"/>
          <w:szCs w:val="21"/>
        </w:rPr>
        <w:t>栏6；</w:t>
      </w:r>
    </w:p>
    <w:p w14:paraId="7A227111">
      <w:pPr>
        <w:autoSpaceDE/>
        <w:autoSpaceDN/>
        <w:spacing w:before="0" w:line="219" w:lineRule="auto"/>
        <w:ind w:left="28"/>
        <w:rPr>
          <w:rFonts w:hint="eastAsia" w:ascii="仿宋" w:hAnsi="仿宋" w:eastAsia="仿宋" w:cs="仿宋"/>
          <w:spacing w:val="-8"/>
          <w:sz w:val="21"/>
          <w:szCs w:val="21"/>
        </w:rPr>
      </w:pPr>
      <w:r>
        <w:rPr>
          <w:rFonts w:hint="eastAsia" w:ascii="仿宋" w:hAnsi="仿宋" w:eastAsia="仿宋" w:cs="仿宋"/>
          <w:spacing w:val="-8"/>
          <w:sz w:val="21"/>
          <w:szCs w:val="21"/>
        </w:rPr>
        <w:t>3.栏</w:t>
      </w:r>
      <w:r>
        <w:rPr>
          <w:rFonts w:hint="eastAsia" w:ascii="仿宋" w:hAnsi="仿宋" w:eastAsia="仿宋" w:cs="仿宋"/>
          <w:spacing w:val="-8"/>
          <w:sz w:val="21"/>
          <w:szCs w:val="21"/>
          <w:lang w:eastAsia="zh-CN"/>
        </w:rPr>
        <w:t>8</w:t>
      </w:r>
      <w:r>
        <w:rPr>
          <w:rFonts w:hint="eastAsia" w:ascii="仿宋" w:hAnsi="仿宋" w:eastAsia="仿宋" w:cs="仿宋"/>
          <w:spacing w:val="-8"/>
          <w:sz w:val="21"/>
          <w:szCs w:val="21"/>
        </w:rPr>
        <w:t>=栏</w:t>
      </w:r>
      <w:r>
        <w:rPr>
          <w:rFonts w:hint="eastAsia" w:ascii="仿宋" w:hAnsi="仿宋" w:eastAsia="仿宋" w:cs="仿宋"/>
          <w:spacing w:val="-8"/>
          <w:sz w:val="21"/>
          <w:szCs w:val="21"/>
          <w:lang w:eastAsia="zh-CN"/>
        </w:rPr>
        <w:t>4</w:t>
      </w:r>
      <w:r>
        <w:rPr>
          <w:rFonts w:hint="eastAsia" w:ascii="仿宋" w:hAnsi="仿宋" w:eastAsia="仿宋" w:cs="仿宋"/>
          <w:spacing w:val="-8"/>
          <w:sz w:val="21"/>
          <w:szCs w:val="21"/>
          <w:lang w:val="en-US" w:eastAsia="zh-CN"/>
        </w:rPr>
        <w:t>+</w:t>
      </w:r>
      <w:r>
        <w:rPr>
          <w:rFonts w:hint="eastAsia" w:ascii="仿宋" w:hAnsi="仿宋" w:eastAsia="仿宋" w:cs="仿宋"/>
          <w:spacing w:val="-8"/>
          <w:sz w:val="21"/>
          <w:szCs w:val="21"/>
        </w:rPr>
        <w:t>栏</w:t>
      </w:r>
      <w:r>
        <w:rPr>
          <w:rFonts w:hint="eastAsia" w:ascii="仿宋" w:hAnsi="仿宋" w:eastAsia="仿宋" w:cs="仿宋"/>
          <w:spacing w:val="-8"/>
          <w:sz w:val="21"/>
          <w:szCs w:val="21"/>
          <w:lang w:eastAsia="zh-CN"/>
        </w:rPr>
        <w:t>6</w:t>
      </w:r>
      <w:r>
        <w:rPr>
          <w:rFonts w:hint="eastAsia" w:ascii="仿宋" w:hAnsi="仿宋" w:eastAsia="仿宋" w:cs="仿宋"/>
          <w:spacing w:val="-8"/>
          <w:sz w:val="21"/>
          <w:szCs w:val="21"/>
        </w:rPr>
        <w:t>；</w:t>
      </w:r>
    </w:p>
    <w:p w14:paraId="1F6F7457">
      <w:pPr>
        <w:autoSpaceDE/>
        <w:autoSpaceDN/>
        <w:spacing w:before="0" w:line="219" w:lineRule="auto"/>
        <w:ind w:left="28"/>
        <w:rPr>
          <w:rFonts w:hint="eastAsia" w:ascii="仿宋" w:hAnsi="仿宋" w:eastAsia="仿宋" w:cs="仿宋"/>
          <w:spacing w:val="-8"/>
          <w:sz w:val="21"/>
          <w:szCs w:val="21"/>
        </w:rPr>
      </w:pPr>
      <w:r>
        <w:rPr>
          <w:rFonts w:hint="eastAsia" w:ascii="仿宋" w:hAnsi="仿宋" w:eastAsia="仿宋" w:cs="仿宋"/>
          <w:spacing w:val="-8"/>
          <w:sz w:val="21"/>
          <w:szCs w:val="21"/>
        </w:rPr>
        <w:t>4.</w:t>
      </w:r>
      <w:r>
        <w:rPr>
          <w:rFonts w:hint="eastAsia" w:ascii="仿宋" w:hAnsi="仿宋" w:eastAsia="仿宋" w:cs="仿宋"/>
          <w:spacing w:val="-8"/>
          <w:sz w:val="21"/>
          <w:szCs w:val="21"/>
          <w:lang w:eastAsia="zh-CN"/>
        </w:rPr>
        <w:t>栏</w:t>
      </w:r>
      <w:r>
        <w:rPr>
          <w:rFonts w:hint="eastAsia" w:ascii="仿宋" w:hAnsi="仿宋" w:eastAsia="仿宋" w:cs="仿宋"/>
          <w:spacing w:val="-8"/>
          <w:sz w:val="21"/>
          <w:szCs w:val="21"/>
          <w:lang w:val="en-US" w:eastAsia="zh-CN"/>
        </w:rPr>
        <w:t>9=栏3+栏8</w:t>
      </w:r>
      <w:r>
        <w:rPr>
          <w:rFonts w:hint="eastAsia" w:ascii="仿宋" w:hAnsi="仿宋" w:eastAsia="仿宋" w:cs="仿宋"/>
          <w:spacing w:val="-8"/>
          <w:sz w:val="21"/>
          <w:szCs w:val="21"/>
        </w:rPr>
        <w:t>；</w:t>
      </w:r>
    </w:p>
    <w:p w14:paraId="6CC242D3">
      <w:pPr>
        <w:autoSpaceDE/>
        <w:autoSpaceDN/>
        <w:spacing w:before="0" w:line="219" w:lineRule="auto"/>
        <w:ind w:left="28"/>
        <w:rPr>
          <w:rFonts w:hint="eastAsia" w:ascii="仿宋" w:hAnsi="仿宋" w:eastAsia="仿宋" w:cs="仿宋"/>
          <w:spacing w:val="-8"/>
          <w:sz w:val="21"/>
          <w:szCs w:val="21"/>
        </w:rPr>
      </w:pPr>
      <w:r>
        <w:rPr>
          <w:rFonts w:hint="eastAsia" w:ascii="仿宋" w:hAnsi="仿宋" w:eastAsia="仿宋" w:cs="仿宋"/>
          <w:spacing w:val="-8"/>
          <w:sz w:val="21"/>
          <w:szCs w:val="21"/>
        </w:rPr>
        <w:t>5</w:t>
      </w:r>
      <w:r>
        <w:rPr>
          <w:rFonts w:hint="eastAsia" w:ascii="仿宋" w:hAnsi="仿宋" w:eastAsia="仿宋" w:cs="仿宋"/>
          <w:spacing w:val="-8"/>
          <w:sz w:val="21"/>
          <w:szCs w:val="21"/>
          <w:lang w:eastAsia="zh-CN"/>
        </w:rPr>
        <w:t>.</w:t>
      </w:r>
      <w:r>
        <w:rPr>
          <w:rFonts w:hint="eastAsia" w:ascii="仿宋" w:hAnsi="仿宋" w:eastAsia="仿宋" w:cs="仿宋"/>
          <w:spacing w:val="-8"/>
          <w:sz w:val="21"/>
          <w:szCs w:val="21"/>
          <w:lang w:val="en-US" w:eastAsia="zh-CN"/>
        </w:rPr>
        <w:t>栏3指城镇开发边界划定时划定的新增城镇空间范围面积（依据《广东省自然资源厅关于做好城镇开发边界管理的通知（试行）》）</w:t>
      </w:r>
      <w:r>
        <w:rPr>
          <w:rFonts w:hint="eastAsia" w:ascii="仿宋" w:hAnsi="仿宋" w:eastAsia="仿宋" w:cs="仿宋"/>
          <w:spacing w:val="-8"/>
          <w:sz w:val="21"/>
          <w:szCs w:val="21"/>
        </w:rPr>
        <w:t>；</w:t>
      </w:r>
    </w:p>
    <w:p w14:paraId="4CEF2CFB">
      <w:pPr>
        <w:autoSpaceDE/>
        <w:autoSpaceDN/>
        <w:spacing w:before="0" w:line="219" w:lineRule="auto"/>
        <w:ind w:left="28"/>
        <w:rPr>
          <w:rFonts w:hint="eastAsia" w:ascii="仿宋" w:hAnsi="仿宋" w:eastAsia="仿宋" w:cs="仿宋"/>
          <w:spacing w:val="-8"/>
          <w:sz w:val="21"/>
          <w:szCs w:val="21"/>
        </w:rPr>
      </w:pPr>
      <w:r>
        <w:rPr>
          <w:rFonts w:hint="eastAsia" w:ascii="仿宋" w:hAnsi="仿宋" w:eastAsia="仿宋" w:cs="仿宋"/>
          <w:spacing w:val="-8"/>
          <w:sz w:val="21"/>
          <w:szCs w:val="21"/>
        </w:rPr>
        <w:t>6.</w:t>
      </w:r>
      <w:r>
        <w:rPr>
          <w:rFonts w:hint="eastAsia" w:ascii="仿宋" w:hAnsi="仿宋" w:eastAsia="仿宋" w:cs="仿宋"/>
          <w:spacing w:val="-8"/>
          <w:sz w:val="21"/>
          <w:szCs w:val="21"/>
          <w:lang w:eastAsia="zh-CN"/>
        </w:rPr>
        <w:t>栏</w:t>
      </w:r>
      <w:r>
        <w:rPr>
          <w:rFonts w:hint="eastAsia" w:ascii="仿宋" w:hAnsi="仿宋" w:eastAsia="仿宋" w:cs="仿宋"/>
          <w:spacing w:val="-8"/>
          <w:sz w:val="21"/>
          <w:szCs w:val="21"/>
          <w:lang w:val="en-US" w:eastAsia="zh-CN"/>
        </w:rPr>
        <w:t>4指位于城镇开发边界新增空间范围内在最新年度国土变更调查中为现状建设用地的面积</w:t>
      </w:r>
      <w:r>
        <w:rPr>
          <w:rFonts w:hint="eastAsia" w:ascii="仿宋" w:hAnsi="仿宋" w:eastAsia="仿宋" w:cs="仿宋"/>
          <w:spacing w:val="-8"/>
          <w:sz w:val="21"/>
          <w:szCs w:val="21"/>
        </w:rPr>
        <w:t>；</w:t>
      </w:r>
    </w:p>
    <w:p w14:paraId="6B802B8B">
      <w:pPr>
        <w:autoSpaceDE/>
        <w:autoSpaceDN/>
        <w:spacing w:before="0" w:line="219" w:lineRule="auto"/>
        <w:ind w:left="28"/>
        <w:rPr>
          <w:rFonts w:hint="eastAsia" w:ascii="仿宋" w:hAnsi="仿宋" w:eastAsia="仿宋" w:cs="仿宋"/>
          <w:spacing w:val="-8"/>
          <w:sz w:val="21"/>
          <w:szCs w:val="21"/>
        </w:rPr>
      </w:pPr>
      <w:r>
        <w:rPr>
          <w:rFonts w:hint="eastAsia" w:ascii="仿宋" w:hAnsi="仿宋" w:eastAsia="仿宋" w:cs="仿宋"/>
          <w:spacing w:val="-8"/>
          <w:sz w:val="21"/>
          <w:szCs w:val="21"/>
        </w:rPr>
        <w:t>7.</w:t>
      </w:r>
      <w:r>
        <w:rPr>
          <w:rFonts w:hint="eastAsia" w:ascii="仿宋" w:hAnsi="仿宋" w:eastAsia="仿宋" w:cs="仿宋"/>
          <w:spacing w:val="-8"/>
          <w:sz w:val="21"/>
          <w:szCs w:val="21"/>
          <w:lang w:val="en-US" w:eastAsia="zh-CN"/>
        </w:rPr>
        <w:t>栏6指位于城镇开发边界外在最新年度国土变更调查中新增为城镇建设用地的面积</w:t>
      </w:r>
      <w:r>
        <w:rPr>
          <w:rFonts w:hint="eastAsia" w:ascii="仿宋" w:hAnsi="仿宋" w:eastAsia="仿宋" w:cs="仿宋"/>
          <w:spacing w:val="-8"/>
          <w:sz w:val="21"/>
          <w:szCs w:val="21"/>
          <w:lang w:eastAsia="zh-CN"/>
        </w:rPr>
        <w:t>；</w:t>
      </w:r>
    </w:p>
    <w:p w14:paraId="64D3FE37">
      <w:pPr>
        <w:autoSpaceDE/>
        <w:autoSpaceDN/>
        <w:spacing w:before="0" w:line="219" w:lineRule="auto"/>
        <w:ind w:left="28"/>
        <w:rPr>
          <w:rFonts w:hint="default" w:ascii="仿宋" w:hAnsi="仿宋" w:eastAsia="仿宋" w:cs="仿宋"/>
          <w:spacing w:val="-8"/>
          <w:sz w:val="21"/>
          <w:szCs w:val="21"/>
        </w:rPr>
      </w:pPr>
      <w:r>
        <w:rPr>
          <w:rFonts w:hint="eastAsia" w:ascii="仿宋" w:hAnsi="仿宋" w:eastAsia="仿宋" w:cs="仿宋"/>
          <w:spacing w:val="-8"/>
          <w:sz w:val="21"/>
          <w:szCs w:val="21"/>
        </w:rPr>
        <w:t>8.</w:t>
      </w:r>
      <w:r>
        <w:rPr>
          <w:rFonts w:hint="eastAsia" w:ascii="仿宋" w:hAnsi="仿宋" w:eastAsia="仿宋" w:cs="仿宋"/>
          <w:spacing w:val="-8"/>
          <w:sz w:val="21"/>
          <w:szCs w:val="21"/>
          <w:lang w:val="en-US" w:eastAsia="zh-CN"/>
        </w:rPr>
        <w:t>栏4_栏9相关数据建议参考省国土空间规划“一张图”实施监督信息系统数据；</w:t>
      </w:r>
    </w:p>
    <w:p w14:paraId="25BF0DCD">
      <w:pPr>
        <w:autoSpaceDE/>
        <w:autoSpaceDN/>
        <w:spacing w:line="219" w:lineRule="auto"/>
        <w:ind w:left="28"/>
        <w:rPr>
          <w:rFonts w:hint="default" w:ascii="仿宋" w:hAnsi="仿宋" w:eastAsia="仿宋" w:cs="仿宋"/>
          <w:spacing w:val="-8"/>
          <w:lang w:val="en-US" w:eastAsia="zh-CN"/>
        </w:rPr>
      </w:pPr>
      <w:r>
        <w:rPr>
          <w:rFonts w:hint="eastAsia" w:ascii="仿宋" w:hAnsi="仿宋" w:eastAsia="仿宋" w:cs="仿宋"/>
          <w:spacing w:val="-8"/>
          <w:lang w:val="en-US" w:eastAsia="zh-CN"/>
        </w:rPr>
        <w:t>9.本表所涉及的面积统计采用椭球面积计算，单位为公顷，保留四位小数。</w:t>
      </w:r>
    </w:p>
    <w:p w14:paraId="3BCE9E95"/>
    <w:p w14:paraId="6958E5B3"/>
    <w:p w14:paraId="70D0333D"/>
    <w:sectPr>
      <w:pgSz w:w="16838" w:h="11906"/>
      <w:pgMar w:top="1011" w:right="1016" w:bottom="1141" w:left="1015" w:header="0" w:footer="94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微软雅黑">
    <w:altName w:val="黑体"/>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3480"/>
    </w:sdtPr>
    <w:sdtContent>
      <w:p w14:paraId="4B2A816E">
        <w:pPr>
          <w:pStyle w:val="8"/>
          <w:spacing w:line="188" w:lineRule="auto"/>
          <w:ind w:left="4758"/>
          <w:rPr>
            <w:rFonts w:ascii="Times New Roman" w:hAnsi="Times New Roman" w:eastAsia="Times New Roman" w:cs="Times New Roman"/>
            <w:sz w:val="22"/>
            <w:szCs w:val="22"/>
          </w:rP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738308"/>
    </w:sdtPr>
    <w:sdtContent>
      <w:p w14:paraId="3DE4D543">
        <w:pPr>
          <w:pStyle w:val="8"/>
          <w:spacing w:line="187" w:lineRule="auto"/>
          <w:jc w:val="center"/>
          <w:rPr>
            <w:rFonts w:ascii="Times New Roman" w:hAnsi="Times New Roman" w:eastAsia="Times New Roman" w:cs="Times New Roman"/>
            <w:sz w:val="22"/>
            <w:szCs w:val="22"/>
          </w:rP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A88335"/>
    <w:multiLevelType w:val="singleLevel"/>
    <w:tmpl w:val="ACA8833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jRhZWFiODQwZDc1YTkwMTRiYTE3MGQwNGM3Yzg0NjUifQ=="/>
    <w:docVar w:name="KSO_WPS_MARK_KEY" w:val="dbf94076-3586-4539-a7de-0d39e8ac7149"/>
  </w:docVars>
  <w:rsids>
    <w:rsidRoot w:val="0000581F"/>
    <w:rsid w:val="0000581F"/>
    <w:rsid w:val="0001409E"/>
    <w:rsid w:val="00015318"/>
    <w:rsid w:val="000573DA"/>
    <w:rsid w:val="00063CBF"/>
    <w:rsid w:val="000655F9"/>
    <w:rsid w:val="00091CE3"/>
    <w:rsid w:val="000D2991"/>
    <w:rsid w:val="000E5B46"/>
    <w:rsid w:val="000F37DE"/>
    <w:rsid w:val="000F5BAE"/>
    <w:rsid w:val="000F6EC8"/>
    <w:rsid w:val="00103925"/>
    <w:rsid w:val="00122C3A"/>
    <w:rsid w:val="00122F51"/>
    <w:rsid w:val="001406DF"/>
    <w:rsid w:val="00161DEF"/>
    <w:rsid w:val="00192B5C"/>
    <w:rsid w:val="00197ABA"/>
    <w:rsid w:val="001A3DC9"/>
    <w:rsid w:val="001E0159"/>
    <w:rsid w:val="001E425B"/>
    <w:rsid w:val="001E5CE3"/>
    <w:rsid w:val="001E605C"/>
    <w:rsid w:val="001E6F91"/>
    <w:rsid w:val="00213CD0"/>
    <w:rsid w:val="002256C9"/>
    <w:rsid w:val="002311C0"/>
    <w:rsid w:val="002359C1"/>
    <w:rsid w:val="0025094D"/>
    <w:rsid w:val="00255DD7"/>
    <w:rsid w:val="002753DD"/>
    <w:rsid w:val="00276B2F"/>
    <w:rsid w:val="00283B88"/>
    <w:rsid w:val="00293E21"/>
    <w:rsid w:val="00294175"/>
    <w:rsid w:val="002B3CD7"/>
    <w:rsid w:val="002C0EE1"/>
    <w:rsid w:val="002C13D2"/>
    <w:rsid w:val="002D2736"/>
    <w:rsid w:val="002E1AEC"/>
    <w:rsid w:val="00300A99"/>
    <w:rsid w:val="003132A4"/>
    <w:rsid w:val="0033151A"/>
    <w:rsid w:val="0034500F"/>
    <w:rsid w:val="00347153"/>
    <w:rsid w:val="00362214"/>
    <w:rsid w:val="003674C6"/>
    <w:rsid w:val="0038353A"/>
    <w:rsid w:val="0039222D"/>
    <w:rsid w:val="003A0641"/>
    <w:rsid w:val="003D4F58"/>
    <w:rsid w:val="003E065E"/>
    <w:rsid w:val="003F1AF7"/>
    <w:rsid w:val="003F23DE"/>
    <w:rsid w:val="003F4035"/>
    <w:rsid w:val="00444B2D"/>
    <w:rsid w:val="00447F83"/>
    <w:rsid w:val="0047693A"/>
    <w:rsid w:val="00486697"/>
    <w:rsid w:val="00491C28"/>
    <w:rsid w:val="00497936"/>
    <w:rsid w:val="004A03DA"/>
    <w:rsid w:val="004B301A"/>
    <w:rsid w:val="004B3B27"/>
    <w:rsid w:val="004C1C9D"/>
    <w:rsid w:val="004D6BCF"/>
    <w:rsid w:val="004F3F42"/>
    <w:rsid w:val="00521964"/>
    <w:rsid w:val="005222DD"/>
    <w:rsid w:val="00523717"/>
    <w:rsid w:val="00523853"/>
    <w:rsid w:val="005262DD"/>
    <w:rsid w:val="005506B7"/>
    <w:rsid w:val="005613B0"/>
    <w:rsid w:val="0058064A"/>
    <w:rsid w:val="00580664"/>
    <w:rsid w:val="005858D0"/>
    <w:rsid w:val="005914B5"/>
    <w:rsid w:val="005B5EFE"/>
    <w:rsid w:val="005C7E89"/>
    <w:rsid w:val="005D28C8"/>
    <w:rsid w:val="005D4C23"/>
    <w:rsid w:val="005D7BB7"/>
    <w:rsid w:val="005F4A85"/>
    <w:rsid w:val="00603343"/>
    <w:rsid w:val="006310BB"/>
    <w:rsid w:val="00644E19"/>
    <w:rsid w:val="006472CC"/>
    <w:rsid w:val="00653E8B"/>
    <w:rsid w:val="0067644A"/>
    <w:rsid w:val="00685F43"/>
    <w:rsid w:val="006960BA"/>
    <w:rsid w:val="006A707F"/>
    <w:rsid w:val="006C3FFC"/>
    <w:rsid w:val="006E0041"/>
    <w:rsid w:val="006E3850"/>
    <w:rsid w:val="006E504E"/>
    <w:rsid w:val="006E51B0"/>
    <w:rsid w:val="007038E6"/>
    <w:rsid w:val="00707DD4"/>
    <w:rsid w:val="00736D17"/>
    <w:rsid w:val="00746F32"/>
    <w:rsid w:val="0074706E"/>
    <w:rsid w:val="00773BF7"/>
    <w:rsid w:val="00775DD4"/>
    <w:rsid w:val="00784532"/>
    <w:rsid w:val="0079072A"/>
    <w:rsid w:val="007B0B94"/>
    <w:rsid w:val="007C4B8D"/>
    <w:rsid w:val="007C5BB5"/>
    <w:rsid w:val="007D40F7"/>
    <w:rsid w:val="008046D7"/>
    <w:rsid w:val="008206E9"/>
    <w:rsid w:val="00825E99"/>
    <w:rsid w:val="00830D52"/>
    <w:rsid w:val="00841215"/>
    <w:rsid w:val="0084366A"/>
    <w:rsid w:val="00856941"/>
    <w:rsid w:val="00856A08"/>
    <w:rsid w:val="00861F33"/>
    <w:rsid w:val="00885358"/>
    <w:rsid w:val="00886048"/>
    <w:rsid w:val="008A15C8"/>
    <w:rsid w:val="008B788F"/>
    <w:rsid w:val="008D2E66"/>
    <w:rsid w:val="008E0C43"/>
    <w:rsid w:val="008E4790"/>
    <w:rsid w:val="008F09A0"/>
    <w:rsid w:val="008F5711"/>
    <w:rsid w:val="00932A42"/>
    <w:rsid w:val="0093385A"/>
    <w:rsid w:val="0093587A"/>
    <w:rsid w:val="00967700"/>
    <w:rsid w:val="00970023"/>
    <w:rsid w:val="009717C5"/>
    <w:rsid w:val="00977145"/>
    <w:rsid w:val="00983B66"/>
    <w:rsid w:val="009A0C0E"/>
    <w:rsid w:val="009B0BE3"/>
    <w:rsid w:val="009B1923"/>
    <w:rsid w:val="009D4A05"/>
    <w:rsid w:val="009D5DD7"/>
    <w:rsid w:val="009F0B4D"/>
    <w:rsid w:val="009F0DDF"/>
    <w:rsid w:val="009F2AD3"/>
    <w:rsid w:val="00A11710"/>
    <w:rsid w:val="00A2776B"/>
    <w:rsid w:val="00A3697F"/>
    <w:rsid w:val="00A5304F"/>
    <w:rsid w:val="00A5550A"/>
    <w:rsid w:val="00A5582D"/>
    <w:rsid w:val="00A72BCC"/>
    <w:rsid w:val="00A74A24"/>
    <w:rsid w:val="00A757AE"/>
    <w:rsid w:val="00A7720C"/>
    <w:rsid w:val="00A8474E"/>
    <w:rsid w:val="00A8787E"/>
    <w:rsid w:val="00AA3F74"/>
    <w:rsid w:val="00AA56A6"/>
    <w:rsid w:val="00AA5EE3"/>
    <w:rsid w:val="00AA7D60"/>
    <w:rsid w:val="00AB4643"/>
    <w:rsid w:val="00AD321E"/>
    <w:rsid w:val="00AD558A"/>
    <w:rsid w:val="00AF2126"/>
    <w:rsid w:val="00AF56BD"/>
    <w:rsid w:val="00AF714E"/>
    <w:rsid w:val="00B20337"/>
    <w:rsid w:val="00B33C5F"/>
    <w:rsid w:val="00B34B2F"/>
    <w:rsid w:val="00B37CAD"/>
    <w:rsid w:val="00B37FB3"/>
    <w:rsid w:val="00B47751"/>
    <w:rsid w:val="00B57AF5"/>
    <w:rsid w:val="00B86E8F"/>
    <w:rsid w:val="00B9088C"/>
    <w:rsid w:val="00B90B49"/>
    <w:rsid w:val="00BC29BF"/>
    <w:rsid w:val="00C01295"/>
    <w:rsid w:val="00C05D4F"/>
    <w:rsid w:val="00C12C0C"/>
    <w:rsid w:val="00C21A05"/>
    <w:rsid w:val="00C22E16"/>
    <w:rsid w:val="00C47807"/>
    <w:rsid w:val="00C61533"/>
    <w:rsid w:val="00C64910"/>
    <w:rsid w:val="00C721AA"/>
    <w:rsid w:val="00C819B1"/>
    <w:rsid w:val="00C84D9D"/>
    <w:rsid w:val="00C85B1B"/>
    <w:rsid w:val="00CA3089"/>
    <w:rsid w:val="00CA3CFE"/>
    <w:rsid w:val="00CB2B18"/>
    <w:rsid w:val="00CB34F0"/>
    <w:rsid w:val="00CC0FFE"/>
    <w:rsid w:val="00CD2E16"/>
    <w:rsid w:val="00CD7D50"/>
    <w:rsid w:val="00CF0491"/>
    <w:rsid w:val="00CF3312"/>
    <w:rsid w:val="00D02AD7"/>
    <w:rsid w:val="00D10DAB"/>
    <w:rsid w:val="00D138B2"/>
    <w:rsid w:val="00D2068D"/>
    <w:rsid w:val="00D254DC"/>
    <w:rsid w:val="00D2550A"/>
    <w:rsid w:val="00D33F0F"/>
    <w:rsid w:val="00D42DE1"/>
    <w:rsid w:val="00D857E8"/>
    <w:rsid w:val="00D91389"/>
    <w:rsid w:val="00DB3262"/>
    <w:rsid w:val="00DC0BA9"/>
    <w:rsid w:val="00DC3BC3"/>
    <w:rsid w:val="00DE393C"/>
    <w:rsid w:val="00E14181"/>
    <w:rsid w:val="00E27AE6"/>
    <w:rsid w:val="00E30EDC"/>
    <w:rsid w:val="00E45FF5"/>
    <w:rsid w:val="00E55BC4"/>
    <w:rsid w:val="00E57D1E"/>
    <w:rsid w:val="00E637DB"/>
    <w:rsid w:val="00E65E93"/>
    <w:rsid w:val="00E664A0"/>
    <w:rsid w:val="00E97858"/>
    <w:rsid w:val="00EA5270"/>
    <w:rsid w:val="00EB23B6"/>
    <w:rsid w:val="00EB5B2E"/>
    <w:rsid w:val="00EC09D0"/>
    <w:rsid w:val="00EC7279"/>
    <w:rsid w:val="00EE0B04"/>
    <w:rsid w:val="00F009DF"/>
    <w:rsid w:val="00F100EC"/>
    <w:rsid w:val="00F20700"/>
    <w:rsid w:val="00F2307E"/>
    <w:rsid w:val="00F27209"/>
    <w:rsid w:val="00F2770C"/>
    <w:rsid w:val="00F374F1"/>
    <w:rsid w:val="00F43F6D"/>
    <w:rsid w:val="00F4476D"/>
    <w:rsid w:val="00F5318C"/>
    <w:rsid w:val="00F573C9"/>
    <w:rsid w:val="00F605DE"/>
    <w:rsid w:val="00F64997"/>
    <w:rsid w:val="00F731AE"/>
    <w:rsid w:val="00F92526"/>
    <w:rsid w:val="00F95D8A"/>
    <w:rsid w:val="00FB33F1"/>
    <w:rsid w:val="00FB370B"/>
    <w:rsid w:val="00FB503C"/>
    <w:rsid w:val="00FB5FB5"/>
    <w:rsid w:val="00FC1AD7"/>
    <w:rsid w:val="00FC1E7E"/>
    <w:rsid w:val="00FC251F"/>
    <w:rsid w:val="00FC6A25"/>
    <w:rsid w:val="00FC6EEB"/>
    <w:rsid w:val="00FD2AA9"/>
    <w:rsid w:val="00FD3FD2"/>
    <w:rsid w:val="00FE37F8"/>
    <w:rsid w:val="00FE42D6"/>
    <w:rsid w:val="00FF56BA"/>
    <w:rsid w:val="01011432"/>
    <w:rsid w:val="01113D6B"/>
    <w:rsid w:val="012B64AF"/>
    <w:rsid w:val="015C48BA"/>
    <w:rsid w:val="01643005"/>
    <w:rsid w:val="017D5815"/>
    <w:rsid w:val="01883901"/>
    <w:rsid w:val="01AB78BF"/>
    <w:rsid w:val="01CB25FE"/>
    <w:rsid w:val="01D408F4"/>
    <w:rsid w:val="01FF0067"/>
    <w:rsid w:val="02380E83"/>
    <w:rsid w:val="02403429"/>
    <w:rsid w:val="02A1111E"/>
    <w:rsid w:val="02E5725D"/>
    <w:rsid w:val="02E72B1A"/>
    <w:rsid w:val="031E62CB"/>
    <w:rsid w:val="03402235"/>
    <w:rsid w:val="035F79DD"/>
    <w:rsid w:val="037759DB"/>
    <w:rsid w:val="038B7354"/>
    <w:rsid w:val="038C592B"/>
    <w:rsid w:val="038F71C9"/>
    <w:rsid w:val="039C3694"/>
    <w:rsid w:val="03A367D0"/>
    <w:rsid w:val="03CD2D63"/>
    <w:rsid w:val="03EF70A4"/>
    <w:rsid w:val="040D00EE"/>
    <w:rsid w:val="045301F6"/>
    <w:rsid w:val="045F4DED"/>
    <w:rsid w:val="04842AA6"/>
    <w:rsid w:val="04BC223F"/>
    <w:rsid w:val="04C017ED"/>
    <w:rsid w:val="04CE2D73"/>
    <w:rsid w:val="0526590B"/>
    <w:rsid w:val="052D6C99"/>
    <w:rsid w:val="054364BD"/>
    <w:rsid w:val="054A6416"/>
    <w:rsid w:val="05575A31"/>
    <w:rsid w:val="056575CF"/>
    <w:rsid w:val="05704DD8"/>
    <w:rsid w:val="057274FF"/>
    <w:rsid w:val="05935DBE"/>
    <w:rsid w:val="059C5BCD"/>
    <w:rsid w:val="05C25634"/>
    <w:rsid w:val="05E732EC"/>
    <w:rsid w:val="061A7B03"/>
    <w:rsid w:val="0625365B"/>
    <w:rsid w:val="064529D8"/>
    <w:rsid w:val="066C1A43"/>
    <w:rsid w:val="069408F9"/>
    <w:rsid w:val="06DD649D"/>
    <w:rsid w:val="070752C8"/>
    <w:rsid w:val="0708351A"/>
    <w:rsid w:val="07293490"/>
    <w:rsid w:val="07375BAD"/>
    <w:rsid w:val="07487DBA"/>
    <w:rsid w:val="07592E37"/>
    <w:rsid w:val="0768022C"/>
    <w:rsid w:val="078801B7"/>
    <w:rsid w:val="078828AD"/>
    <w:rsid w:val="07AE5185"/>
    <w:rsid w:val="07E00F50"/>
    <w:rsid w:val="07FD2EB5"/>
    <w:rsid w:val="080D690E"/>
    <w:rsid w:val="084542FA"/>
    <w:rsid w:val="08A121B8"/>
    <w:rsid w:val="08A27363"/>
    <w:rsid w:val="08AC0B16"/>
    <w:rsid w:val="08C43585"/>
    <w:rsid w:val="08DD09D6"/>
    <w:rsid w:val="08FB6E32"/>
    <w:rsid w:val="092D54BA"/>
    <w:rsid w:val="098175B4"/>
    <w:rsid w:val="0984708F"/>
    <w:rsid w:val="099F3D57"/>
    <w:rsid w:val="09BA31C9"/>
    <w:rsid w:val="09C066AD"/>
    <w:rsid w:val="09C53074"/>
    <w:rsid w:val="09DB564C"/>
    <w:rsid w:val="09ED4C49"/>
    <w:rsid w:val="09EF09C1"/>
    <w:rsid w:val="09F245A0"/>
    <w:rsid w:val="09F53659"/>
    <w:rsid w:val="0A23066B"/>
    <w:rsid w:val="0A371065"/>
    <w:rsid w:val="0A436A63"/>
    <w:rsid w:val="0A4E5B9E"/>
    <w:rsid w:val="0A9D57A3"/>
    <w:rsid w:val="0AB74BC5"/>
    <w:rsid w:val="0AC21C32"/>
    <w:rsid w:val="0ADF6E55"/>
    <w:rsid w:val="0B065FC2"/>
    <w:rsid w:val="0B8246ED"/>
    <w:rsid w:val="0B8356AD"/>
    <w:rsid w:val="0B930F6B"/>
    <w:rsid w:val="0B937C91"/>
    <w:rsid w:val="0BD936D7"/>
    <w:rsid w:val="0BDC4F75"/>
    <w:rsid w:val="0BE5207C"/>
    <w:rsid w:val="0BEF60D7"/>
    <w:rsid w:val="0C1A784C"/>
    <w:rsid w:val="0C1E10EA"/>
    <w:rsid w:val="0C2446F9"/>
    <w:rsid w:val="0C344DB1"/>
    <w:rsid w:val="0C35402D"/>
    <w:rsid w:val="0C43463A"/>
    <w:rsid w:val="0C57305A"/>
    <w:rsid w:val="0C6E02C3"/>
    <w:rsid w:val="0CBF793A"/>
    <w:rsid w:val="0CC24212"/>
    <w:rsid w:val="0CD43E9E"/>
    <w:rsid w:val="0CE20369"/>
    <w:rsid w:val="0D0E001F"/>
    <w:rsid w:val="0D38267F"/>
    <w:rsid w:val="0D505C1B"/>
    <w:rsid w:val="0D6476D4"/>
    <w:rsid w:val="0D85533F"/>
    <w:rsid w:val="0DD05449"/>
    <w:rsid w:val="0DD71285"/>
    <w:rsid w:val="0DEA35AF"/>
    <w:rsid w:val="0DF465A6"/>
    <w:rsid w:val="0E432240"/>
    <w:rsid w:val="0E4D215A"/>
    <w:rsid w:val="0E4F2D85"/>
    <w:rsid w:val="0E5B4877"/>
    <w:rsid w:val="0E5C239D"/>
    <w:rsid w:val="0E793AA3"/>
    <w:rsid w:val="0E925DBF"/>
    <w:rsid w:val="0EA14DD4"/>
    <w:rsid w:val="0EA63619"/>
    <w:rsid w:val="0ECA2074"/>
    <w:rsid w:val="0ED4462A"/>
    <w:rsid w:val="0EFC7FD0"/>
    <w:rsid w:val="0F0917C8"/>
    <w:rsid w:val="0F264E85"/>
    <w:rsid w:val="0F380715"/>
    <w:rsid w:val="0F3F75AE"/>
    <w:rsid w:val="0F4A0448"/>
    <w:rsid w:val="0F5C2828"/>
    <w:rsid w:val="0F7A6F7F"/>
    <w:rsid w:val="10185579"/>
    <w:rsid w:val="105E064F"/>
    <w:rsid w:val="109E476D"/>
    <w:rsid w:val="10A1053B"/>
    <w:rsid w:val="10A77B15"/>
    <w:rsid w:val="10B52838"/>
    <w:rsid w:val="11423ACC"/>
    <w:rsid w:val="11527E2B"/>
    <w:rsid w:val="11A976A8"/>
    <w:rsid w:val="11E91A83"/>
    <w:rsid w:val="12042B30"/>
    <w:rsid w:val="1205792E"/>
    <w:rsid w:val="120A6BD8"/>
    <w:rsid w:val="120E39AF"/>
    <w:rsid w:val="1210154D"/>
    <w:rsid w:val="12154D3D"/>
    <w:rsid w:val="122D6259"/>
    <w:rsid w:val="123D0D6C"/>
    <w:rsid w:val="126C2700"/>
    <w:rsid w:val="12926799"/>
    <w:rsid w:val="12CA5B28"/>
    <w:rsid w:val="12E41354"/>
    <w:rsid w:val="13051255"/>
    <w:rsid w:val="13171183"/>
    <w:rsid w:val="131A6A04"/>
    <w:rsid w:val="132536A6"/>
    <w:rsid w:val="13655850"/>
    <w:rsid w:val="13D14B20"/>
    <w:rsid w:val="148D65EC"/>
    <w:rsid w:val="14904534"/>
    <w:rsid w:val="14E804E7"/>
    <w:rsid w:val="155515CF"/>
    <w:rsid w:val="155D0228"/>
    <w:rsid w:val="156B78EE"/>
    <w:rsid w:val="157C3764"/>
    <w:rsid w:val="15897119"/>
    <w:rsid w:val="158B2C4F"/>
    <w:rsid w:val="1598015F"/>
    <w:rsid w:val="15A44D56"/>
    <w:rsid w:val="15CE1DD3"/>
    <w:rsid w:val="15EE7238"/>
    <w:rsid w:val="16184533"/>
    <w:rsid w:val="162406A2"/>
    <w:rsid w:val="16412CD7"/>
    <w:rsid w:val="16441BD3"/>
    <w:rsid w:val="166B7438"/>
    <w:rsid w:val="16BC0A1E"/>
    <w:rsid w:val="16C32FBA"/>
    <w:rsid w:val="16E6682E"/>
    <w:rsid w:val="17127D80"/>
    <w:rsid w:val="172B0B5F"/>
    <w:rsid w:val="176E12F7"/>
    <w:rsid w:val="17C74D2B"/>
    <w:rsid w:val="17F1756E"/>
    <w:rsid w:val="183479B0"/>
    <w:rsid w:val="183E144C"/>
    <w:rsid w:val="184425A1"/>
    <w:rsid w:val="18A60C5A"/>
    <w:rsid w:val="18BE2A3F"/>
    <w:rsid w:val="18E563E7"/>
    <w:rsid w:val="190B50EC"/>
    <w:rsid w:val="192E4958"/>
    <w:rsid w:val="193463F1"/>
    <w:rsid w:val="193F6317"/>
    <w:rsid w:val="1981715C"/>
    <w:rsid w:val="19B14838"/>
    <w:rsid w:val="19B17A41"/>
    <w:rsid w:val="19E05C00"/>
    <w:rsid w:val="19E25E4D"/>
    <w:rsid w:val="19F51CE8"/>
    <w:rsid w:val="19F52DA4"/>
    <w:rsid w:val="1A002AA6"/>
    <w:rsid w:val="1A2F0966"/>
    <w:rsid w:val="1A6034EF"/>
    <w:rsid w:val="1A6C3968"/>
    <w:rsid w:val="1A8B0292"/>
    <w:rsid w:val="1AB37744"/>
    <w:rsid w:val="1ACC5048"/>
    <w:rsid w:val="1AD86ACD"/>
    <w:rsid w:val="1AE71241"/>
    <w:rsid w:val="1B1738D4"/>
    <w:rsid w:val="1B324319"/>
    <w:rsid w:val="1B532A85"/>
    <w:rsid w:val="1B565EB9"/>
    <w:rsid w:val="1B5F1F4A"/>
    <w:rsid w:val="1B671941"/>
    <w:rsid w:val="1B6805D3"/>
    <w:rsid w:val="1B6D6507"/>
    <w:rsid w:val="1B6F54BE"/>
    <w:rsid w:val="1B9B4505"/>
    <w:rsid w:val="1BCD48DA"/>
    <w:rsid w:val="1BFC2ACA"/>
    <w:rsid w:val="1C1F4874"/>
    <w:rsid w:val="1C42298D"/>
    <w:rsid w:val="1CB33AD0"/>
    <w:rsid w:val="1CC7757C"/>
    <w:rsid w:val="1CD75A11"/>
    <w:rsid w:val="1CE1063D"/>
    <w:rsid w:val="1CE67A02"/>
    <w:rsid w:val="1D170D1C"/>
    <w:rsid w:val="1D1C3400"/>
    <w:rsid w:val="1D74500E"/>
    <w:rsid w:val="1D75647A"/>
    <w:rsid w:val="1D9A2B5E"/>
    <w:rsid w:val="1DA9018B"/>
    <w:rsid w:val="1E025946"/>
    <w:rsid w:val="1E3E386E"/>
    <w:rsid w:val="1E4A0464"/>
    <w:rsid w:val="1E4F5A7B"/>
    <w:rsid w:val="1E6A01BF"/>
    <w:rsid w:val="1E8E65A3"/>
    <w:rsid w:val="1E8F30E9"/>
    <w:rsid w:val="1ECD64DC"/>
    <w:rsid w:val="1EDB78A1"/>
    <w:rsid w:val="1F0B7BF4"/>
    <w:rsid w:val="1F242A63"/>
    <w:rsid w:val="1F51312D"/>
    <w:rsid w:val="1F5844BB"/>
    <w:rsid w:val="1F672950"/>
    <w:rsid w:val="1FA610CC"/>
    <w:rsid w:val="1FAD316E"/>
    <w:rsid w:val="1FB5527A"/>
    <w:rsid w:val="1FF00B2C"/>
    <w:rsid w:val="1FFA76C3"/>
    <w:rsid w:val="20272290"/>
    <w:rsid w:val="20275593"/>
    <w:rsid w:val="203F3E64"/>
    <w:rsid w:val="204063F5"/>
    <w:rsid w:val="20476A09"/>
    <w:rsid w:val="204D64C1"/>
    <w:rsid w:val="20823EE5"/>
    <w:rsid w:val="20D62531"/>
    <w:rsid w:val="20D65FDF"/>
    <w:rsid w:val="20F164B1"/>
    <w:rsid w:val="210112AE"/>
    <w:rsid w:val="21321DBB"/>
    <w:rsid w:val="213827F6"/>
    <w:rsid w:val="213D2A55"/>
    <w:rsid w:val="21507B40"/>
    <w:rsid w:val="21B50B4B"/>
    <w:rsid w:val="21BB287D"/>
    <w:rsid w:val="22117CA0"/>
    <w:rsid w:val="221943D6"/>
    <w:rsid w:val="2227377E"/>
    <w:rsid w:val="224338C6"/>
    <w:rsid w:val="225E628C"/>
    <w:rsid w:val="226C12D2"/>
    <w:rsid w:val="22EF5136"/>
    <w:rsid w:val="22F76B14"/>
    <w:rsid w:val="230B6414"/>
    <w:rsid w:val="23290648"/>
    <w:rsid w:val="235100D0"/>
    <w:rsid w:val="23641680"/>
    <w:rsid w:val="23FE19E8"/>
    <w:rsid w:val="240F3CE2"/>
    <w:rsid w:val="241237D2"/>
    <w:rsid w:val="24376D95"/>
    <w:rsid w:val="243B51C4"/>
    <w:rsid w:val="246A0F18"/>
    <w:rsid w:val="24771887"/>
    <w:rsid w:val="247B3126"/>
    <w:rsid w:val="24AE1AE2"/>
    <w:rsid w:val="25AC5561"/>
    <w:rsid w:val="25CA1509"/>
    <w:rsid w:val="25CD79B1"/>
    <w:rsid w:val="25D511F7"/>
    <w:rsid w:val="25EC3BAF"/>
    <w:rsid w:val="25FB7378"/>
    <w:rsid w:val="26063AA3"/>
    <w:rsid w:val="264D28A0"/>
    <w:rsid w:val="265E5CDB"/>
    <w:rsid w:val="26BE4AC1"/>
    <w:rsid w:val="26E0268B"/>
    <w:rsid w:val="26E06532"/>
    <w:rsid w:val="26F87CB2"/>
    <w:rsid w:val="26FC7E22"/>
    <w:rsid w:val="27080982"/>
    <w:rsid w:val="270A253F"/>
    <w:rsid w:val="273B4DEE"/>
    <w:rsid w:val="273E043A"/>
    <w:rsid w:val="27624129"/>
    <w:rsid w:val="276854B7"/>
    <w:rsid w:val="278C4EEC"/>
    <w:rsid w:val="27A44741"/>
    <w:rsid w:val="27CE5C62"/>
    <w:rsid w:val="27E15995"/>
    <w:rsid w:val="27FF5DD7"/>
    <w:rsid w:val="28355CE1"/>
    <w:rsid w:val="28433F5A"/>
    <w:rsid w:val="28472EBD"/>
    <w:rsid w:val="28537F15"/>
    <w:rsid w:val="28EA6ACC"/>
    <w:rsid w:val="290731DA"/>
    <w:rsid w:val="29127DD1"/>
    <w:rsid w:val="2913087C"/>
    <w:rsid w:val="295778B4"/>
    <w:rsid w:val="296B4121"/>
    <w:rsid w:val="2972596D"/>
    <w:rsid w:val="297445E7"/>
    <w:rsid w:val="299711CA"/>
    <w:rsid w:val="299D769A"/>
    <w:rsid w:val="29A5594D"/>
    <w:rsid w:val="29CD53CE"/>
    <w:rsid w:val="29E654E5"/>
    <w:rsid w:val="29E817B5"/>
    <w:rsid w:val="2A0F77B2"/>
    <w:rsid w:val="2A3049B2"/>
    <w:rsid w:val="2A336250"/>
    <w:rsid w:val="2A816FBC"/>
    <w:rsid w:val="2A8C35E1"/>
    <w:rsid w:val="2AA607D0"/>
    <w:rsid w:val="2AEC69F1"/>
    <w:rsid w:val="2AEE4E62"/>
    <w:rsid w:val="2B10207E"/>
    <w:rsid w:val="2B2E061B"/>
    <w:rsid w:val="2B54647E"/>
    <w:rsid w:val="2B5B534A"/>
    <w:rsid w:val="2BAB652F"/>
    <w:rsid w:val="2BBE1B4A"/>
    <w:rsid w:val="2BC4063D"/>
    <w:rsid w:val="2BD82C0B"/>
    <w:rsid w:val="2BDA1A1F"/>
    <w:rsid w:val="2BEC72FB"/>
    <w:rsid w:val="2BEF7C6A"/>
    <w:rsid w:val="2BFC773A"/>
    <w:rsid w:val="2C156126"/>
    <w:rsid w:val="2C234FD5"/>
    <w:rsid w:val="2C491D5B"/>
    <w:rsid w:val="2C567FD4"/>
    <w:rsid w:val="2C680433"/>
    <w:rsid w:val="2C700266"/>
    <w:rsid w:val="2C7C2F35"/>
    <w:rsid w:val="2CEA00FD"/>
    <w:rsid w:val="2D2909B6"/>
    <w:rsid w:val="2D410050"/>
    <w:rsid w:val="2D572256"/>
    <w:rsid w:val="2D666329"/>
    <w:rsid w:val="2D8411D7"/>
    <w:rsid w:val="2D850F40"/>
    <w:rsid w:val="2D915768"/>
    <w:rsid w:val="2DD37B2E"/>
    <w:rsid w:val="2DD91852"/>
    <w:rsid w:val="2DE47F8D"/>
    <w:rsid w:val="2E0777D8"/>
    <w:rsid w:val="2E1843DC"/>
    <w:rsid w:val="2E1A7D57"/>
    <w:rsid w:val="2E2D3861"/>
    <w:rsid w:val="2E3408DF"/>
    <w:rsid w:val="2E350E75"/>
    <w:rsid w:val="2EB07E70"/>
    <w:rsid w:val="2EBD433B"/>
    <w:rsid w:val="2EEF7A77"/>
    <w:rsid w:val="2EF11E02"/>
    <w:rsid w:val="2F7E4D1A"/>
    <w:rsid w:val="2F904516"/>
    <w:rsid w:val="2F994DA8"/>
    <w:rsid w:val="2FA70D5C"/>
    <w:rsid w:val="2FBD596D"/>
    <w:rsid w:val="2FD474BE"/>
    <w:rsid w:val="3011493E"/>
    <w:rsid w:val="30176D2E"/>
    <w:rsid w:val="30821B9F"/>
    <w:rsid w:val="30875F56"/>
    <w:rsid w:val="30AB7B95"/>
    <w:rsid w:val="30B154E6"/>
    <w:rsid w:val="30C85944"/>
    <w:rsid w:val="30D130D7"/>
    <w:rsid w:val="30E91417"/>
    <w:rsid w:val="30FF50DE"/>
    <w:rsid w:val="31180379"/>
    <w:rsid w:val="315076E8"/>
    <w:rsid w:val="318106B7"/>
    <w:rsid w:val="31B7622B"/>
    <w:rsid w:val="31CD6F8B"/>
    <w:rsid w:val="32075FF9"/>
    <w:rsid w:val="327B2543"/>
    <w:rsid w:val="328A2DC0"/>
    <w:rsid w:val="329A7E53"/>
    <w:rsid w:val="32A63A63"/>
    <w:rsid w:val="32DF2AD1"/>
    <w:rsid w:val="32FA3DAF"/>
    <w:rsid w:val="330111BC"/>
    <w:rsid w:val="33030EB6"/>
    <w:rsid w:val="330A6021"/>
    <w:rsid w:val="331130AC"/>
    <w:rsid w:val="334119DE"/>
    <w:rsid w:val="33484B1B"/>
    <w:rsid w:val="334868C9"/>
    <w:rsid w:val="334C58C8"/>
    <w:rsid w:val="338D4C23"/>
    <w:rsid w:val="33C14D88"/>
    <w:rsid w:val="33DE590B"/>
    <w:rsid w:val="33E72F9A"/>
    <w:rsid w:val="33ED7CA5"/>
    <w:rsid w:val="34192013"/>
    <w:rsid w:val="341B222F"/>
    <w:rsid w:val="34887350"/>
    <w:rsid w:val="349D49F2"/>
    <w:rsid w:val="34AA1F8A"/>
    <w:rsid w:val="34B34278"/>
    <w:rsid w:val="34CC6F94"/>
    <w:rsid w:val="34E1639F"/>
    <w:rsid w:val="34E163AC"/>
    <w:rsid w:val="34F036CE"/>
    <w:rsid w:val="352B440E"/>
    <w:rsid w:val="35523A2F"/>
    <w:rsid w:val="355258F8"/>
    <w:rsid w:val="356B7710"/>
    <w:rsid w:val="359F29EC"/>
    <w:rsid w:val="35CD57AB"/>
    <w:rsid w:val="35E11256"/>
    <w:rsid w:val="35EB79DF"/>
    <w:rsid w:val="36405F7D"/>
    <w:rsid w:val="3651018A"/>
    <w:rsid w:val="36A32572"/>
    <w:rsid w:val="36D6243D"/>
    <w:rsid w:val="36E56B24"/>
    <w:rsid w:val="37045449"/>
    <w:rsid w:val="372238D5"/>
    <w:rsid w:val="37391425"/>
    <w:rsid w:val="37B06D3F"/>
    <w:rsid w:val="37D145EF"/>
    <w:rsid w:val="37DA76F0"/>
    <w:rsid w:val="37F81F30"/>
    <w:rsid w:val="382D4224"/>
    <w:rsid w:val="383A7508"/>
    <w:rsid w:val="384A63AF"/>
    <w:rsid w:val="388C21C5"/>
    <w:rsid w:val="388D19F8"/>
    <w:rsid w:val="38A97186"/>
    <w:rsid w:val="38CC7F9C"/>
    <w:rsid w:val="38E56C66"/>
    <w:rsid w:val="39007C46"/>
    <w:rsid w:val="39250446"/>
    <w:rsid w:val="39410910"/>
    <w:rsid w:val="394C3503"/>
    <w:rsid w:val="398B750F"/>
    <w:rsid w:val="39CC5062"/>
    <w:rsid w:val="3A250CD1"/>
    <w:rsid w:val="3A396F6B"/>
    <w:rsid w:val="3A445910"/>
    <w:rsid w:val="3A5A5133"/>
    <w:rsid w:val="3A712BA9"/>
    <w:rsid w:val="3A777A93"/>
    <w:rsid w:val="3A8723CC"/>
    <w:rsid w:val="3AD9694D"/>
    <w:rsid w:val="3B1672AC"/>
    <w:rsid w:val="3B1953D7"/>
    <w:rsid w:val="3B292D1E"/>
    <w:rsid w:val="3B556027"/>
    <w:rsid w:val="3B765F9D"/>
    <w:rsid w:val="3B8763FC"/>
    <w:rsid w:val="3B8F20BF"/>
    <w:rsid w:val="3BC30C69"/>
    <w:rsid w:val="3BE41393"/>
    <w:rsid w:val="3C090BBF"/>
    <w:rsid w:val="3C1A2DCC"/>
    <w:rsid w:val="3C2105FF"/>
    <w:rsid w:val="3C223CAB"/>
    <w:rsid w:val="3C4A1903"/>
    <w:rsid w:val="3C4A1A20"/>
    <w:rsid w:val="3C4B0B6B"/>
    <w:rsid w:val="3C5C54A4"/>
    <w:rsid w:val="3C720CE9"/>
    <w:rsid w:val="3CAF79B9"/>
    <w:rsid w:val="3CB44FCF"/>
    <w:rsid w:val="3CD411CD"/>
    <w:rsid w:val="3CD46EB6"/>
    <w:rsid w:val="3CF47AC1"/>
    <w:rsid w:val="3D057915"/>
    <w:rsid w:val="3D365451"/>
    <w:rsid w:val="3D4D7BF1"/>
    <w:rsid w:val="3D844CE1"/>
    <w:rsid w:val="3D9B7F3D"/>
    <w:rsid w:val="3D9F7045"/>
    <w:rsid w:val="3DA037A5"/>
    <w:rsid w:val="3DB5712D"/>
    <w:rsid w:val="3DBF6C06"/>
    <w:rsid w:val="3DC6320C"/>
    <w:rsid w:val="3E1D6BA4"/>
    <w:rsid w:val="3E216694"/>
    <w:rsid w:val="3E491416"/>
    <w:rsid w:val="3E572282"/>
    <w:rsid w:val="3EA352FB"/>
    <w:rsid w:val="3ECB4852"/>
    <w:rsid w:val="3EE42BBC"/>
    <w:rsid w:val="3EFE4C27"/>
    <w:rsid w:val="3F0F2990"/>
    <w:rsid w:val="3F1444CB"/>
    <w:rsid w:val="3F336E92"/>
    <w:rsid w:val="3F586445"/>
    <w:rsid w:val="3F6C7DE3"/>
    <w:rsid w:val="3F7647BE"/>
    <w:rsid w:val="3F76656C"/>
    <w:rsid w:val="3F8E5FAB"/>
    <w:rsid w:val="3FAF0D49"/>
    <w:rsid w:val="3FCA7A54"/>
    <w:rsid w:val="3FDA04D6"/>
    <w:rsid w:val="3FF91A54"/>
    <w:rsid w:val="400C6ED0"/>
    <w:rsid w:val="40291830"/>
    <w:rsid w:val="403703F1"/>
    <w:rsid w:val="40414B88"/>
    <w:rsid w:val="404B3E24"/>
    <w:rsid w:val="405D45E5"/>
    <w:rsid w:val="408829FA"/>
    <w:rsid w:val="40BC3FF9"/>
    <w:rsid w:val="40E02836"/>
    <w:rsid w:val="40E87E13"/>
    <w:rsid w:val="41215446"/>
    <w:rsid w:val="41560B72"/>
    <w:rsid w:val="41594397"/>
    <w:rsid w:val="416F7716"/>
    <w:rsid w:val="417751AD"/>
    <w:rsid w:val="41856F3A"/>
    <w:rsid w:val="419D4935"/>
    <w:rsid w:val="41F42D98"/>
    <w:rsid w:val="41FE44C1"/>
    <w:rsid w:val="42164036"/>
    <w:rsid w:val="421F2EEA"/>
    <w:rsid w:val="42215AAE"/>
    <w:rsid w:val="423A3D49"/>
    <w:rsid w:val="427E2307"/>
    <w:rsid w:val="4284516C"/>
    <w:rsid w:val="42874BA1"/>
    <w:rsid w:val="42BA0E65"/>
    <w:rsid w:val="42ED107A"/>
    <w:rsid w:val="42F43FE4"/>
    <w:rsid w:val="43014CE6"/>
    <w:rsid w:val="430F7403"/>
    <w:rsid w:val="432B3415"/>
    <w:rsid w:val="43476B9D"/>
    <w:rsid w:val="437402A0"/>
    <w:rsid w:val="43902605"/>
    <w:rsid w:val="43A35D9D"/>
    <w:rsid w:val="43A85162"/>
    <w:rsid w:val="43C81360"/>
    <w:rsid w:val="43CC4EF8"/>
    <w:rsid w:val="43CF6B92"/>
    <w:rsid w:val="43F3462F"/>
    <w:rsid w:val="44087C32"/>
    <w:rsid w:val="445D09F4"/>
    <w:rsid w:val="446310FA"/>
    <w:rsid w:val="447A4D50"/>
    <w:rsid w:val="448636F5"/>
    <w:rsid w:val="44966556"/>
    <w:rsid w:val="449A2CFC"/>
    <w:rsid w:val="44CB1108"/>
    <w:rsid w:val="450A6B90"/>
    <w:rsid w:val="450B1E4C"/>
    <w:rsid w:val="452342D6"/>
    <w:rsid w:val="454059F9"/>
    <w:rsid w:val="4563257B"/>
    <w:rsid w:val="45815C6A"/>
    <w:rsid w:val="45CE5353"/>
    <w:rsid w:val="45E70358"/>
    <w:rsid w:val="45ED50AE"/>
    <w:rsid w:val="463F7FFF"/>
    <w:rsid w:val="46582E6F"/>
    <w:rsid w:val="46C92F6B"/>
    <w:rsid w:val="46D57584"/>
    <w:rsid w:val="46E54606"/>
    <w:rsid w:val="46EE732F"/>
    <w:rsid w:val="46F53F4E"/>
    <w:rsid w:val="46FB0367"/>
    <w:rsid w:val="470516B6"/>
    <w:rsid w:val="471E0FF2"/>
    <w:rsid w:val="473A2575"/>
    <w:rsid w:val="4756202E"/>
    <w:rsid w:val="47600DBA"/>
    <w:rsid w:val="476D46F8"/>
    <w:rsid w:val="47847858"/>
    <w:rsid w:val="478B1022"/>
    <w:rsid w:val="47D26C51"/>
    <w:rsid w:val="47FE7A46"/>
    <w:rsid w:val="48036E0A"/>
    <w:rsid w:val="482079BC"/>
    <w:rsid w:val="484257A0"/>
    <w:rsid w:val="486A6E89"/>
    <w:rsid w:val="48742B93"/>
    <w:rsid w:val="48A172BA"/>
    <w:rsid w:val="48A17D68"/>
    <w:rsid w:val="48C42A3E"/>
    <w:rsid w:val="491D214E"/>
    <w:rsid w:val="49310C32"/>
    <w:rsid w:val="493279A7"/>
    <w:rsid w:val="49357935"/>
    <w:rsid w:val="493E459E"/>
    <w:rsid w:val="495C2C76"/>
    <w:rsid w:val="49B54134"/>
    <w:rsid w:val="49BC3715"/>
    <w:rsid w:val="4A022122"/>
    <w:rsid w:val="4A0C644A"/>
    <w:rsid w:val="4A282B58"/>
    <w:rsid w:val="4A6F69D9"/>
    <w:rsid w:val="4A8561FD"/>
    <w:rsid w:val="4A8E3303"/>
    <w:rsid w:val="4B11183E"/>
    <w:rsid w:val="4B15132F"/>
    <w:rsid w:val="4B820492"/>
    <w:rsid w:val="4BA738B3"/>
    <w:rsid w:val="4BAD1567"/>
    <w:rsid w:val="4BC468B1"/>
    <w:rsid w:val="4BCF33FF"/>
    <w:rsid w:val="4C0B4B21"/>
    <w:rsid w:val="4C1176DC"/>
    <w:rsid w:val="4C6C31D0"/>
    <w:rsid w:val="4C6F4A6E"/>
    <w:rsid w:val="4C824ED7"/>
    <w:rsid w:val="4C8877ED"/>
    <w:rsid w:val="4CAF57B3"/>
    <w:rsid w:val="4CF2172A"/>
    <w:rsid w:val="4D0843B5"/>
    <w:rsid w:val="4D394D9B"/>
    <w:rsid w:val="4D3B2BA3"/>
    <w:rsid w:val="4D467EC5"/>
    <w:rsid w:val="4D580688"/>
    <w:rsid w:val="4D6072B7"/>
    <w:rsid w:val="4D6E4D26"/>
    <w:rsid w:val="4DC112FA"/>
    <w:rsid w:val="4DD61848"/>
    <w:rsid w:val="4DD95A7F"/>
    <w:rsid w:val="4E1841BE"/>
    <w:rsid w:val="4E4F4B57"/>
    <w:rsid w:val="4E524648"/>
    <w:rsid w:val="4E5959D6"/>
    <w:rsid w:val="4E755F3D"/>
    <w:rsid w:val="4E7D0CF6"/>
    <w:rsid w:val="4ED1663A"/>
    <w:rsid w:val="4F1D07B2"/>
    <w:rsid w:val="4F714FA1"/>
    <w:rsid w:val="4F730D1A"/>
    <w:rsid w:val="4F74239C"/>
    <w:rsid w:val="4F822D0B"/>
    <w:rsid w:val="4F8D6891"/>
    <w:rsid w:val="4FE45773"/>
    <w:rsid w:val="50373AF5"/>
    <w:rsid w:val="50474534"/>
    <w:rsid w:val="50483F54"/>
    <w:rsid w:val="505F1978"/>
    <w:rsid w:val="50816EA0"/>
    <w:rsid w:val="508A00C9"/>
    <w:rsid w:val="50A70C7B"/>
    <w:rsid w:val="50B92785"/>
    <w:rsid w:val="50C730CB"/>
    <w:rsid w:val="50CC44BE"/>
    <w:rsid w:val="50FA56B4"/>
    <w:rsid w:val="514B7515"/>
    <w:rsid w:val="516363BA"/>
    <w:rsid w:val="51BF7BAC"/>
    <w:rsid w:val="520E463C"/>
    <w:rsid w:val="52427DEA"/>
    <w:rsid w:val="524C18AC"/>
    <w:rsid w:val="525049DE"/>
    <w:rsid w:val="52573A7E"/>
    <w:rsid w:val="52A31916"/>
    <w:rsid w:val="52BE6B8F"/>
    <w:rsid w:val="52CD24EF"/>
    <w:rsid w:val="532D11DF"/>
    <w:rsid w:val="53964FD7"/>
    <w:rsid w:val="539A4AC7"/>
    <w:rsid w:val="539E720D"/>
    <w:rsid w:val="541A79B6"/>
    <w:rsid w:val="54517CF1"/>
    <w:rsid w:val="54A454D1"/>
    <w:rsid w:val="54AC551B"/>
    <w:rsid w:val="54B43966"/>
    <w:rsid w:val="54C0055D"/>
    <w:rsid w:val="5520724E"/>
    <w:rsid w:val="55216B22"/>
    <w:rsid w:val="5527238A"/>
    <w:rsid w:val="552A00CC"/>
    <w:rsid w:val="5531145B"/>
    <w:rsid w:val="55515659"/>
    <w:rsid w:val="557E4A1F"/>
    <w:rsid w:val="559147B0"/>
    <w:rsid w:val="5594267A"/>
    <w:rsid w:val="55BF03EB"/>
    <w:rsid w:val="55D123D3"/>
    <w:rsid w:val="55E85B51"/>
    <w:rsid w:val="55FB7050"/>
    <w:rsid w:val="56024BA5"/>
    <w:rsid w:val="563A2F48"/>
    <w:rsid w:val="563A7E9B"/>
    <w:rsid w:val="56847368"/>
    <w:rsid w:val="56AC35D4"/>
    <w:rsid w:val="56B063AF"/>
    <w:rsid w:val="56F52014"/>
    <w:rsid w:val="57250B4B"/>
    <w:rsid w:val="574A2360"/>
    <w:rsid w:val="5766136D"/>
    <w:rsid w:val="577D3E57"/>
    <w:rsid w:val="57F77ECD"/>
    <w:rsid w:val="57FA1FD8"/>
    <w:rsid w:val="580C0F2B"/>
    <w:rsid w:val="582C4479"/>
    <w:rsid w:val="582C7CB7"/>
    <w:rsid w:val="58333CC9"/>
    <w:rsid w:val="58443253"/>
    <w:rsid w:val="5859036E"/>
    <w:rsid w:val="58650145"/>
    <w:rsid w:val="58A40196"/>
    <w:rsid w:val="58C150C8"/>
    <w:rsid w:val="59123351"/>
    <w:rsid w:val="59254E33"/>
    <w:rsid w:val="593434C3"/>
    <w:rsid w:val="594F0490"/>
    <w:rsid w:val="594F2BF4"/>
    <w:rsid w:val="59523553"/>
    <w:rsid w:val="598124C3"/>
    <w:rsid w:val="59B83EF9"/>
    <w:rsid w:val="59D5328D"/>
    <w:rsid w:val="59D549E5"/>
    <w:rsid w:val="5A1276C2"/>
    <w:rsid w:val="5A582FE6"/>
    <w:rsid w:val="5A865DA5"/>
    <w:rsid w:val="5A974C33"/>
    <w:rsid w:val="5AB81D00"/>
    <w:rsid w:val="5AEF237B"/>
    <w:rsid w:val="5AEF67CA"/>
    <w:rsid w:val="5B995664"/>
    <w:rsid w:val="5BA364E3"/>
    <w:rsid w:val="5BB47AA6"/>
    <w:rsid w:val="5C07081F"/>
    <w:rsid w:val="5C0A47B4"/>
    <w:rsid w:val="5C473312"/>
    <w:rsid w:val="5CB61078"/>
    <w:rsid w:val="5CC73AFE"/>
    <w:rsid w:val="5D4C0A06"/>
    <w:rsid w:val="5D5C2DED"/>
    <w:rsid w:val="5D795D65"/>
    <w:rsid w:val="5DC154AA"/>
    <w:rsid w:val="5DF43025"/>
    <w:rsid w:val="5DF748C4"/>
    <w:rsid w:val="5DFA543E"/>
    <w:rsid w:val="5E044D27"/>
    <w:rsid w:val="5E07356A"/>
    <w:rsid w:val="5E153B4D"/>
    <w:rsid w:val="5E4567E9"/>
    <w:rsid w:val="5E8230DA"/>
    <w:rsid w:val="5E9D190F"/>
    <w:rsid w:val="5EA902B4"/>
    <w:rsid w:val="5EB24909"/>
    <w:rsid w:val="5ED12CA0"/>
    <w:rsid w:val="5F125E59"/>
    <w:rsid w:val="5F215633"/>
    <w:rsid w:val="5F29120D"/>
    <w:rsid w:val="5F4678B1"/>
    <w:rsid w:val="5F482FFF"/>
    <w:rsid w:val="5F942D12"/>
    <w:rsid w:val="5FAB005C"/>
    <w:rsid w:val="5FDD67C9"/>
    <w:rsid w:val="5FE13A7D"/>
    <w:rsid w:val="5FF7360B"/>
    <w:rsid w:val="602C7538"/>
    <w:rsid w:val="606625A5"/>
    <w:rsid w:val="608337CA"/>
    <w:rsid w:val="60982218"/>
    <w:rsid w:val="60B111C7"/>
    <w:rsid w:val="60FD39DD"/>
    <w:rsid w:val="61331E12"/>
    <w:rsid w:val="61891CD7"/>
    <w:rsid w:val="618B1EF3"/>
    <w:rsid w:val="619A3EE4"/>
    <w:rsid w:val="61A11716"/>
    <w:rsid w:val="61AD2B17"/>
    <w:rsid w:val="61C62AE8"/>
    <w:rsid w:val="61CA698B"/>
    <w:rsid w:val="61D373F6"/>
    <w:rsid w:val="61DF3FED"/>
    <w:rsid w:val="62051CA5"/>
    <w:rsid w:val="624A590A"/>
    <w:rsid w:val="62A2751C"/>
    <w:rsid w:val="62D81168"/>
    <w:rsid w:val="631D02EF"/>
    <w:rsid w:val="63205482"/>
    <w:rsid w:val="63343EC4"/>
    <w:rsid w:val="635F3637"/>
    <w:rsid w:val="637777D1"/>
    <w:rsid w:val="63A73671"/>
    <w:rsid w:val="63D06E10"/>
    <w:rsid w:val="63E061D3"/>
    <w:rsid w:val="63E678B4"/>
    <w:rsid w:val="64032214"/>
    <w:rsid w:val="64326656"/>
    <w:rsid w:val="6435150A"/>
    <w:rsid w:val="64496497"/>
    <w:rsid w:val="64607667"/>
    <w:rsid w:val="648140ED"/>
    <w:rsid w:val="64916E76"/>
    <w:rsid w:val="649C5698"/>
    <w:rsid w:val="64C72748"/>
    <w:rsid w:val="64E57B6C"/>
    <w:rsid w:val="64F14763"/>
    <w:rsid w:val="6516220D"/>
    <w:rsid w:val="65A76BCF"/>
    <w:rsid w:val="65C37EAD"/>
    <w:rsid w:val="6618650B"/>
    <w:rsid w:val="66C739CD"/>
    <w:rsid w:val="66D006EF"/>
    <w:rsid w:val="66D41C46"/>
    <w:rsid w:val="66FA3298"/>
    <w:rsid w:val="67054091"/>
    <w:rsid w:val="670F6303"/>
    <w:rsid w:val="67184229"/>
    <w:rsid w:val="67260AF2"/>
    <w:rsid w:val="672F50CE"/>
    <w:rsid w:val="67A64042"/>
    <w:rsid w:val="67A904C7"/>
    <w:rsid w:val="67B042EA"/>
    <w:rsid w:val="67E21FB0"/>
    <w:rsid w:val="67E81E4D"/>
    <w:rsid w:val="67F8461D"/>
    <w:rsid w:val="680B1697"/>
    <w:rsid w:val="68151891"/>
    <w:rsid w:val="681B7117"/>
    <w:rsid w:val="682975AC"/>
    <w:rsid w:val="68572B2F"/>
    <w:rsid w:val="68680898"/>
    <w:rsid w:val="686F109E"/>
    <w:rsid w:val="6888718C"/>
    <w:rsid w:val="68B8703B"/>
    <w:rsid w:val="68BD2ADD"/>
    <w:rsid w:val="68E63EB3"/>
    <w:rsid w:val="68E85E7D"/>
    <w:rsid w:val="69045508"/>
    <w:rsid w:val="691C1682"/>
    <w:rsid w:val="694413AF"/>
    <w:rsid w:val="694B2BD0"/>
    <w:rsid w:val="69601345"/>
    <w:rsid w:val="6963240D"/>
    <w:rsid w:val="696433A1"/>
    <w:rsid w:val="69A831FD"/>
    <w:rsid w:val="69AE49D0"/>
    <w:rsid w:val="69C2222A"/>
    <w:rsid w:val="69DB32EB"/>
    <w:rsid w:val="69DF102E"/>
    <w:rsid w:val="69EC54F9"/>
    <w:rsid w:val="6A2829D5"/>
    <w:rsid w:val="6A3C3CB5"/>
    <w:rsid w:val="6A516AC9"/>
    <w:rsid w:val="6A6F2026"/>
    <w:rsid w:val="6A8B7B48"/>
    <w:rsid w:val="6AAB7CFD"/>
    <w:rsid w:val="6AC87D14"/>
    <w:rsid w:val="6AD67294"/>
    <w:rsid w:val="6B35600B"/>
    <w:rsid w:val="6B5350BB"/>
    <w:rsid w:val="6B5670CE"/>
    <w:rsid w:val="6B5A731B"/>
    <w:rsid w:val="6B8527C4"/>
    <w:rsid w:val="6BC626D7"/>
    <w:rsid w:val="6C060AF4"/>
    <w:rsid w:val="6C3D64DF"/>
    <w:rsid w:val="6C532CBE"/>
    <w:rsid w:val="6C574E68"/>
    <w:rsid w:val="6C7B752A"/>
    <w:rsid w:val="6C81461E"/>
    <w:rsid w:val="6CA43E69"/>
    <w:rsid w:val="6CC87B57"/>
    <w:rsid w:val="6CE849DF"/>
    <w:rsid w:val="6D140FEE"/>
    <w:rsid w:val="6D5B09CB"/>
    <w:rsid w:val="6D8524F7"/>
    <w:rsid w:val="6DB06FF1"/>
    <w:rsid w:val="6DB403BA"/>
    <w:rsid w:val="6DE638F0"/>
    <w:rsid w:val="6DFF1D3F"/>
    <w:rsid w:val="6E0934C1"/>
    <w:rsid w:val="6E0F17B6"/>
    <w:rsid w:val="6E3D4575"/>
    <w:rsid w:val="6E8E4DD0"/>
    <w:rsid w:val="6E927CF6"/>
    <w:rsid w:val="6EB41798"/>
    <w:rsid w:val="6EBE3907"/>
    <w:rsid w:val="6EC9405A"/>
    <w:rsid w:val="6F2439DA"/>
    <w:rsid w:val="6F415570"/>
    <w:rsid w:val="6F573414"/>
    <w:rsid w:val="6F8F2BAE"/>
    <w:rsid w:val="6FB645DF"/>
    <w:rsid w:val="6FBB7E47"/>
    <w:rsid w:val="6FD0466E"/>
    <w:rsid w:val="6FD07A04"/>
    <w:rsid w:val="6FD64C81"/>
    <w:rsid w:val="6FD922F4"/>
    <w:rsid w:val="6FFA661F"/>
    <w:rsid w:val="700E441B"/>
    <w:rsid w:val="703D260A"/>
    <w:rsid w:val="708C17E3"/>
    <w:rsid w:val="70C81918"/>
    <w:rsid w:val="70CF4CEF"/>
    <w:rsid w:val="70E346B3"/>
    <w:rsid w:val="70E62CA2"/>
    <w:rsid w:val="70EB475C"/>
    <w:rsid w:val="71494FDF"/>
    <w:rsid w:val="71BB2380"/>
    <w:rsid w:val="71D04EC7"/>
    <w:rsid w:val="71D945B4"/>
    <w:rsid w:val="71FD4747"/>
    <w:rsid w:val="72031631"/>
    <w:rsid w:val="72514220"/>
    <w:rsid w:val="727B6292"/>
    <w:rsid w:val="72823568"/>
    <w:rsid w:val="72FA6762"/>
    <w:rsid w:val="73353A6C"/>
    <w:rsid w:val="73371AB4"/>
    <w:rsid w:val="734602EC"/>
    <w:rsid w:val="73623125"/>
    <w:rsid w:val="73830C7C"/>
    <w:rsid w:val="73852C46"/>
    <w:rsid w:val="73DA5C8B"/>
    <w:rsid w:val="73ED07EB"/>
    <w:rsid w:val="74257F85"/>
    <w:rsid w:val="74273073"/>
    <w:rsid w:val="74512A0F"/>
    <w:rsid w:val="746C1799"/>
    <w:rsid w:val="748D1686"/>
    <w:rsid w:val="74A866EE"/>
    <w:rsid w:val="74B135C7"/>
    <w:rsid w:val="74B81C87"/>
    <w:rsid w:val="74BF5CE3"/>
    <w:rsid w:val="74E04C2D"/>
    <w:rsid w:val="74E069C7"/>
    <w:rsid w:val="7507768A"/>
    <w:rsid w:val="7535244A"/>
    <w:rsid w:val="7544662D"/>
    <w:rsid w:val="758D193E"/>
    <w:rsid w:val="761E601D"/>
    <w:rsid w:val="763837E6"/>
    <w:rsid w:val="7641461F"/>
    <w:rsid w:val="76481D09"/>
    <w:rsid w:val="766308F1"/>
    <w:rsid w:val="76A1084D"/>
    <w:rsid w:val="76B86E8E"/>
    <w:rsid w:val="76D068FC"/>
    <w:rsid w:val="76E978FB"/>
    <w:rsid w:val="775841CD"/>
    <w:rsid w:val="77C17FC5"/>
    <w:rsid w:val="78076A68"/>
    <w:rsid w:val="782D24E9"/>
    <w:rsid w:val="783407ED"/>
    <w:rsid w:val="783B1B25"/>
    <w:rsid w:val="785901FD"/>
    <w:rsid w:val="789C599F"/>
    <w:rsid w:val="78A73CE1"/>
    <w:rsid w:val="78C53AE4"/>
    <w:rsid w:val="78C715B4"/>
    <w:rsid w:val="78D61EA1"/>
    <w:rsid w:val="78EE303B"/>
    <w:rsid w:val="790E7239"/>
    <w:rsid w:val="791B62F7"/>
    <w:rsid w:val="795001B5"/>
    <w:rsid w:val="79B3393D"/>
    <w:rsid w:val="79C57B06"/>
    <w:rsid w:val="79CB512B"/>
    <w:rsid w:val="79FF175D"/>
    <w:rsid w:val="7A0657BE"/>
    <w:rsid w:val="7A462FDC"/>
    <w:rsid w:val="7A4F18B8"/>
    <w:rsid w:val="7A522E64"/>
    <w:rsid w:val="7A614EC7"/>
    <w:rsid w:val="7A7D7BE7"/>
    <w:rsid w:val="7A8702C5"/>
    <w:rsid w:val="7AC57DCC"/>
    <w:rsid w:val="7AEB7713"/>
    <w:rsid w:val="7AF64429"/>
    <w:rsid w:val="7AF97A75"/>
    <w:rsid w:val="7AFF1711"/>
    <w:rsid w:val="7B086324"/>
    <w:rsid w:val="7B2E68F1"/>
    <w:rsid w:val="7B2F16E9"/>
    <w:rsid w:val="7B452056"/>
    <w:rsid w:val="7B8C6B3B"/>
    <w:rsid w:val="7BA53CAB"/>
    <w:rsid w:val="7BE90E62"/>
    <w:rsid w:val="7C3A3725"/>
    <w:rsid w:val="7C3C134D"/>
    <w:rsid w:val="7C5F3D97"/>
    <w:rsid w:val="7C725D31"/>
    <w:rsid w:val="7C7571A9"/>
    <w:rsid w:val="7C887FF1"/>
    <w:rsid w:val="7C980C4D"/>
    <w:rsid w:val="7CC73586"/>
    <w:rsid w:val="7D3B25C7"/>
    <w:rsid w:val="7D657644"/>
    <w:rsid w:val="7E2272E3"/>
    <w:rsid w:val="7E276276"/>
    <w:rsid w:val="7E7538B7"/>
    <w:rsid w:val="7E937D67"/>
    <w:rsid w:val="7E974F4D"/>
    <w:rsid w:val="7EDE145C"/>
    <w:rsid w:val="7F5D4A77"/>
    <w:rsid w:val="7F715F0C"/>
    <w:rsid w:val="7F8042C1"/>
    <w:rsid w:val="7F996783"/>
    <w:rsid w:val="7FA0533C"/>
    <w:rsid w:val="7FD47E96"/>
    <w:rsid w:val="7FD64829"/>
    <w:rsid w:val="7FF51DAB"/>
    <w:rsid w:val="FFD31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qFormat/>
    <w:uiPriority w:val="0"/>
    <w:pPr>
      <w:spacing w:before="120" w:line="312" w:lineRule="atLeast"/>
    </w:pPr>
    <w:rPr>
      <w:b/>
      <w:sz w:val="24"/>
    </w:rPr>
  </w:style>
  <w:style w:type="paragraph" w:styleId="4">
    <w:name w:val="annotation text"/>
    <w:basedOn w:val="1"/>
    <w:qFormat/>
    <w:uiPriority w:val="0"/>
    <w:pPr>
      <w:jc w:val="left"/>
    </w:pPr>
  </w:style>
  <w:style w:type="paragraph" w:styleId="5">
    <w:name w:val="Body Text"/>
    <w:basedOn w:val="1"/>
    <w:next w:val="6"/>
    <w:qFormat/>
    <w:uiPriority w:val="1"/>
    <w:rPr>
      <w:rFonts w:ascii="宋体" w:hAnsi="宋体" w:eastAsia="宋体" w:cs="宋体"/>
      <w:szCs w:val="28"/>
      <w:lang w:val="zh-CN" w:bidi="zh-CN"/>
    </w:rPr>
  </w:style>
  <w:style w:type="paragraph" w:styleId="6">
    <w:name w:val="Title"/>
    <w:basedOn w:val="1"/>
    <w:next w:val="1"/>
    <w:qFormat/>
    <w:uiPriority w:val="0"/>
    <w:pPr>
      <w:spacing w:before="240" w:after="60"/>
      <w:jc w:val="center"/>
      <w:outlineLvl w:val="0"/>
    </w:pPr>
    <w:rPr>
      <w:rFonts w:ascii="Cambria" w:hAnsi="Cambria" w:cs="Times New Roman"/>
      <w:b/>
      <w:bCs/>
      <w:sz w:val="32"/>
      <w:szCs w:val="32"/>
    </w:rPr>
  </w:style>
  <w:style w:type="paragraph" w:styleId="7">
    <w:name w:val="Balloon Text"/>
    <w:basedOn w:val="1"/>
    <w:link w:val="16"/>
    <w:qFormat/>
    <w:uiPriority w:val="0"/>
    <w:rPr>
      <w:sz w:val="18"/>
      <w:szCs w:val="18"/>
    </w:rPr>
  </w:style>
  <w:style w:type="paragraph" w:styleId="8">
    <w:name w:val="footer"/>
    <w:basedOn w:val="1"/>
    <w:link w:val="18"/>
    <w:qFormat/>
    <w:uiPriority w:val="99"/>
    <w:pPr>
      <w:tabs>
        <w:tab w:val="center" w:pos="4153"/>
        <w:tab w:val="right" w:pos="8306"/>
      </w:tabs>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Normal (Web)"/>
    <w:basedOn w:val="1"/>
    <w:qFormat/>
    <w:uiPriority w:val="0"/>
    <w:pPr>
      <w:spacing w:beforeAutospacing="1" w:afterAutospacing="1"/>
    </w:pPr>
    <w:rPr>
      <w:rFonts w:cs="Times New Roman"/>
      <w:sz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table" w:customStyle="1" w:styleId="15">
    <w:name w:val="Table Normal"/>
    <w:semiHidden/>
    <w:unhideWhenUsed/>
    <w:qFormat/>
    <w:uiPriority w:val="0"/>
    <w:tblPr>
      <w:tblCellMar>
        <w:top w:w="0" w:type="dxa"/>
        <w:left w:w="0" w:type="dxa"/>
        <w:bottom w:w="0" w:type="dxa"/>
        <w:right w:w="0" w:type="dxa"/>
      </w:tblCellMar>
    </w:tblPr>
  </w:style>
  <w:style w:type="character" w:customStyle="1" w:styleId="16">
    <w:name w:val="批注框文本 字符"/>
    <w:basedOn w:val="13"/>
    <w:link w:val="7"/>
    <w:qFormat/>
    <w:uiPriority w:val="0"/>
    <w:rPr>
      <w:rFonts w:ascii="Arial" w:hAnsi="Arial" w:eastAsia="Arial" w:cs="Arial"/>
      <w:snapToGrid w:val="0"/>
      <w:color w:val="000000"/>
      <w:sz w:val="18"/>
      <w:szCs w:val="18"/>
    </w:rPr>
  </w:style>
  <w:style w:type="paragraph" w:customStyle="1" w:styleId="17">
    <w:name w:val="修订1"/>
    <w:hidden/>
    <w:unhideWhenUsed/>
    <w:qFormat/>
    <w:uiPriority w:val="99"/>
    <w:rPr>
      <w:rFonts w:ascii="Arial" w:hAnsi="Arial" w:eastAsia="Arial" w:cs="Arial"/>
      <w:snapToGrid w:val="0"/>
      <w:color w:val="000000"/>
      <w:sz w:val="21"/>
      <w:szCs w:val="21"/>
      <w:lang w:val="en-US" w:eastAsia="zh-CN" w:bidi="ar-SA"/>
    </w:rPr>
  </w:style>
  <w:style w:type="character" w:customStyle="1" w:styleId="18">
    <w:name w:val="页脚 字符"/>
    <w:basedOn w:val="13"/>
    <w:link w:val="8"/>
    <w:qFormat/>
    <w:uiPriority w:val="99"/>
    <w:rPr>
      <w:rFonts w:ascii="Arial" w:hAnsi="Arial" w:eastAsia="Arial" w:cs="Arial"/>
      <w:snapToGrid w:val="0"/>
      <w:color w:val="000000"/>
      <w:sz w:val="18"/>
      <w:szCs w:val="21"/>
    </w:rPr>
  </w:style>
  <w:style w:type="paragraph" w:customStyle="1" w:styleId="19">
    <w:name w:val="修订2"/>
    <w:hidden/>
    <w:unhideWhenUsed/>
    <w:qFormat/>
    <w:uiPriority w:val="99"/>
    <w:rPr>
      <w:rFonts w:ascii="Arial" w:hAnsi="Arial" w:eastAsia="Arial" w:cs="Arial"/>
      <w:snapToGrid w:val="0"/>
      <w:color w:val="000000"/>
      <w:sz w:val="21"/>
      <w:szCs w:val="21"/>
      <w:lang w:val="en-US" w:eastAsia="zh-CN" w:bidi="ar-SA"/>
    </w:rPr>
  </w:style>
  <w:style w:type="paragraph" w:customStyle="1" w:styleId="20">
    <w:name w:val="修订3"/>
    <w:hidden/>
    <w:unhideWhenUsed/>
    <w:qFormat/>
    <w:uiPriority w:val="99"/>
    <w:rPr>
      <w:rFonts w:ascii="Arial" w:hAnsi="Arial" w:eastAsia="Arial" w:cs="Arial"/>
      <w:snapToGrid w:val="0"/>
      <w:color w:val="000000"/>
      <w:sz w:val="21"/>
      <w:szCs w:val="21"/>
      <w:lang w:val="en-US" w:eastAsia="zh-CN" w:bidi="ar-SA"/>
    </w:rPr>
  </w:style>
  <w:style w:type="character" w:customStyle="1" w:styleId="21">
    <w:name w:val="未处理的提及1"/>
    <w:basedOn w:val="13"/>
    <w:semiHidden/>
    <w:unhideWhenUsed/>
    <w:qFormat/>
    <w:uiPriority w:val="99"/>
    <w:rPr>
      <w:color w:val="605E5C"/>
      <w:shd w:val="clear" w:color="auto" w:fill="E1DFDD"/>
    </w:rPr>
  </w:style>
  <w:style w:type="paragraph" w:customStyle="1" w:styleId="22">
    <w:name w:val="修订4"/>
    <w:hidden/>
    <w:unhideWhenUsed/>
    <w:qFormat/>
    <w:uiPriority w:val="99"/>
    <w:rPr>
      <w:rFonts w:ascii="Arial" w:hAnsi="Arial" w:eastAsia="Arial" w:cs="Arial"/>
      <w:snapToGrid w:val="0"/>
      <w:color w:val="000000"/>
      <w:sz w:val="21"/>
      <w:szCs w:val="21"/>
      <w:lang w:val="en-US" w:eastAsia="zh-CN" w:bidi="ar-SA"/>
    </w:rPr>
  </w:style>
  <w:style w:type="paragraph" w:customStyle="1" w:styleId="23">
    <w:name w:val="修订5"/>
    <w:hidden/>
    <w:unhideWhenUsed/>
    <w:qFormat/>
    <w:uiPriority w:val="99"/>
    <w:rPr>
      <w:rFonts w:ascii="Arial" w:hAnsi="Arial" w:eastAsia="Arial" w:cs="Arial"/>
      <w:snapToGrid w:val="0"/>
      <w:color w:val="000000"/>
      <w:sz w:val="21"/>
      <w:szCs w:val="21"/>
      <w:lang w:val="en-US" w:eastAsia="zh-CN" w:bidi="ar-SA"/>
    </w:rPr>
  </w:style>
  <w:style w:type="paragraph" w:customStyle="1" w:styleId="24">
    <w:name w:val="修订6"/>
    <w:hidden/>
    <w:unhideWhenUsed/>
    <w:qFormat/>
    <w:uiPriority w:val="99"/>
    <w:rPr>
      <w:rFonts w:ascii="Arial" w:hAnsi="Arial" w:eastAsia="Arial" w:cs="Arial"/>
      <w:snapToGrid w:val="0"/>
      <w:color w:val="000000"/>
      <w:sz w:val="21"/>
      <w:szCs w:val="21"/>
      <w:lang w:val="en-US" w:eastAsia="zh-CN" w:bidi="ar-SA"/>
    </w:rPr>
  </w:style>
  <w:style w:type="paragraph" w:customStyle="1" w:styleId="25">
    <w:name w:val="Revision"/>
    <w:hidden/>
    <w:unhideWhenUsed/>
    <w:qFormat/>
    <w:uiPriority w:val="99"/>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8f00c7f3-320e-4200-b69c-bbd24fe8027f</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6A19459D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5a42cf38-bc2b-4e71-b5f5-92573b29f577</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5F3DFB5B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9335ff0c-dd61-41dc-9a4c-aadc1e81c44d</errorID>
      <errorWord xmlns="http://schemas.wps.cn/vas-ai-hub/contract-review">省人民政府办公室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省人民政府办公厅</item>
      </candidateList>
      <explain xmlns="http://schemas.wps.cn/vas-ai-hub/contract-review">机关单位名称不规范，请注意审核。</explain>
      <paraID xmlns="http://schemas.wps.cn/vas-ai-hub/contract-review">5B155746</paraID>
      <start xmlns="http://schemas.wps.cn/vas-ai-hub/contract-review">31</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13a0bb1b-0483-4118-8920-003b61df16f3</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65258959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f1ac804a-e746-4bb9-b797-d91cf19d0e7e</errorID>
      <errorWord xmlns="http://schemas.wps.cn/vas-ai-hub/contract-review">城乡公共服务均等化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城乡基本公共服务均等化</item>
      </candidateList>
      <explain xmlns="http://schemas.wps.cn/vas-ai-hub/contract-review">词汇“城乡基本公共服务均等化”在特定场景下为固定表述形式，请确认此处的“城乡公共服务均等化”是否存在不当。</explain>
      <paraID xmlns="http://schemas.wps.cn/vas-ai-hub/contract-review">50378185</paraID>
      <start xmlns="http://schemas.wps.cn/vas-ai-hub/contract-review">201</start>
      <end xmlns="http://schemas.wps.cn/vas-ai-hub/contract-review">210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1cb6cc8f-d804-4d18-8f89-e5f47f1514eb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53C49FBA</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5304f398-2e8d-498b-87ca-eef1d8d1942c</errorID>
      <errorWord xmlns="http://schemas.wps.cn/vas-ai-hub/contract-review">城乡公共服务均等化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城乡基本公共服务均等化</item>
      </candidateList>
      <explain xmlns="http://schemas.wps.cn/vas-ai-hub/contract-review">词汇“城乡基本公共服务均等化”在特定场景下为固定表述形式，请确认此处的“城乡公共服务均等化”是否存在不当。</explain>
      <paraID xmlns="http://schemas.wps.cn/vas-ai-hub/contract-review">7FFDCF29</paraID>
      <start xmlns="http://schemas.wps.cn/vas-ai-hub/contract-review">62</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3e981ed3-1e05-469d-b396-de4dd6cce995</errorID>
      <errorWord xmlns="http://schemas.wps.cn/vas-ai-hub/contract-review">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胜区</item>
      </candidateList>
      <explain xmlns="http://schemas.wps.cn/vas-ai-hub/contract-review"/>
      <paraID xmlns="http://schemas.wps.cn/vas-ai-hub/contract-review">68F31D7D</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945a422f-384b-41dc-98b4-83150fad5de9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6B5C12F8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c0454866-c149-442d-aedf-169ebc4cf5b5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6B5C12F8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248b2c9e-eef7-4719-b048-d399c7420a98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3F0BA182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7b984ab6-daaa-44e7-805d-e79e7f3634f3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3F0BA182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abfffd8d-de45-4894-869c-c13c200c61cf</errorID>
      <errorWord xmlns="http://schemas.wps.cn/vas-ai-hub/contract-review">城开发边界</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城镇开发边界</item>
      </candidateList>
      <explain xmlns="http://schemas.wps.cn/vas-ai-hub/contract-review">词汇“城镇开发边界”在特定场景下为固定表述形式，请确认此处的“城开发边界”是否存在不当。</explain>
      <paraID xmlns="http://schemas.wps.cn/vas-ai-hub/contract-review">2787C098</paraID>
      <start xmlns="http://schemas.wps.cn/vas-ai-hub/contract-review">0</start>
      <end xmlns="http://schemas.wps.cn/vas-ai-hub/contract-review">6</end>
      <status xmlns="http://schemas.wps.cn/vas-ai-hub/contract-review">modified</status>
      <modifiedWord xmlns="http://schemas.wps.cn/vas-ai-hub/contract-review">城镇开发边界</modifiedWord>
      <trackRevisions xmlns="http://schemas.wps.cn/vas-ai-hub/contract-review">false</trackRevisions>
    </reviewItem>
    <reviewItem xmlns="http://schemas.wps.cn/vas-ai-hub/contract-review">
      <errorID xmlns="http://schemas.wps.cn/vas-ai-hub/contract-review">24b615e0-4333-4fb8-8ccd-449364f89048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6CC242D3</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45962514-8fc1-43ba-bbb7-2e0ff3b5f677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6CC242D3</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3f6bf-75e2-442c-ab92-b4500e574285}">
  <ds:schemaRefs/>
</ds:datastoreItem>
</file>

<file path=customXml/itemProps2.xml><?xml version="1.0" encoding="utf-8"?>
<ds:datastoreItem xmlns:ds="http://schemas.openxmlformats.org/officeDocument/2006/customXml" ds:itemID="{811D9505-993B-4003-8F3E-EAB82A5E5B3D}">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7661</Words>
  <Characters>8514</Characters>
  <Lines>463</Lines>
  <Paragraphs>246</Paragraphs>
  <TotalTime>61</TotalTime>
  <ScaleCrop>false</ScaleCrop>
  <LinksUpToDate>false</LinksUpToDate>
  <CharactersWithSpaces>8575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2025-04-28T22:11:00Z</dcterms:created>
  <dc:creator>Administrator</dc:creator>
  <cp:lastModifiedBy>zrjbgs-xy</cp:lastModifiedBy>
  <cp:lastPrinted>2025-12-15T17:07:00Z</cp:lastPrinted>
  <dcterms:modified xsi:type="dcterms:W3CDTF">2026-04-10T16:48:50Z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2024-10-28T14:42:36Z</vt:filetime>
  </property>
  <property fmtid="{D5CDD505-2E9C-101B-9397-08002B2CF9AE}" pid="4" name="KSOProductBuildVer">
    <vt:lpwstr>2052-12.8.2.1119</vt:lpwstr>
  </property>
  <property fmtid="{D5CDD505-2E9C-101B-9397-08002B2CF9AE}" pid="5" name="ICV">
    <vt:lpwstr>CE81E2087C85434E80EBC44534B09F86_13</vt:lpwstr>
  </property>
  <property fmtid="{D5CDD505-2E9C-101B-9397-08002B2CF9AE}" pid="6" name="KSOTemplateDocerSaveRecord">
    <vt:lpwstr>eyJoZGlkIjoiMGYyNjgwZjdiNTkzNzM4OTZjYzdlMTdmNzJlYWVmZDciLCJ1c2VySWQiOiI2MzU5NjM2NjIifQ==</vt:lpwstr>
  </property>
</Properties>
</file>