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298BF5">
      <w:pPr>
        <w:pStyle w:val="6"/>
        <w:spacing w:line="360" w:lineRule="auto"/>
        <w:rPr>
          <w:rFonts w:hint="default" w:ascii="Times New Roman" w:hAnsi="Times New Roman" w:cs="Times New Roman"/>
          <w:b/>
          <w:sz w:val="20"/>
          <w:highlight w:val="none"/>
        </w:rPr>
      </w:pPr>
    </w:p>
    <w:p w14:paraId="67634B31">
      <w:pPr>
        <w:pStyle w:val="6"/>
        <w:spacing w:line="360" w:lineRule="auto"/>
        <w:rPr>
          <w:rFonts w:hint="default" w:ascii="Times New Roman" w:hAnsi="Times New Roman" w:cs="Times New Roman"/>
          <w:b/>
          <w:sz w:val="20"/>
          <w:highlight w:val="none"/>
        </w:rPr>
      </w:pPr>
    </w:p>
    <w:p w14:paraId="3852EB4E">
      <w:pPr>
        <w:numPr>
          <w:ilvl w:val="0"/>
          <w:numId w:val="0"/>
        </w:numPr>
        <w:autoSpaceDE/>
        <w:autoSpaceDN/>
        <w:ind w:firstLine="880" w:firstLineChars="200"/>
        <w:jc w:val="center"/>
        <w:rPr>
          <w:rFonts w:hint="eastAsia" w:ascii="方正小标宋简体" w:hAnsi="方正小标宋简体" w:eastAsia="方正小标宋简体" w:cs="方正小标宋简体"/>
          <w:kern w:val="2"/>
          <w:sz w:val="44"/>
          <w:szCs w:val="44"/>
          <w:lang w:val="en-US" w:bidi="ar-SA"/>
        </w:rPr>
      </w:pPr>
      <w:bookmarkStart w:id="0" w:name="_Toc259707169"/>
      <w:bookmarkStart w:id="1" w:name="_Toc2827"/>
      <w:bookmarkStart w:id="2" w:name="_Toc10342"/>
      <w:bookmarkStart w:id="3" w:name="_Toc22756"/>
      <w:bookmarkStart w:id="4" w:name="_Toc12430"/>
      <w:bookmarkStart w:id="5" w:name="_Toc24185"/>
      <w:bookmarkStart w:id="6" w:name="_Toc118982803"/>
      <w:bookmarkStart w:id="7" w:name="_Toc21022"/>
      <w:bookmarkStart w:id="8" w:name="_Toc24364"/>
      <w:bookmarkStart w:id="9" w:name="_Toc8743"/>
      <w:bookmarkStart w:id="10" w:name="_Toc18162"/>
      <w:bookmarkStart w:id="11" w:name="_Toc3496"/>
      <w:bookmarkStart w:id="12" w:name="_Toc15019"/>
      <w:bookmarkStart w:id="13" w:name="_Toc2118"/>
      <w:r>
        <w:rPr>
          <w:rFonts w:hint="eastAsia" w:ascii="方正小标宋简体" w:hAnsi="方正小标宋简体" w:eastAsia="方正小标宋简体" w:cs="方正小标宋简体"/>
          <w:kern w:val="2"/>
          <w:sz w:val="44"/>
          <w:szCs w:val="44"/>
          <w:lang w:val="en-US" w:bidi="ar-SA"/>
        </w:rPr>
        <w:t>南雄市声环境功能区划方案</w:t>
      </w:r>
      <w:bookmarkEnd w:id="0"/>
      <w:bookmarkEnd w:id="1"/>
      <w:bookmarkEnd w:id="2"/>
      <w:bookmarkEnd w:id="3"/>
      <w:bookmarkEnd w:id="4"/>
      <w:bookmarkEnd w:id="5"/>
      <w:bookmarkEnd w:id="6"/>
      <w:bookmarkEnd w:id="7"/>
      <w:bookmarkEnd w:id="8"/>
    </w:p>
    <w:p w14:paraId="474DF46F">
      <w:pPr>
        <w:numPr>
          <w:ilvl w:val="0"/>
          <w:numId w:val="0"/>
        </w:numPr>
        <w:autoSpaceDE/>
        <w:autoSpaceDN/>
        <w:ind w:firstLine="880" w:firstLineChars="200"/>
        <w:jc w:val="center"/>
        <w:rPr>
          <w:rFonts w:hint="eastAsia" w:ascii="方正小标宋简体" w:hAnsi="方正小标宋简体" w:eastAsia="方正小标宋简体" w:cs="方正小标宋简体"/>
          <w:kern w:val="2"/>
          <w:sz w:val="44"/>
          <w:szCs w:val="44"/>
          <w:lang w:val="en-US" w:eastAsia="zh-CN" w:bidi="ar-SA"/>
        </w:rPr>
      </w:pPr>
      <w:bookmarkStart w:id="14" w:name="_Toc12394"/>
      <w:bookmarkStart w:id="15" w:name="_Toc61846157"/>
      <w:r>
        <w:rPr>
          <w:rFonts w:hint="eastAsia" w:ascii="方正小标宋简体" w:hAnsi="方正小标宋简体" w:eastAsia="方正小标宋简体" w:cs="方正小标宋简体"/>
          <w:kern w:val="2"/>
          <w:sz w:val="44"/>
          <w:szCs w:val="44"/>
          <w:lang w:val="en-US" w:eastAsia="zh-CN" w:bidi="ar-SA"/>
        </w:rPr>
        <w:t>（修订版）</w:t>
      </w:r>
      <w:bookmarkEnd w:id="9"/>
      <w:bookmarkEnd w:id="10"/>
      <w:bookmarkEnd w:id="11"/>
      <w:bookmarkEnd w:id="12"/>
      <w:bookmarkEnd w:id="13"/>
      <w:bookmarkEnd w:id="14"/>
      <w:bookmarkEnd w:id="15"/>
    </w:p>
    <w:p w14:paraId="39C73C5A">
      <w:pPr>
        <w:pStyle w:val="2"/>
        <w:rPr>
          <w:rFonts w:hint="eastAsia" w:ascii="方正小标宋简体" w:hAnsi="方正小标宋简体" w:eastAsia="方正小标宋简体" w:cs="方正小标宋简体"/>
          <w:kern w:val="2"/>
          <w:sz w:val="44"/>
          <w:szCs w:val="44"/>
          <w:lang w:val="en-US" w:eastAsia="zh-CN" w:bidi="ar-SA"/>
        </w:rPr>
      </w:pPr>
    </w:p>
    <w:p w14:paraId="07C3999E">
      <w:pPr>
        <w:rPr>
          <w:rFonts w:hint="eastAsia" w:ascii="方正小标宋简体" w:hAnsi="方正小标宋简体" w:eastAsia="方正小标宋简体" w:cs="方正小标宋简体"/>
          <w:kern w:val="2"/>
          <w:sz w:val="44"/>
          <w:szCs w:val="44"/>
          <w:lang w:val="en-US" w:eastAsia="zh-CN" w:bidi="ar-SA"/>
        </w:rPr>
      </w:pPr>
    </w:p>
    <w:p w14:paraId="2A80326A">
      <w:pPr>
        <w:pStyle w:val="6"/>
        <w:spacing w:line="360" w:lineRule="auto"/>
        <w:rPr>
          <w:rFonts w:hint="default" w:ascii="Times New Roman" w:hAnsi="Times New Roman" w:cs="Times New Roman"/>
          <w:b/>
          <w:sz w:val="44"/>
          <w:highlight w:val="none"/>
        </w:rPr>
      </w:pPr>
      <w:bookmarkStart w:id="147" w:name="_GoBack"/>
      <w:bookmarkEnd w:id="147"/>
    </w:p>
    <w:p w14:paraId="30894FB8">
      <w:pPr>
        <w:pStyle w:val="6"/>
        <w:spacing w:line="360" w:lineRule="auto"/>
        <w:rPr>
          <w:rFonts w:hint="default" w:ascii="Times New Roman" w:hAnsi="Times New Roman" w:cs="Times New Roman"/>
          <w:b/>
          <w:sz w:val="44"/>
          <w:highlight w:val="none"/>
        </w:rPr>
      </w:pPr>
    </w:p>
    <w:p w14:paraId="5D1172E1">
      <w:pPr>
        <w:pStyle w:val="6"/>
        <w:spacing w:line="360" w:lineRule="auto"/>
        <w:rPr>
          <w:rFonts w:hint="default" w:ascii="Times New Roman" w:hAnsi="Times New Roman" w:cs="Times New Roman"/>
          <w:b/>
          <w:sz w:val="44"/>
          <w:highlight w:val="none"/>
        </w:rPr>
      </w:pPr>
    </w:p>
    <w:p w14:paraId="1AE8E6D7">
      <w:pPr>
        <w:pStyle w:val="6"/>
        <w:spacing w:line="360" w:lineRule="auto"/>
        <w:rPr>
          <w:rFonts w:hint="default" w:ascii="Times New Roman" w:hAnsi="Times New Roman" w:cs="Times New Roman"/>
          <w:b/>
          <w:sz w:val="44"/>
          <w:highlight w:val="none"/>
        </w:rPr>
      </w:pPr>
    </w:p>
    <w:p w14:paraId="4C7EA7F5">
      <w:pPr>
        <w:pStyle w:val="6"/>
        <w:spacing w:line="360" w:lineRule="auto"/>
        <w:rPr>
          <w:rFonts w:hint="default" w:ascii="Times New Roman" w:hAnsi="Times New Roman" w:cs="Times New Roman"/>
          <w:b/>
          <w:sz w:val="44"/>
          <w:highlight w:val="none"/>
        </w:rPr>
      </w:pPr>
    </w:p>
    <w:p w14:paraId="28464EF7">
      <w:pPr>
        <w:pStyle w:val="6"/>
        <w:spacing w:line="360" w:lineRule="auto"/>
        <w:rPr>
          <w:rFonts w:hint="default" w:ascii="Times New Roman" w:hAnsi="Times New Roman" w:cs="Times New Roman"/>
          <w:b/>
          <w:sz w:val="44"/>
          <w:highlight w:val="none"/>
        </w:rPr>
      </w:pPr>
    </w:p>
    <w:p w14:paraId="0B374717">
      <w:pPr>
        <w:pStyle w:val="6"/>
        <w:spacing w:line="360" w:lineRule="auto"/>
        <w:rPr>
          <w:rFonts w:hint="default" w:ascii="Times New Roman" w:hAnsi="Times New Roman" w:cs="Times New Roman"/>
          <w:b/>
          <w:sz w:val="44"/>
          <w:highlight w:val="none"/>
        </w:rPr>
      </w:pPr>
    </w:p>
    <w:p w14:paraId="67FB11E7">
      <w:pPr>
        <w:pStyle w:val="6"/>
        <w:spacing w:line="360" w:lineRule="auto"/>
        <w:rPr>
          <w:rFonts w:hint="default" w:ascii="Times New Roman" w:hAnsi="Times New Roman" w:cs="Times New Roman"/>
          <w:b/>
          <w:sz w:val="44"/>
          <w:highlight w:val="none"/>
        </w:rPr>
      </w:pPr>
    </w:p>
    <w:p w14:paraId="2A2F505E">
      <w:pPr>
        <w:spacing w:line="360" w:lineRule="auto"/>
        <w:ind w:left="1557" w:right="1774"/>
        <w:jc w:val="center"/>
        <w:rPr>
          <w:rFonts w:hint="default" w:ascii="Times New Roman" w:hAnsi="Times New Roman" w:cs="Times New Roman"/>
          <w:bCs/>
          <w:sz w:val="32"/>
          <w:szCs w:val="32"/>
          <w:highlight w:val="none"/>
        </w:rPr>
      </w:pPr>
    </w:p>
    <w:p w14:paraId="26BBCCC6">
      <w:pPr>
        <w:spacing w:line="360" w:lineRule="auto"/>
        <w:ind w:left="1557" w:right="1774"/>
        <w:jc w:val="center"/>
        <w:rPr>
          <w:rFonts w:hint="default" w:ascii="Times New Roman" w:hAnsi="Times New Roman" w:cs="Times New Roman"/>
          <w:bCs/>
          <w:sz w:val="32"/>
          <w:szCs w:val="32"/>
          <w:highlight w:val="none"/>
        </w:rPr>
      </w:pPr>
    </w:p>
    <w:p w14:paraId="7B220C56">
      <w:pPr>
        <w:pStyle w:val="6"/>
        <w:spacing w:line="360" w:lineRule="auto"/>
        <w:jc w:val="center"/>
        <w:rPr>
          <w:rFonts w:hint="default" w:ascii="Times New Roman" w:hAnsi="Times New Roman" w:cs="Times New Roman"/>
          <w:b/>
          <w:sz w:val="44"/>
          <w:highlight w:val="none"/>
          <w:lang w:val="en-US" w:eastAsia="zh-CN"/>
        </w:rPr>
      </w:pPr>
      <w:r>
        <w:rPr>
          <w:rFonts w:hint="eastAsia" w:ascii="Times New Roman" w:hAnsi="Times New Roman" w:cs="Times New Roman"/>
          <w:b/>
          <w:sz w:val="44"/>
          <w:highlight w:val="none"/>
          <w:lang w:val="en-US" w:eastAsia="zh-CN"/>
        </w:rPr>
        <w:t xml:space="preserve">       </w:t>
      </w:r>
      <w:r>
        <w:rPr>
          <w:rFonts w:hint="default" w:ascii="Times New Roman" w:hAnsi="Times New Roman" w:cs="Times New Roman"/>
          <w:b/>
          <w:sz w:val="44"/>
          <w:highlight w:val="none"/>
          <w:lang w:val="en-US" w:eastAsia="zh-CN"/>
        </w:rPr>
        <w:t>南雄市人民政府</w:t>
      </w:r>
    </w:p>
    <w:p w14:paraId="3B2BE2BD">
      <w:pPr>
        <w:numPr>
          <w:ilvl w:val="0"/>
          <w:numId w:val="0"/>
        </w:numPr>
        <w:autoSpaceDE/>
        <w:autoSpaceDN/>
        <w:ind w:firstLine="3520" w:firstLineChars="800"/>
        <w:jc w:val="both"/>
        <w:rPr>
          <w:rFonts w:hint="default" w:ascii="Times New Roman" w:hAnsi="Times New Roman" w:eastAsia="方正小标宋简体" w:cs="Times New Roman"/>
          <w:kern w:val="2"/>
          <w:sz w:val="44"/>
          <w:szCs w:val="44"/>
          <w:lang w:val="en-US" w:bidi="ar-SA"/>
        </w:rPr>
      </w:pPr>
      <w:r>
        <w:rPr>
          <w:rFonts w:hint="default" w:ascii="Times New Roman" w:hAnsi="Times New Roman" w:eastAsia="方正小标宋简体" w:cs="Times New Roman"/>
          <w:kern w:val="2"/>
          <w:sz w:val="44"/>
          <w:szCs w:val="44"/>
          <w:lang w:val="en-US" w:eastAsia="zh-CN" w:bidi="ar-SA"/>
        </w:rPr>
        <w:t>2025</w:t>
      </w:r>
      <w:r>
        <w:rPr>
          <w:rFonts w:hint="default" w:ascii="Times New Roman" w:hAnsi="Times New Roman" w:eastAsia="方正小标宋简体" w:cs="Times New Roman"/>
          <w:kern w:val="2"/>
          <w:sz w:val="44"/>
          <w:szCs w:val="44"/>
          <w:lang w:val="en-US" w:bidi="ar-SA"/>
        </w:rPr>
        <w:t>年</w:t>
      </w:r>
      <w:r>
        <w:rPr>
          <w:rFonts w:hint="eastAsia" w:ascii="Times New Roman" w:hAnsi="Times New Roman" w:eastAsia="方正小标宋简体" w:cs="Times New Roman"/>
          <w:kern w:val="2"/>
          <w:sz w:val="44"/>
          <w:szCs w:val="44"/>
          <w:lang w:val="en-US" w:eastAsia="zh-CN" w:bidi="ar-SA"/>
        </w:rPr>
        <w:t>9</w:t>
      </w:r>
      <w:r>
        <w:rPr>
          <w:rFonts w:hint="default" w:ascii="Times New Roman" w:hAnsi="Times New Roman" w:eastAsia="方正小标宋简体" w:cs="Times New Roman"/>
          <w:kern w:val="2"/>
          <w:sz w:val="44"/>
          <w:szCs w:val="44"/>
          <w:lang w:val="en-US" w:bidi="ar-SA"/>
        </w:rPr>
        <w:t>月</w:t>
      </w:r>
    </w:p>
    <w:p w14:paraId="3A4D21D7">
      <w:pPr>
        <w:spacing w:line="360" w:lineRule="auto"/>
        <w:jc w:val="center"/>
        <w:rPr>
          <w:rFonts w:hint="default" w:ascii="Times New Roman" w:hAnsi="Times New Roman" w:cs="Times New Roman"/>
          <w:bCs/>
          <w:sz w:val="44"/>
          <w:highlight w:val="yellow"/>
        </w:rPr>
      </w:pPr>
    </w:p>
    <w:p w14:paraId="34BEDC7E">
      <w:pPr>
        <w:spacing w:line="360" w:lineRule="auto"/>
        <w:jc w:val="center"/>
        <w:rPr>
          <w:rFonts w:hint="default" w:ascii="Times New Roman" w:hAnsi="Times New Roman" w:cs="Times New Roman"/>
          <w:sz w:val="44"/>
          <w:highlight w:val="yellow"/>
          <w:lang w:val="en-US"/>
        </w:rPr>
        <w:sectPr>
          <w:type w:val="continuous"/>
          <w:pgSz w:w="11910" w:h="16840"/>
          <w:pgMar w:top="1460" w:right="1520" w:bottom="280" w:left="1660" w:header="720" w:footer="720" w:gutter="0"/>
          <w:pgNumType w:fmt="decimal"/>
          <w:cols w:space="720" w:num="1"/>
        </w:sectPr>
      </w:pPr>
    </w:p>
    <w:p w14:paraId="070BCE8C">
      <w:pPr>
        <w:spacing w:before="17" w:line="360" w:lineRule="auto"/>
        <w:ind w:left="1635" w:right="1773"/>
        <w:jc w:val="center"/>
        <w:rPr>
          <w:rFonts w:hint="default" w:ascii="Times New Roman" w:hAnsi="Times New Roman" w:cs="Times New Roman"/>
          <w:b/>
          <w:bCs/>
          <w:sz w:val="36"/>
          <w:highlight w:val="yellow"/>
        </w:rPr>
      </w:pPr>
    </w:p>
    <w:p w14:paraId="245D1A28">
      <w:pPr>
        <w:numPr>
          <w:ilvl w:val="0"/>
          <w:numId w:val="0"/>
        </w:numPr>
        <w:autoSpaceDE/>
        <w:autoSpaceDN/>
        <w:ind w:firstLine="3960" w:firstLineChars="900"/>
        <w:jc w:val="both"/>
        <w:rPr>
          <w:rFonts w:hint="eastAsia" w:ascii="仿宋_GB2312" w:hAnsi="仿宋_GB2312" w:eastAsia="仿宋_GB2312" w:cs="仿宋_GB2312"/>
          <w:sz w:val="44"/>
          <w:szCs w:val="44"/>
          <w:highlight w:val="none"/>
        </w:rPr>
      </w:pPr>
      <w:r>
        <w:rPr>
          <w:rFonts w:hint="eastAsia" w:ascii="方正小标宋简体" w:hAnsi="方正小标宋简体" w:eastAsia="方正小标宋简体" w:cs="方正小标宋简体"/>
          <w:kern w:val="2"/>
          <w:sz w:val="44"/>
          <w:szCs w:val="44"/>
          <w:lang w:val="en-US" w:bidi="ar-SA"/>
        </w:rPr>
        <w:t>目录</w:t>
      </w:r>
    </w:p>
    <w:sdt>
      <w:sdtPr>
        <w:rPr>
          <w:rFonts w:hint="default" w:ascii="Times New Roman" w:hAnsi="Times New Roman" w:cs="Times New Roman"/>
          <w:sz w:val="21"/>
          <w:szCs w:val="22"/>
          <w:highlight w:val="yellow"/>
        </w:rPr>
        <w:id w:val="147455229"/>
        <w15:color w:val="DBDBDB"/>
        <w:docPartObj>
          <w:docPartGallery w:val="Table of Contents"/>
          <w:docPartUnique/>
        </w:docPartObj>
      </w:sdtPr>
      <w:sdtEndPr>
        <w:rPr>
          <w:rFonts w:hint="default" w:ascii="Times New Roman" w:hAnsi="Times New Roman" w:cs="Times New Roman"/>
          <w:sz w:val="21"/>
          <w:szCs w:val="22"/>
          <w:highlight w:val="yellow"/>
        </w:rPr>
      </w:sdtEndPr>
      <w:sdtContent>
        <w:p w14:paraId="717092E3">
          <w:pPr>
            <w:spacing w:before="0" w:beforeLines="0" w:after="0" w:afterLines="0" w:line="240" w:lineRule="auto"/>
            <w:ind w:left="0" w:leftChars="0" w:right="0" w:rightChars="0" w:firstLine="0" w:firstLineChars="0"/>
            <w:jc w:val="center"/>
            <w:rPr>
              <w:rFonts w:hint="default" w:ascii="Times New Roman" w:hAnsi="Times New Roman" w:cs="Times New Roman"/>
              <w:sz w:val="21"/>
              <w:szCs w:val="22"/>
              <w:highlight w:val="yellow"/>
            </w:rPr>
          </w:pPr>
        </w:p>
        <w:p w14:paraId="78465CBD">
          <w:pPr>
            <w:pStyle w:val="16"/>
            <w:rPr>
              <w:rFonts w:hint="default" w:ascii="Times New Roman" w:hAnsi="Times New Roman" w:cs="Times New Roman"/>
            </w:rPr>
          </w:pPr>
        </w:p>
        <w:p w14:paraId="2459E390">
          <w:pPr>
            <w:pStyle w:val="10"/>
            <w:tabs>
              <w:tab w:val="right" w:leader="dot" w:pos="8730"/>
            </w:tabs>
          </w:pPr>
          <w:r>
            <w:rPr>
              <w:rFonts w:hint="default" w:ascii="Times New Roman" w:hAnsi="Times New Roman" w:cs="Times New Roman"/>
              <w:b/>
              <w:bCs/>
              <w:highlight w:val="yellow"/>
            </w:rPr>
            <w:fldChar w:fldCharType="begin"/>
          </w:r>
          <w:r>
            <w:rPr>
              <w:rFonts w:hint="default" w:ascii="Times New Roman" w:hAnsi="Times New Roman" w:cs="Times New Roman"/>
              <w:b/>
              <w:bCs/>
              <w:highlight w:val="yellow"/>
            </w:rPr>
            <w:instrText xml:space="preserve">TOC \o "1-3" \h \u </w:instrText>
          </w:r>
          <w:r>
            <w:rPr>
              <w:rFonts w:hint="default" w:ascii="Times New Roman" w:hAnsi="Times New Roman" w:cs="Times New Roman"/>
              <w:b/>
              <w:bCs/>
              <w:highlight w:val="yellow"/>
            </w:rPr>
            <w:fldChar w:fldCharType="separate"/>
          </w:r>
        </w:p>
        <w:p w14:paraId="400EC83C">
          <w:pPr>
            <w:pStyle w:val="10"/>
            <w:tabs>
              <w:tab w:val="right" w:leader="dot" w:pos="8730"/>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highlight w:val="yellow"/>
            </w:rPr>
            <w:fldChar w:fldCharType="begin"/>
          </w:r>
          <w:r>
            <w:rPr>
              <w:rFonts w:hint="eastAsia" w:ascii="仿宋_GB2312" w:hAnsi="仿宋_GB2312" w:eastAsia="仿宋_GB2312" w:cs="仿宋_GB2312"/>
              <w:bCs/>
              <w:sz w:val="32"/>
              <w:szCs w:val="32"/>
              <w:highlight w:val="yellow"/>
            </w:rPr>
            <w:instrText xml:space="preserve"> HYPERLINK \l _Toc29226 </w:instrText>
          </w:r>
          <w:r>
            <w:rPr>
              <w:rFonts w:hint="eastAsia" w:ascii="仿宋_GB2312" w:hAnsi="仿宋_GB2312" w:eastAsia="仿宋_GB2312" w:cs="仿宋_GB2312"/>
              <w:bCs/>
              <w:sz w:val="32"/>
              <w:szCs w:val="32"/>
              <w:highlight w:val="yellow"/>
            </w:rPr>
            <w:fldChar w:fldCharType="separate"/>
          </w:r>
          <w:r>
            <w:rPr>
              <w:rFonts w:hint="eastAsia" w:ascii="仿宋_GB2312" w:hAnsi="仿宋_GB2312" w:eastAsia="仿宋_GB2312" w:cs="仿宋_GB2312"/>
              <w:sz w:val="32"/>
              <w:szCs w:val="32"/>
              <w:highlight w:val="none"/>
              <w:lang w:val="en-US" w:eastAsia="zh-CN"/>
            </w:rPr>
            <w:t>一、</w:t>
          </w:r>
          <w:r>
            <w:rPr>
              <w:rFonts w:hint="eastAsia" w:ascii="仿宋_GB2312" w:hAnsi="仿宋_GB2312" w:eastAsia="仿宋_GB2312" w:cs="仿宋_GB2312"/>
              <w:sz w:val="32"/>
              <w:szCs w:val="32"/>
              <w:highlight w:val="none"/>
              <w:lang w:val="en-US"/>
            </w:rPr>
            <w:t>区划范围</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_Toc29226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highlight w:val="yellow"/>
            </w:rPr>
            <w:fldChar w:fldCharType="end"/>
          </w:r>
        </w:p>
        <w:p w14:paraId="45088FC7">
          <w:pPr>
            <w:pStyle w:val="10"/>
            <w:tabs>
              <w:tab w:val="right" w:leader="dot" w:pos="8730"/>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highlight w:val="yellow"/>
            </w:rPr>
            <w:fldChar w:fldCharType="begin"/>
          </w:r>
          <w:r>
            <w:rPr>
              <w:rFonts w:hint="eastAsia" w:ascii="仿宋_GB2312" w:hAnsi="仿宋_GB2312" w:eastAsia="仿宋_GB2312" w:cs="仿宋_GB2312"/>
              <w:bCs/>
              <w:sz w:val="32"/>
              <w:szCs w:val="32"/>
              <w:highlight w:val="yellow"/>
            </w:rPr>
            <w:instrText xml:space="preserve"> HYPERLINK \l _Toc20706 </w:instrText>
          </w:r>
          <w:r>
            <w:rPr>
              <w:rFonts w:hint="eastAsia" w:ascii="仿宋_GB2312" w:hAnsi="仿宋_GB2312" w:eastAsia="仿宋_GB2312" w:cs="仿宋_GB2312"/>
              <w:bCs/>
              <w:sz w:val="32"/>
              <w:szCs w:val="32"/>
              <w:highlight w:val="yellow"/>
            </w:rPr>
            <w:fldChar w:fldCharType="separate"/>
          </w:r>
          <w:r>
            <w:rPr>
              <w:rFonts w:hint="eastAsia" w:ascii="仿宋_GB2312" w:hAnsi="仿宋_GB2312" w:eastAsia="仿宋_GB2312" w:cs="仿宋_GB2312"/>
              <w:sz w:val="32"/>
              <w:szCs w:val="32"/>
              <w:highlight w:val="none"/>
              <w:lang w:val="en-US" w:eastAsia="zh-CN"/>
            </w:rPr>
            <w:t>二、区划依据</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_Toc20706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highlight w:val="yellow"/>
            </w:rPr>
            <w:fldChar w:fldCharType="end"/>
          </w:r>
        </w:p>
        <w:p w14:paraId="43A4C89B">
          <w:pPr>
            <w:pStyle w:val="10"/>
            <w:tabs>
              <w:tab w:val="right" w:leader="dot" w:pos="8730"/>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highlight w:val="yellow"/>
            </w:rPr>
            <w:fldChar w:fldCharType="begin"/>
          </w:r>
          <w:r>
            <w:rPr>
              <w:rFonts w:hint="eastAsia" w:ascii="仿宋_GB2312" w:hAnsi="仿宋_GB2312" w:eastAsia="仿宋_GB2312" w:cs="仿宋_GB2312"/>
              <w:bCs/>
              <w:sz w:val="32"/>
              <w:szCs w:val="32"/>
              <w:highlight w:val="yellow"/>
            </w:rPr>
            <w:instrText xml:space="preserve"> HYPERLINK \l _Toc10436 </w:instrText>
          </w:r>
          <w:r>
            <w:rPr>
              <w:rFonts w:hint="eastAsia" w:ascii="仿宋_GB2312" w:hAnsi="仿宋_GB2312" w:eastAsia="仿宋_GB2312" w:cs="仿宋_GB2312"/>
              <w:bCs/>
              <w:sz w:val="32"/>
              <w:szCs w:val="32"/>
              <w:highlight w:val="yellow"/>
            </w:rPr>
            <w:fldChar w:fldCharType="separate"/>
          </w:r>
          <w:r>
            <w:rPr>
              <w:rFonts w:hint="eastAsia" w:ascii="仿宋_GB2312" w:hAnsi="仿宋_GB2312" w:eastAsia="仿宋_GB2312" w:cs="仿宋_GB2312"/>
              <w:sz w:val="32"/>
              <w:szCs w:val="32"/>
              <w:highlight w:val="none"/>
              <w:lang w:val="en-US" w:eastAsia="zh-CN"/>
            </w:rPr>
            <w:t>三、</w:t>
          </w:r>
          <w:r>
            <w:rPr>
              <w:rFonts w:hint="eastAsia" w:ascii="仿宋_GB2312" w:hAnsi="仿宋_GB2312" w:eastAsia="仿宋_GB2312" w:cs="仿宋_GB2312"/>
              <w:sz w:val="32"/>
              <w:szCs w:val="32"/>
              <w:highlight w:val="none"/>
              <w:lang w:val="en-US"/>
            </w:rPr>
            <w:t>声环境功能区分类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_Toc10436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highlight w:val="yellow"/>
            </w:rPr>
            <w:fldChar w:fldCharType="end"/>
          </w:r>
        </w:p>
        <w:p w14:paraId="556E5B60">
          <w:pPr>
            <w:pStyle w:val="10"/>
            <w:tabs>
              <w:tab w:val="right" w:leader="dot" w:pos="8730"/>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highlight w:val="yellow"/>
            </w:rPr>
            <w:fldChar w:fldCharType="begin"/>
          </w:r>
          <w:r>
            <w:rPr>
              <w:rFonts w:hint="eastAsia" w:ascii="仿宋_GB2312" w:hAnsi="仿宋_GB2312" w:eastAsia="仿宋_GB2312" w:cs="仿宋_GB2312"/>
              <w:bCs/>
              <w:sz w:val="32"/>
              <w:szCs w:val="32"/>
              <w:highlight w:val="yellow"/>
            </w:rPr>
            <w:instrText xml:space="preserve"> HYPERLINK \l _Toc25902 </w:instrText>
          </w:r>
          <w:r>
            <w:rPr>
              <w:rFonts w:hint="eastAsia" w:ascii="仿宋_GB2312" w:hAnsi="仿宋_GB2312" w:eastAsia="仿宋_GB2312" w:cs="仿宋_GB2312"/>
              <w:bCs/>
              <w:sz w:val="32"/>
              <w:szCs w:val="32"/>
              <w:highlight w:val="yellow"/>
            </w:rPr>
            <w:fldChar w:fldCharType="separate"/>
          </w:r>
          <w:r>
            <w:rPr>
              <w:rFonts w:hint="eastAsia" w:ascii="仿宋_GB2312" w:hAnsi="仿宋_GB2312" w:eastAsia="仿宋_GB2312" w:cs="仿宋_GB2312"/>
              <w:sz w:val="32"/>
              <w:szCs w:val="32"/>
              <w:highlight w:val="none"/>
              <w:lang w:val="en-US" w:eastAsia="zh-CN"/>
            </w:rPr>
            <w:t>四</w:t>
          </w:r>
          <w:r>
            <w:rPr>
              <w:rFonts w:hint="eastAsia" w:ascii="仿宋_GB2312" w:hAnsi="仿宋_GB2312" w:eastAsia="仿宋_GB2312" w:cs="仿宋_GB2312"/>
              <w:sz w:val="32"/>
              <w:szCs w:val="32"/>
              <w:highlight w:val="none"/>
              <w:lang w:val="en-US"/>
            </w:rPr>
            <w:t>、声环境功能区划</w:t>
          </w:r>
          <w:r>
            <w:rPr>
              <w:rFonts w:hint="eastAsia" w:ascii="仿宋_GB2312" w:hAnsi="仿宋_GB2312" w:eastAsia="仿宋_GB2312" w:cs="仿宋_GB2312"/>
              <w:sz w:val="32"/>
              <w:szCs w:val="32"/>
              <w:highlight w:val="none"/>
              <w:lang w:val="en-US" w:eastAsia="zh-CN"/>
            </w:rPr>
            <w:t>结果</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_Toc25902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highlight w:val="yellow"/>
            </w:rPr>
            <w:fldChar w:fldCharType="end"/>
          </w:r>
        </w:p>
        <w:p w14:paraId="2EC75F00">
          <w:pPr>
            <w:pStyle w:val="11"/>
            <w:tabs>
              <w:tab w:val="right" w:leader="dot" w:pos="8730"/>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highlight w:val="yellow"/>
            </w:rPr>
            <w:fldChar w:fldCharType="begin"/>
          </w:r>
          <w:r>
            <w:rPr>
              <w:rFonts w:hint="eastAsia" w:ascii="仿宋_GB2312" w:hAnsi="仿宋_GB2312" w:eastAsia="仿宋_GB2312" w:cs="仿宋_GB2312"/>
              <w:b w:val="0"/>
              <w:bCs w:val="0"/>
              <w:sz w:val="32"/>
              <w:szCs w:val="32"/>
              <w:highlight w:val="yellow"/>
            </w:rPr>
            <w:instrText xml:space="preserve"> HYPERLINK \l _Toc17196 </w:instrText>
          </w:r>
          <w:r>
            <w:rPr>
              <w:rFonts w:hint="eastAsia" w:ascii="仿宋_GB2312" w:hAnsi="仿宋_GB2312" w:eastAsia="仿宋_GB2312" w:cs="仿宋_GB2312"/>
              <w:b w:val="0"/>
              <w:bCs w:val="0"/>
              <w:sz w:val="32"/>
              <w:szCs w:val="32"/>
              <w:highlight w:val="yellow"/>
            </w:rPr>
            <w:fldChar w:fldCharType="separate"/>
          </w:r>
          <w:r>
            <w:rPr>
              <w:rFonts w:hint="eastAsia" w:ascii="仿宋_GB2312" w:hAnsi="仿宋_GB2312" w:eastAsia="仿宋_GB2312" w:cs="仿宋_GB2312"/>
              <w:b w:val="0"/>
              <w:bCs w:val="0"/>
              <w:sz w:val="32"/>
              <w:szCs w:val="32"/>
            </w:rPr>
            <w:t>（一）</w:t>
          </w:r>
          <w:r>
            <w:rPr>
              <w:rFonts w:hint="eastAsia" w:ascii="仿宋_GB2312" w:hAnsi="仿宋_GB2312" w:eastAsia="仿宋_GB2312" w:cs="仿宋_GB2312"/>
              <w:b w:val="0"/>
              <w:bCs w:val="0"/>
              <w:sz w:val="32"/>
              <w:szCs w:val="32"/>
              <w:lang w:val="en-US"/>
            </w:rPr>
            <w:t xml:space="preserve">0 </w:t>
          </w:r>
          <w:r>
            <w:rPr>
              <w:rFonts w:hint="eastAsia" w:ascii="仿宋_GB2312" w:hAnsi="仿宋_GB2312" w:eastAsia="仿宋_GB2312" w:cs="仿宋_GB2312"/>
              <w:b w:val="0"/>
              <w:bCs w:val="0"/>
              <w:sz w:val="32"/>
              <w:szCs w:val="32"/>
            </w:rPr>
            <w:t>类声环境功能区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_Toc17196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4</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highlight w:val="yellow"/>
            </w:rPr>
            <w:fldChar w:fldCharType="end"/>
          </w:r>
        </w:p>
        <w:p w14:paraId="652D4666">
          <w:pPr>
            <w:pStyle w:val="11"/>
            <w:tabs>
              <w:tab w:val="right" w:leader="dot" w:pos="8730"/>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highlight w:val="yellow"/>
            </w:rPr>
            <w:fldChar w:fldCharType="begin"/>
          </w:r>
          <w:r>
            <w:rPr>
              <w:rFonts w:hint="eastAsia" w:ascii="仿宋_GB2312" w:hAnsi="仿宋_GB2312" w:eastAsia="仿宋_GB2312" w:cs="仿宋_GB2312"/>
              <w:b w:val="0"/>
              <w:bCs w:val="0"/>
              <w:sz w:val="32"/>
              <w:szCs w:val="32"/>
              <w:highlight w:val="yellow"/>
            </w:rPr>
            <w:instrText xml:space="preserve"> HYPERLINK \l _Toc4398 </w:instrText>
          </w:r>
          <w:r>
            <w:rPr>
              <w:rFonts w:hint="eastAsia" w:ascii="仿宋_GB2312" w:hAnsi="仿宋_GB2312" w:eastAsia="仿宋_GB2312" w:cs="仿宋_GB2312"/>
              <w:b w:val="0"/>
              <w:bCs w:val="0"/>
              <w:sz w:val="32"/>
              <w:szCs w:val="32"/>
              <w:highlight w:val="yellow"/>
            </w:rPr>
            <w:fldChar w:fldCharType="separate"/>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rPr>
            <w:t>二</w:t>
          </w:r>
          <w:r>
            <w:rPr>
              <w:rFonts w:hint="eastAsia" w:ascii="仿宋_GB2312" w:hAnsi="仿宋_GB2312" w:eastAsia="仿宋_GB2312" w:cs="仿宋_GB2312"/>
              <w:b w:val="0"/>
              <w:bCs w:val="0"/>
              <w:sz w:val="32"/>
              <w:szCs w:val="32"/>
            </w:rPr>
            <w:t>）1 类声环境功能区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_Toc4398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4</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highlight w:val="yellow"/>
            </w:rPr>
            <w:fldChar w:fldCharType="end"/>
          </w:r>
        </w:p>
        <w:p w14:paraId="5F8F0E03">
          <w:pPr>
            <w:pStyle w:val="11"/>
            <w:tabs>
              <w:tab w:val="right" w:leader="dot" w:pos="8730"/>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highlight w:val="yellow"/>
            </w:rPr>
            <w:fldChar w:fldCharType="begin"/>
          </w:r>
          <w:r>
            <w:rPr>
              <w:rFonts w:hint="eastAsia" w:ascii="仿宋_GB2312" w:hAnsi="仿宋_GB2312" w:eastAsia="仿宋_GB2312" w:cs="仿宋_GB2312"/>
              <w:b w:val="0"/>
              <w:bCs w:val="0"/>
              <w:sz w:val="32"/>
              <w:szCs w:val="32"/>
              <w:highlight w:val="yellow"/>
            </w:rPr>
            <w:instrText xml:space="preserve"> HYPERLINK \l _Toc18986 </w:instrText>
          </w:r>
          <w:r>
            <w:rPr>
              <w:rFonts w:hint="eastAsia" w:ascii="仿宋_GB2312" w:hAnsi="仿宋_GB2312" w:eastAsia="仿宋_GB2312" w:cs="仿宋_GB2312"/>
              <w:b w:val="0"/>
              <w:bCs w:val="0"/>
              <w:sz w:val="32"/>
              <w:szCs w:val="32"/>
              <w:highlight w:val="yellow"/>
            </w:rPr>
            <w:fldChar w:fldCharType="separate"/>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rPr>
            <w:t>三</w:t>
          </w:r>
          <w:r>
            <w:rPr>
              <w:rFonts w:hint="eastAsia" w:ascii="仿宋_GB2312" w:hAnsi="仿宋_GB2312" w:eastAsia="仿宋_GB2312" w:cs="仿宋_GB2312"/>
              <w:b w:val="0"/>
              <w:bCs w:val="0"/>
              <w:sz w:val="32"/>
              <w:szCs w:val="32"/>
            </w:rPr>
            <w:t>）2 类声环境功能区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_Toc18986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4</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highlight w:val="yellow"/>
            </w:rPr>
            <w:fldChar w:fldCharType="end"/>
          </w:r>
        </w:p>
        <w:p w14:paraId="4BB58E23">
          <w:pPr>
            <w:pStyle w:val="11"/>
            <w:tabs>
              <w:tab w:val="right" w:leader="dot" w:pos="8730"/>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highlight w:val="yellow"/>
            </w:rPr>
            <w:fldChar w:fldCharType="begin"/>
          </w:r>
          <w:r>
            <w:rPr>
              <w:rFonts w:hint="eastAsia" w:ascii="仿宋_GB2312" w:hAnsi="仿宋_GB2312" w:eastAsia="仿宋_GB2312" w:cs="仿宋_GB2312"/>
              <w:b w:val="0"/>
              <w:bCs w:val="0"/>
              <w:sz w:val="32"/>
              <w:szCs w:val="32"/>
              <w:highlight w:val="yellow"/>
            </w:rPr>
            <w:instrText xml:space="preserve"> HYPERLINK \l _Toc25951 </w:instrText>
          </w:r>
          <w:r>
            <w:rPr>
              <w:rFonts w:hint="eastAsia" w:ascii="仿宋_GB2312" w:hAnsi="仿宋_GB2312" w:eastAsia="仿宋_GB2312" w:cs="仿宋_GB2312"/>
              <w:b w:val="0"/>
              <w:bCs w:val="0"/>
              <w:sz w:val="32"/>
              <w:szCs w:val="32"/>
              <w:highlight w:val="yellow"/>
            </w:rPr>
            <w:fldChar w:fldCharType="separate"/>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rPr>
            <w:t>四</w:t>
          </w:r>
          <w:r>
            <w:rPr>
              <w:rFonts w:hint="eastAsia" w:ascii="仿宋_GB2312" w:hAnsi="仿宋_GB2312" w:eastAsia="仿宋_GB2312" w:cs="仿宋_GB2312"/>
              <w:b w:val="0"/>
              <w:bCs w:val="0"/>
              <w:sz w:val="32"/>
              <w:szCs w:val="32"/>
            </w:rPr>
            <w:t>）3 类声环境功能区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_Toc25951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4</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highlight w:val="yellow"/>
            </w:rPr>
            <w:fldChar w:fldCharType="end"/>
          </w:r>
        </w:p>
        <w:p w14:paraId="6FE86CCF">
          <w:pPr>
            <w:pStyle w:val="11"/>
            <w:tabs>
              <w:tab w:val="right" w:leader="dot" w:pos="8730"/>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highlight w:val="yellow"/>
            </w:rPr>
            <w:fldChar w:fldCharType="begin"/>
          </w:r>
          <w:r>
            <w:rPr>
              <w:rFonts w:hint="eastAsia" w:ascii="仿宋_GB2312" w:hAnsi="仿宋_GB2312" w:eastAsia="仿宋_GB2312" w:cs="仿宋_GB2312"/>
              <w:b w:val="0"/>
              <w:bCs w:val="0"/>
              <w:sz w:val="32"/>
              <w:szCs w:val="32"/>
              <w:highlight w:val="yellow"/>
            </w:rPr>
            <w:instrText xml:space="preserve"> HYPERLINK \l _Toc29619 </w:instrText>
          </w:r>
          <w:r>
            <w:rPr>
              <w:rFonts w:hint="eastAsia" w:ascii="仿宋_GB2312" w:hAnsi="仿宋_GB2312" w:eastAsia="仿宋_GB2312" w:cs="仿宋_GB2312"/>
              <w:b w:val="0"/>
              <w:bCs w:val="0"/>
              <w:sz w:val="32"/>
              <w:szCs w:val="32"/>
              <w:highlight w:val="yellow"/>
            </w:rPr>
            <w:fldChar w:fldCharType="separate"/>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rPr>
            <w:t>五</w:t>
          </w:r>
          <w:r>
            <w:rPr>
              <w:rFonts w:hint="eastAsia" w:ascii="仿宋_GB2312" w:hAnsi="仿宋_GB2312" w:eastAsia="仿宋_GB2312" w:cs="仿宋_GB2312"/>
              <w:b w:val="0"/>
              <w:bCs w:val="0"/>
              <w:sz w:val="32"/>
              <w:szCs w:val="32"/>
            </w:rPr>
            <w:t>）4 类声环境功能区划</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_Toc29619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5</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highlight w:val="yellow"/>
            </w:rPr>
            <w:fldChar w:fldCharType="end"/>
          </w:r>
        </w:p>
        <w:p w14:paraId="3BC1626D">
          <w:pPr>
            <w:pStyle w:val="11"/>
            <w:tabs>
              <w:tab w:val="right" w:leader="dot" w:pos="8730"/>
            </w:tabs>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highlight w:val="yellow"/>
            </w:rPr>
            <w:fldChar w:fldCharType="begin"/>
          </w:r>
          <w:r>
            <w:rPr>
              <w:rFonts w:hint="eastAsia" w:ascii="仿宋_GB2312" w:hAnsi="仿宋_GB2312" w:eastAsia="仿宋_GB2312" w:cs="仿宋_GB2312"/>
              <w:b w:val="0"/>
              <w:bCs w:val="0"/>
              <w:sz w:val="32"/>
              <w:szCs w:val="32"/>
              <w:highlight w:val="yellow"/>
            </w:rPr>
            <w:instrText xml:space="preserve"> HYPERLINK \l _Toc20878 </w:instrText>
          </w:r>
          <w:r>
            <w:rPr>
              <w:rFonts w:hint="eastAsia" w:ascii="仿宋_GB2312" w:hAnsi="仿宋_GB2312" w:eastAsia="仿宋_GB2312" w:cs="仿宋_GB2312"/>
              <w:b w:val="0"/>
              <w:bCs w:val="0"/>
              <w:sz w:val="32"/>
              <w:szCs w:val="32"/>
              <w:highlight w:val="yellow"/>
            </w:rPr>
            <w:fldChar w:fldCharType="separate"/>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六</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乡村区域</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_Toc20878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6</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highlight w:val="yellow"/>
            </w:rPr>
            <w:fldChar w:fldCharType="end"/>
          </w:r>
        </w:p>
        <w:p w14:paraId="3CBF7164">
          <w:pPr>
            <w:pStyle w:val="10"/>
            <w:tabs>
              <w:tab w:val="right" w:leader="dot" w:pos="8730"/>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highlight w:val="yellow"/>
            </w:rPr>
            <w:fldChar w:fldCharType="begin"/>
          </w:r>
          <w:r>
            <w:rPr>
              <w:rFonts w:hint="eastAsia" w:ascii="仿宋_GB2312" w:hAnsi="仿宋_GB2312" w:eastAsia="仿宋_GB2312" w:cs="仿宋_GB2312"/>
              <w:bCs/>
              <w:sz w:val="32"/>
              <w:szCs w:val="32"/>
              <w:highlight w:val="yellow"/>
            </w:rPr>
            <w:instrText xml:space="preserve"> HYPERLINK \l _Toc25443 </w:instrText>
          </w:r>
          <w:r>
            <w:rPr>
              <w:rFonts w:hint="eastAsia" w:ascii="仿宋_GB2312" w:hAnsi="仿宋_GB2312" w:eastAsia="仿宋_GB2312" w:cs="仿宋_GB2312"/>
              <w:bCs/>
              <w:sz w:val="32"/>
              <w:szCs w:val="32"/>
              <w:highlight w:val="yellow"/>
            </w:rPr>
            <w:fldChar w:fldCharType="separate"/>
          </w:r>
          <w:r>
            <w:rPr>
              <w:rFonts w:hint="eastAsia" w:ascii="仿宋_GB2312" w:hAnsi="仿宋_GB2312" w:eastAsia="仿宋_GB2312" w:cs="仿宋_GB2312"/>
              <w:sz w:val="32"/>
              <w:szCs w:val="32"/>
              <w:highlight w:val="none"/>
              <w:lang w:val="en-US" w:eastAsia="zh-CN"/>
            </w:rPr>
            <w:t>五</w:t>
          </w:r>
          <w:r>
            <w:rPr>
              <w:rFonts w:hint="eastAsia" w:ascii="仿宋_GB2312" w:hAnsi="仿宋_GB2312" w:eastAsia="仿宋_GB2312" w:cs="仿宋_GB2312"/>
              <w:sz w:val="32"/>
              <w:szCs w:val="32"/>
              <w:highlight w:val="none"/>
              <w:lang w:val="en-US"/>
            </w:rPr>
            <w:t>、执行标准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_Toc25443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highlight w:val="yellow"/>
            </w:rPr>
            <w:fldChar w:fldCharType="end"/>
          </w:r>
        </w:p>
        <w:p w14:paraId="6D1B1EFB">
          <w:pPr>
            <w:pStyle w:val="10"/>
            <w:tabs>
              <w:tab w:val="right" w:leader="dot" w:pos="8730"/>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highlight w:val="yellow"/>
            </w:rPr>
            <w:fldChar w:fldCharType="begin"/>
          </w:r>
          <w:r>
            <w:rPr>
              <w:rFonts w:hint="eastAsia" w:ascii="仿宋_GB2312" w:hAnsi="仿宋_GB2312" w:eastAsia="仿宋_GB2312" w:cs="仿宋_GB2312"/>
              <w:bCs/>
              <w:sz w:val="32"/>
              <w:szCs w:val="32"/>
              <w:highlight w:val="yellow"/>
            </w:rPr>
            <w:instrText xml:space="preserve"> HYPERLINK \l _Toc6628 </w:instrText>
          </w:r>
          <w:r>
            <w:rPr>
              <w:rFonts w:hint="eastAsia" w:ascii="仿宋_GB2312" w:hAnsi="仿宋_GB2312" w:eastAsia="仿宋_GB2312" w:cs="仿宋_GB2312"/>
              <w:bCs/>
              <w:sz w:val="32"/>
              <w:szCs w:val="32"/>
              <w:highlight w:val="yellow"/>
            </w:rPr>
            <w:fldChar w:fldCharType="separate"/>
          </w:r>
          <w:r>
            <w:rPr>
              <w:rFonts w:hint="eastAsia" w:ascii="仿宋_GB2312" w:hAnsi="仿宋_GB2312" w:eastAsia="仿宋_GB2312" w:cs="仿宋_GB2312"/>
              <w:sz w:val="32"/>
              <w:szCs w:val="32"/>
              <w:highlight w:val="none"/>
              <w:lang w:val="en-US" w:eastAsia="zh-CN"/>
            </w:rPr>
            <w:t>六</w:t>
          </w:r>
          <w:r>
            <w:rPr>
              <w:rFonts w:hint="eastAsia" w:ascii="仿宋_GB2312" w:hAnsi="仿宋_GB2312" w:eastAsia="仿宋_GB2312" w:cs="仿宋_GB2312"/>
              <w:sz w:val="32"/>
              <w:szCs w:val="32"/>
              <w:highlight w:val="none"/>
              <w:lang w:val="en-US"/>
            </w:rPr>
            <w:t>、</w:t>
          </w:r>
          <w:r>
            <w:rPr>
              <w:rFonts w:hint="eastAsia" w:ascii="仿宋_GB2312" w:hAnsi="仿宋_GB2312" w:eastAsia="仿宋_GB2312" w:cs="仿宋_GB2312"/>
              <w:sz w:val="32"/>
              <w:szCs w:val="32"/>
              <w:highlight w:val="none"/>
              <w:lang w:val="en-US" w:eastAsia="zh-CN"/>
            </w:rPr>
            <w:t>区划说明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_Toc6628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highlight w:val="yellow"/>
            </w:rPr>
            <w:fldChar w:fldCharType="end"/>
          </w:r>
        </w:p>
        <w:p w14:paraId="34E487DD">
          <w:pPr>
            <w:pStyle w:val="10"/>
            <w:tabs>
              <w:tab w:val="right" w:leader="dot" w:pos="8730"/>
            </w:tabs>
          </w:pPr>
          <w:r>
            <w:rPr>
              <w:rFonts w:hint="eastAsia" w:ascii="仿宋_GB2312" w:hAnsi="仿宋_GB2312" w:eastAsia="仿宋_GB2312" w:cs="仿宋_GB2312"/>
              <w:bCs/>
              <w:sz w:val="32"/>
              <w:szCs w:val="32"/>
              <w:highlight w:val="yellow"/>
            </w:rPr>
            <w:fldChar w:fldCharType="begin"/>
          </w:r>
          <w:r>
            <w:rPr>
              <w:rFonts w:hint="eastAsia" w:ascii="仿宋_GB2312" w:hAnsi="仿宋_GB2312" w:eastAsia="仿宋_GB2312" w:cs="仿宋_GB2312"/>
              <w:bCs/>
              <w:sz w:val="32"/>
              <w:szCs w:val="32"/>
              <w:highlight w:val="yellow"/>
            </w:rPr>
            <w:instrText xml:space="preserve"> HYPERLINK \l _Toc10196 </w:instrText>
          </w:r>
          <w:r>
            <w:rPr>
              <w:rFonts w:hint="eastAsia" w:ascii="仿宋_GB2312" w:hAnsi="仿宋_GB2312" w:eastAsia="仿宋_GB2312" w:cs="仿宋_GB2312"/>
              <w:bCs/>
              <w:sz w:val="32"/>
              <w:szCs w:val="32"/>
              <w:highlight w:val="yellow"/>
            </w:rPr>
            <w:fldChar w:fldCharType="separate"/>
          </w:r>
          <w:r>
            <w:rPr>
              <w:rFonts w:hint="eastAsia" w:ascii="仿宋_GB2312" w:hAnsi="仿宋_GB2312" w:eastAsia="仿宋_GB2312" w:cs="仿宋_GB2312"/>
              <w:sz w:val="32"/>
              <w:szCs w:val="32"/>
              <w:highlight w:val="none"/>
              <w:lang w:val="en-US"/>
            </w:rPr>
            <w:t>附图</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val="en-US"/>
            </w:rPr>
            <w:t xml:space="preserve"> 南雄市声环境功能区区划总图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_Toc10196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highlight w:val="yellow"/>
            </w:rPr>
            <w:fldChar w:fldCharType="end"/>
          </w:r>
        </w:p>
        <w:p w14:paraId="587F390E">
          <w:pPr>
            <w:pStyle w:val="10"/>
            <w:tabs>
              <w:tab w:val="right" w:leader="dot" w:pos="8720"/>
            </w:tabs>
            <w:spacing w:line="360" w:lineRule="auto"/>
            <w:ind w:right="1124"/>
            <w:jc w:val="left"/>
            <w:rPr>
              <w:rFonts w:hint="default" w:ascii="Times New Roman" w:hAnsi="Times New Roman" w:cs="Times New Roman"/>
              <w:highlight w:val="yellow"/>
            </w:rPr>
            <w:sectPr>
              <w:footerReference r:id="rId3" w:type="default"/>
              <w:pgSz w:w="11910" w:h="16840"/>
              <w:pgMar w:top="1580" w:right="1520" w:bottom="1400" w:left="1660" w:header="0" w:footer="1202" w:gutter="0"/>
              <w:pgNumType w:fmt="decimal"/>
              <w:cols w:space="720" w:num="1"/>
            </w:sectPr>
          </w:pPr>
          <w:r>
            <w:rPr>
              <w:rFonts w:hint="default" w:ascii="Times New Roman" w:hAnsi="Times New Roman" w:cs="Times New Roman"/>
              <w:bCs/>
              <w:highlight w:val="yellow"/>
            </w:rPr>
            <w:fldChar w:fldCharType="end"/>
          </w:r>
        </w:p>
      </w:sdtContent>
    </w:sdt>
    <w:p w14:paraId="5E8A377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 w:eastAsia="仿宋_GB2312" w:cs="Times New Roman"/>
          <w:kern w:val="2"/>
          <w:sz w:val="32"/>
          <w:szCs w:val="32"/>
          <w:lang w:val="en-US" w:eastAsia="zh-CN" w:bidi="ar-SA"/>
        </w:rPr>
      </w:pPr>
      <w:r>
        <w:rPr>
          <w:rFonts w:hint="default" w:ascii="仿宋_GB2312" w:hAnsi="仿宋" w:eastAsia="仿宋_GB2312" w:cs="Times New Roman"/>
          <w:kern w:val="2"/>
          <w:sz w:val="32"/>
          <w:szCs w:val="32"/>
          <w:lang w:val="en-US" w:bidi="ar-SA"/>
        </w:rPr>
        <w:t>目前</w:t>
      </w:r>
      <w:r>
        <w:rPr>
          <w:rFonts w:hint="default" w:ascii="仿宋_GB2312" w:hAnsi="仿宋" w:eastAsia="仿宋_GB2312" w:cs="Times New Roman"/>
          <w:kern w:val="2"/>
          <w:sz w:val="32"/>
          <w:szCs w:val="32"/>
          <w:lang w:val="en-US" w:eastAsia="zh-CN" w:bidi="ar-SA"/>
        </w:rPr>
        <w:t>，</w:t>
      </w:r>
      <w:r>
        <w:rPr>
          <w:rFonts w:hint="default" w:ascii="仿宋_GB2312" w:hAnsi="仿宋" w:eastAsia="仿宋_GB2312" w:cs="Times New Roman"/>
          <w:kern w:val="2"/>
          <w:sz w:val="32"/>
          <w:szCs w:val="32"/>
          <w:lang w:val="en-US" w:bidi="ar-SA"/>
        </w:rPr>
        <w:t>《南雄市国土空间总体规划（2021-2035年）》已取得广东省人民政府正式批复（粤府函〔2023〕286号），由于中心城区国土空间总体规划与《南雄市城市总体规划（2015—2035年）》在中心城区范围、土地利用及城市综合交通等规划方面有较大的变动，影响城市声环境质量的要素均有明显改变，现行的声环境功能区已不适应当前声环境管理工作的需求，亟须进行调整。根据《中华人民共和国环境噪声污染防治法》《声环境质量标准》（GB3096-2008）的有关规定，以《声环境功能区划分技术规范》（GB/T15190-2014）为依据，结合《南雄市国土空间总体规划（2021—2035年）》和中心城区的实际情况，并参考城市环境噪声管理有关的要求，对南雄市中心城区规划范围内的声环境质量功能区划进行调整划分,以适应城市发展和保障市民享有良好声环境的需要</w:t>
      </w:r>
      <w:r>
        <w:rPr>
          <w:rFonts w:hint="eastAsia" w:ascii="仿宋_GB2312" w:hAnsi="仿宋" w:eastAsia="仿宋_GB2312" w:cs="Times New Roman"/>
          <w:kern w:val="2"/>
          <w:sz w:val="32"/>
          <w:szCs w:val="32"/>
          <w:lang w:val="en-US" w:eastAsia="zh-CN" w:bidi="ar-SA"/>
        </w:rPr>
        <w:t>。</w:t>
      </w:r>
    </w:p>
    <w:p w14:paraId="267AFB27">
      <w:pPr>
        <w:pStyle w:val="3"/>
        <w:keepNext w:val="0"/>
        <w:keepLines w:val="0"/>
        <w:pageBreakBefore w:val="0"/>
        <w:widowControl w:val="0"/>
        <w:numPr>
          <w:ilvl w:val="255"/>
          <w:numId w:val="0"/>
        </w:numPr>
        <w:kinsoku/>
        <w:wordWrap/>
        <w:overflowPunct/>
        <w:topLinePunct w:val="0"/>
        <w:bidi w:val="0"/>
        <w:adjustRightInd/>
        <w:snapToGrid/>
        <w:spacing w:before="150" w:line="600" w:lineRule="exact"/>
        <w:ind w:right="115" w:firstLine="643" w:firstLineChars="200"/>
        <w:textAlignment w:val="auto"/>
        <w:outlineLvl w:val="0"/>
        <w:rPr>
          <w:rFonts w:hint="eastAsia" w:ascii="黑体" w:hAnsi="黑体" w:eastAsia="黑体" w:cs="黑体"/>
          <w:b/>
          <w:highlight w:val="none"/>
          <w:lang w:val="en-US"/>
        </w:rPr>
      </w:pPr>
      <w:bookmarkStart w:id="16" w:name="_Toc118982805"/>
      <w:bookmarkStart w:id="17" w:name="_Toc29429"/>
      <w:bookmarkStart w:id="18" w:name="_Toc2544"/>
      <w:bookmarkStart w:id="19" w:name="_Toc32691"/>
      <w:bookmarkStart w:id="20" w:name="_Toc18942"/>
      <w:bookmarkStart w:id="21" w:name="_Toc6891"/>
      <w:bookmarkStart w:id="22" w:name="_Toc7481"/>
      <w:bookmarkStart w:id="23" w:name="_Toc29226"/>
      <w:bookmarkStart w:id="24" w:name="_Toc6439"/>
      <w:bookmarkStart w:id="25" w:name="_Toc18610"/>
      <w:bookmarkStart w:id="26" w:name="_Toc6250"/>
      <w:r>
        <w:rPr>
          <w:rFonts w:hint="eastAsia" w:ascii="黑体" w:hAnsi="黑体" w:eastAsia="黑体" w:cs="黑体"/>
          <w:b/>
          <w:highlight w:val="none"/>
          <w:lang w:val="en-US" w:eastAsia="zh-CN"/>
        </w:rPr>
        <w:t>一、</w:t>
      </w:r>
      <w:r>
        <w:rPr>
          <w:rFonts w:hint="eastAsia" w:ascii="黑体" w:hAnsi="黑体" w:eastAsia="黑体" w:cs="黑体"/>
          <w:b/>
          <w:highlight w:val="none"/>
          <w:lang w:val="en-US"/>
        </w:rPr>
        <w:t>区划范围</w:t>
      </w:r>
      <w:bookmarkEnd w:id="16"/>
      <w:bookmarkEnd w:id="17"/>
      <w:bookmarkEnd w:id="18"/>
      <w:bookmarkEnd w:id="19"/>
      <w:bookmarkEnd w:id="20"/>
      <w:bookmarkEnd w:id="21"/>
      <w:bookmarkEnd w:id="22"/>
      <w:bookmarkEnd w:id="23"/>
      <w:bookmarkEnd w:id="24"/>
      <w:bookmarkEnd w:id="25"/>
      <w:bookmarkEnd w:id="26"/>
    </w:p>
    <w:p w14:paraId="564BB62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本区划范围为</w:t>
      </w:r>
      <w:r>
        <w:rPr>
          <w:rFonts w:hint="default" w:ascii="仿宋_GB2312" w:hAnsi="仿宋" w:eastAsia="仿宋_GB2312" w:cs="Times New Roman"/>
          <w:kern w:val="2"/>
          <w:sz w:val="32"/>
          <w:szCs w:val="32"/>
          <w:lang w:val="en-US" w:eastAsia="zh-CN" w:bidi="ar-SA"/>
        </w:rPr>
        <w:t>南雄</w:t>
      </w:r>
      <w:r>
        <w:rPr>
          <w:rFonts w:hint="default" w:ascii="仿宋_GB2312" w:hAnsi="仿宋" w:eastAsia="仿宋_GB2312" w:cs="Times New Roman"/>
          <w:kern w:val="2"/>
          <w:sz w:val="32"/>
          <w:szCs w:val="32"/>
          <w:lang w:val="en-US" w:bidi="ar-SA"/>
        </w:rPr>
        <w:t>市中心城区规划范围，中心城区范围包括雄州街道</w:t>
      </w:r>
      <w:r>
        <w:rPr>
          <w:rFonts w:hint="default" w:ascii="仿宋_GB2312" w:hAnsi="仿宋" w:eastAsia="仿宋_GB2312" w:cs="Times New Roman"/>
          <w:kern w:val="2"/>
          <w:sz w:val="32"/>
          <w:szCs w:val="32"/>
          <w:lang w:val="en-US" w:eastAsia="zh-CN" w:bidi="ar-SA"/>
        </w:rPr>
        <w:t>（部分）</w:t>
      </w:r>
      <w:r>
        <w:rPr>
          <w:rFonts w:hint="default" w:ascii="仿宋_GB2312" w:hAnsi="仿宋" w:eastAsia="仿宋_GB2312" w:cs="Times New Roman"/>
          <w:kern w:val="2"/>
          <w:sz w:val="32"/>
          <w:szCs w:val="32"/>
          <w:lang w:val="en-US" w:bidi="ar-SA"/>
        </w:rPr>
        <w:t>、全安镇</w:t>
      </w:r>
      <w:r>
        <w:rPr>
          <w:rFonts w:hint="default" w:ascii="仿宋_GB2312" w:hAnsi="仿宋" w:eastAsia="仿宋_GB2312" w:cs="Times New Roman"/>
          <w:kern w:val="2"/>
          <w:sz w:val="32"/>
          <w:szCs w:val="32"/>
          <w:lang w:val="en-US" w:eastAsia="zh-CN" w:bidi="ar-SA"/>
        </w:rPr>
        <w:t>（部分）</w:t>
      </w:r>
      <w:r>
        <w:rPr>
          <w:rFonts w:hint="default" w:ascii="仿宋_GB2312" w:hAnsi="仿宋" w:eastAsia="仿宋_GB2312" w:cs="Times New Roman"/>
          <w:kern w:val="2"/>
          <w:sz w:val="32"/>
          <w:szCs w:val="32"/>
          <w:lang w:val="en-US" w:bidi="ar-SA"/>
        </w:rPr>
        <w:t>、古市镇</w:t>
      </w:r>
      <w:r>
        <w:rPr>
          <w:rFonts w:hint="default" w:ascii="仿宋_GB2312" w:hAnsi="仿宋" w:eastAsia="仿宋_GB2312" w:cs="Times New Roman"/>
          <w:kern w:val="2"/>
          <w:sz w:val="32"/>
          <w:szCs w:val="32"/>
          <w:lang w:val="en-US" w:eastAsia="zh-CN" w:bidi="ar-SA"/>
        </w:rPr>
        <w:t>（部分）</w:t>
      </w:r>
      <w:r>
        <w:rPr>
          <w:rFonts w:hint="default" w:ascii="仿宋_GB2312" w:hAnsi="仿宋" w:eastAsia="仿宋_GB2312" w:cs="Times New Roman"/>
          <w:kern w:val="2"/>
          <w:sz w:val="32"/>
          <w:szCs w:val="32"/>
          <w:lang w:val="en-US" w:bidi="ar-SA"/>
        </w:rPr>
        <w:t>、主田镇</w:t>
      </w:r>
      <w:r>
        <w:rPr>
          <w:rFonts w:hint="default" w:ascii="仿宋_GB2312" w:hAnsi="仿宋" w:eastAsia="仿宋_GB2312" w:cs="Times New Roman"/>
          <w:kern w:val="2"/>
          <w:sz w:val="32"/>
          <w:szCs w:val="32"/>
          <w:lang w:val="en-US" w:eastAsia="zh-CN" w:bidi="ar-SA"/>
        </w:rPr>
        <w:t>（部分）</w:t>
      </w:r>
      <w:r>
        <w:rPr>
          <w:rFonts w:hint="default" w:ascii="仿宋_GB2312" w:hAnsi="仿宋" w:eastAsia="仿宋_GB2312" w:cs="Times New Roman"/>
          <w:kern w:val="2"/>
          <w:sz w:val="32"/>
          <w:szCs w:val="32"/>
          <w:lang w:val="en-US" w:bidi="ar-SA"/>
        </w:rPr>
        <w:t>和珠玑镇</w:t>
      </w:r>
      <w:r>
        <w:rPr>
          <w:rFonts w:hint="default" w:ascii="仿宋_GB2312" w:hAnsi="仿宋" w:eastAsia="仿宋_GB2312" w:cs="Times New Roman"/>
          <w:kern w:val="2"/>
          <w:sz w:val="32"/>
          <w:szCs w:val="32"/>
          <w:lang w:val="en-US" w:eastAsia="zh-CN" w:bidi="ar-SA"/>
        </w:rPr>
        <w:t>（部分）</w:t>
      </w:r>
      <w:r>
        <w:rPr>
          <w:rFonts w:hint="default" w:ascii="仿宋_GB2312" w:hAnsi="仿宋" w:eastAsia="仿宋_GB2312" w:cs="Times New Roman"/>
          <w:kern w:val="2"/>
          <w:sz w:val="32"/>
          <w:szCs w:val="32"/>
          <w:lang w:val="en-US" w:bidi="ar-SA"/>
        </w:rPr>
        <w:t>等，中心城区总面积57.08平方公里</w:t>
      </w:r>
      <w:r>
        <w:rPr>
          <w:rFonts w:hint="default" w:ascii="仿宋_GB2312" w:hAnsi="仿宋" w:eastAsia="仿宋_GB2312" w:cs="Times New Roman"/>
          <w:kern w:val="2"/>
          <w:sz w:val="32"/>
          <w:szCs w:val="32"/>
          <w:lang w:val="en-US" w:eastAsia="zh-CN" w:bidi="ar-SA"/>
        </w:rPr>
        <w:t>，详见附图1</w:t>
      </w:r>
      <w:r>
        <w:rPr>
          <w:rFonts w:hint="default" w:ascii="仿宋_GB2312" w:hAnsi="仿宋" w:eastAsia="仿宋_GB2312" w:cs="Times New Roman"/>
          <w:kern w:val="2"/>
          <w:sz w:val="32"/>
          <w:szCs w:val="32"/>
          <w:lang w:val="en-US" w:bidi="ar-SA"/>
        </w:rPr>
        <w:t>。</w:t>
      </w:r>
    </w:p>
    <w:p w14:paraId="0F7AF706">
      <w:pPr>
        <w:pStyle w:val="3"/>
        <w:keepNext w:val="0"/>
        <w:keepLines w:val="0"/>
        <w:pageBreakBefore w:val="0"/>
        <w:widowControl w:val="0"/>
        <w:numPr>
          <w:ilvl w:val="255"/>
          <w:numId w:val="0"/>
        </w:numPr>
        <w:kinsoku/>
        <w:wordWrap/>
        <w:overflowPunct/>
        <w:topLinePunct w:val="0"/>
        <w:bidi w:val="0"/>
        <w:adjustRightInd/>
        <w:snapToGrid/>
        <w:spacing w:before="150" w:line="600" w:lineRule="exact"/>
        <w:ind w:right="115" w:firstLine="643" w:firstLineChars="200"/>
        <w:textAlignment w:val="auto"/>
        <w:outlineLvl w:val="0"/>
        <w:rPr>
          <w:rFonts w:hint="default" w:ascii="黑体" w:hAnsi="黑体" w:eastAsia="黑体" w:cs="黑体"/>
          <w:b/>
          <w:highlight w:val="none"/>
          <w:lang w:val="en-US" w:eastAsia="zh-CN"/>
        </w:rPr>
      </w:pPr>
      <w:bookmarkStart w:id="27" w:name="_Toc838"/>
      <w:bookmarkStart w:id="28" w:name="_Toc10976"/>
      <w:bookmarkStart w:id="29" w:name="_Toc29436"/>
      <w:bookmarkStart w:id="30" w:name="_Toc6709"/>
      <w:bookmarkStart w:id="31" w:name="_Toc14860"/>
      <w:bookmarkStart w:id="32" w:name="_Toc20706"/>
      <w:r>
        <w:rPr>
          <w:rFonts w:hint="default" w:ascii="黑体" w:hAnsi="黑体" w:eastAsia="黑体" w:cs="黑体"/>
          <w:b/>
          <w:highlight w:val="none"/>
          <w:lang w:val="en-US" w:eastAsia="zh-CN"/>
        </w:rPr>
        <w:t>二、区划依据</w:t>
      </w:r>
      <w:bookmarkEnd w:id="27"/>
      <w:bookmarkEnd w:id="28"/>
      <w:bookmarkEnd w:id="29"/>
      <w:bookmarkEnd w:id="30"/>
      <w:bookmarkEnd w:id="31"/>
      <w:bookmarkEnd w:id="32"/>
    </w:p>
    <w:p w14:paraId="16D759A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（一）《中华人民共和国环境保护法》；</w:t>
      </w:r>
    </w:p>
    <w:p w14:paraId="5E5ADB9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w:t>
      </w:r>
      <w:r>
        <w:rPr>
          <w:rFonts w:hint="default" w:ascii="仿宋_GB2312" w:hAnsi="仿宋" w:eastAsia="仿宋_GB2312" w:cs="Times New Roman"/>
          <w:kern w:val="2"/>
          <w:sz w:val="32"/>
          <w:szCs w:val="32"/>
          <w:lang w:val="en-US" w:eastAsia="zh-CN" w:bidi="ar-SA"/>
        </w:rPr>
        <w:t>二</w:t>
      </w:r>
      <w:r>
        <w:rPr>
          <w:rFonts w:hint="default" w:ascii="仿宋_GB2312" w:hAnsi="仿宋" w:eastAsia="仿宋_GB2312" w:cs="Times New Roman"/>
          <w:kern w:val="2"/>
          <w:sz w:val="32"/>
          <w:szCs w:val="32"/>
          <w:lang w:val="en-US" w:bidi="ar-SA"/>
        </w:rPr>
        <w:t>）《中华人民共和国噪声污染防治法》；</w:t>
      </w:r>
    </w:p>
    <w:p w14:paraId="7548154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w:t>
      </w:r>
      <w:r>
        <w:rPr>
          <w:rFonts w:hint="default" w:ascii="仿宋_GB2312" w:hAnsi="仿宋" w:eastAsia="仿宋_GB2312" w:cs="Times New Roman"/>
          <w:kern w:val="2"/>
          <w:sz w:val="32"/>
          <w:szCs w:val="32"/>
          <w:lang w:val="en-US" w:eastAsia="zh-CN" w:bidi="ar-SA"/>
        </w:rPr>
        <w:t>三</w:t>
      </w:r>
      <w:r>
        <w:rPr>
          <w:rFonts w:hint="default" w:ascii="仿宋_GB2312" w:hAnsi="仿宋" w:eastAsia="仿宋_GB2312" w:cs="Times New Roman"/>
          <w:kern w:val="2"/>
          <w:sz w:val="32"/>
          <w:szCs w:val="32"/>
          <w:lang w:val="en-US" w:bidi="ar-SA"/>
        </w:rPr>
        <w:t>）《广东省环境保护条例》；</w:t>
      </w:r>
    </w:p>
    <w:p w14:paraId="331897C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w:t>
      </w:r>
      <w:r>
        <w:rPr>
          <w:rFonts w:hint="default" w:ascii="仿宋_GB2312" w:hAnsi="仿宋" w:eastAsia="仿宋_GB2312" w:cs="Times New Roman"/>
          <w:kern w:val="2"/>
          <w:sz w:val="32"/>
          <w:szCs w:val="32"/>
          <w:lang w:val="en-US" w:eastAsia="zh-CN" w:bidi="ar-SA"/>
        </w:rPr>
        <w:t>四</w:t>
      </w:r>
      <w:r>
        <w:rPr>
          <w:rFonts w:hint="default" w:ascii="仿宋_GB2312" w:hAnsi="仿宋" w:eastAsia="仿宋_GB2312" w:cs="Times New Roman"/>
          <w:kern w:val="2"/>
          <w:sz w:val="32"/>
          <w:szCs w:val="32"/>
          <w:lang w:val="en-US" w:bidi="ar-SA"/>
        </w:rPr>
        <w:t>）《声环境质量标准》（GB3096-2008）；</w:t>
      </w:r>
    </w:p>
    <w:p w14:paraId="36F59B0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w:t>
      </w:r>
      <w:r>
        <w:rPr>
          <w:rFonts w:hint="default" w:ascii="仿宋_GB2312" w:hAnsi="仿宋" w:eastAsia="仿宋_GB2312" w:cs="Times New Roman"/>
          <w:kern w:val="2"/>
          <w:sz w:val="32"/>
          <w:szCs w:val="32"/>
          <w:lang w:val="en-US" w:eastAsia="zh-CN" w:bidi="ar-SA"/>
        </w:rPr>
        <w:t>五</w:t>
      </w:r>
      <w:r>
        <w:rPr>
          <w:rFonts w:hint="default" w:ascii="仿宋_GB2312" w:hAnsi="仿宋" w:eastAsia="仿宋_GB2312" w:cs="Times New Roman"/>
          <w:kern w:val="2"/>
          <w:sz w:val="32"/>
          <w:szCs w:val="32"/>
          <w:lang w:val="en-US" w:bidi="ar-SA"/>
        </w:rPr>
        <w:t>）《声环境功能区划分技术规范》（GB/T15190-2014）；</w:t>
      </w:r>
    </w:p>
    <w:p w14:paraId="66CDDA1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w:t>
      </w:r>
      <w:r>
        <w:rPr>
          <w:rFonts w:hint="default" w:ascii="仿宋_GB2312" w:hAnsi="仿宋" w:eastAsia="仿宋_GB2312" w:cs="Times New Roman"/>
          <w:kern w:val="2"/>
          <w:sz w:val="32"/>
          <w:szCs w:val="32"/>
          <w:lang w:val="en-US" w:eastAsia="zh-CN" w:bidi="ar-SA"/>
        </w:rPr>
        <w:t>六</w:t>
      </w:r>
      <w:r>
        <w:rPr>
          <w:rFonts w:hint="default" w:ascii="仿宋_GB2312" w:hAnsi="仿宋" w:eastAsia="仿宋_GB2312" w:cs="Times New Roman"/>
          <w:kern w:val="2"/>
          <w:sz w:val="32"/>
          <w:szCs w:val="32"/>
          <w:lang w:val="en-US" w:bidi="ar-SA"/>
        </w:rPr>
        <w:t>）《关于加强和规范声环境功能区划分管理工作的通知》（环办大气函〔2017〕1709号）</w:t>
      </w:r>
      <w:r>
        <w:rPr>
          <w:rFonts w:hint="default" w:ascii="仿宋_GB2312" w:hAnsi="仿宋" w:eastAsia="仿宋_GB2312" w:cs="Times New Roman"/>
          <w:kern w:val="2"/>
          <w:sz w:val="32"/>
          <w:szCs w:val="32"/>
          <w:lang w:val="en-US" w:eastAsia="zh-CN" w:bidi="ar-SA"/>
        </w:rPr>
        <w:t>；</w:t>
      </w:r>
    </w:p>
    <w:p w14:paraId="29F3BF3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w:t>
      </w:r>
      <w:r>
        <w:rPr>
          <w:rFonts w:hint="default" w:ascii="仿宋_GB2312" w:hAnsi="仿宋" w:eastAsia="仿宋_GB2312" w:cs="Times New Roman"/>
          <w:kern w:val="2"/>
          <w:sz w:val="32"/>
          <w:szCs w:val="32"/>
          <w:lang w:val="en-US" w:eastAsia="zh-CN" w:bidi="ar-SA"/>
        </w:rPr>
        <w:t>七</w:t>
      </w:r>
      <w:r>
        <w:rPr>
          <w:rFonts w:hint="default" w:ascii="仿宋_GB2312" w:hAnsi="仿宋" w:eastAsia="仿宋_GB2312" w:cs="Times New Roman"/>
          <w:kern w:val="2"/>
          <w:sz w:val="32"/>
          <w:szCs w:val="32"/>
          <w:lang w:val="en-US" w:bidi="ar-SA"/>
        </w:rPr>
        <w:t>）</w:t>
      </w:r>
      <w:r>
        <w:rPr>
          <w:rFonts w:hint="default" w:ascii="仿宋_GB2312" w:hAnsi="仿宋" w:eastAsia="仿宋_GB2312" w:cs="Times New Roman"/>
          <w:kern w:val="2"/>
          <w:sz w:val="32"/>
          <w:szCs w:val="32"/>
          <w:lang w:val="en-US" w:eastAsia="zh-CN" w:bidi="ar-SA"/>
        </w:rPr>
        <w:t>《声环境功能区划分情况评估工作方案》（环办便函〔2023〕98号）；</w:t>
      </w:r>
    </w:p>
    <w:p w14:paraId="1D6C7CD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w:t>
      </w:r>
      <w:r>
        <w:rPr>
          <w:rFonts w:hint="default" w:ascii="仿宋_GB2312" w:hAnsi="仿宋" w:eastAsia="仿宋_GB2312" w:cs="Times New Roman"/>
          <w:kern w:val="2"/>
          <w:sz w:val="32"/>
          <w:szCs w:val="32"/>
          <w:lang w:val="en-US" w:eastAsia="zh-CN" w:bidi="ar-SA"/>
        </w:rPr>
        <w:t>八</w:t>
      </w:r>
      <w:r>
        <w:rPr>
          <w:rFonts w:hint="default" w:ascii="仿宋_GB2312" w:hAnsi="仿宋" w:eastAsia="仿宋_GB2312" w:cs="Times New Roman"/>
          <w:kern w:val="2"/>
          <w:sz w:val="32"/>
          <w:szCs w:val="32"/>
          <w:lang w:val="en-US" w:bidi="ar-SA"/>
        </w:rPr>
        <w:t>）</w:t>
      </w:r>
      <w:r>
        <w:rPr>
          <w:rFonts w:hint="default" w:ascii="仿宋_GB2312" w:hAnsi="仿宋" w:eastAsia="仿宋_GB2312" w:cs="Times New Roman"/>
          <w:kern w:val="2"/>
          <w:sz w:val="32"/>
          <w:szCs w:val="32"/>
          <w:lang w:val="en-US" w:eastAsia="zh-CN" w:bidi="ar-SA"/>
        </w:rPr>
        <w:t>《南雄市国土空间总体规划（2021—2035年）》。</w:t>
      </w:r>
    </w:p>
    <w:p w14:paraId="2B14B9CF">
      <w:pPr>
        <w:pStyle w:val="3"/>
        <w:keepNext w:val="0"/>
        <w:keepLines w:val="0"/>
        <w:pageBreakBefore w:val="0"/>
        <w:widowControl w:val="0"/>
        <w:numPr>
          <w:ilvl w:val="255"/>
          <w:numId w:val="0"/>
        </w:numPr>
        <w:kinsoku/>
        <w:wordWrap/>
        <w:overflowPunct/>
        <w:topLinePunct w:val="0"/>
        <w:bidi w:val="0"/>
        <w:adjustRightInd/>
        <w:snapToGrid/>
        <w:spacing w:before="150" w:line="600" w:lineRule="exact"/>
        <w:ind w:right="115" w:firstLine="643" w:firstLineChars="200"/>
        <w:textAlignment w:val="auto"/>
        <w:outlineLvl w:val="0"/>
        <w:rPr>
          <w:rFonts w:hint="default" w:ascii="黑体" w:hAnsi="黑体" w:eastAsia="黑体" w:cs="黑体"/>
          <w:b/>
          <w:highlight w:val="none"/>
          <w:lang w:val="en-US"/>
        </w:rPr>
      </w:pPr>
      <w:bookmarkStart w:id="33" w:name="_Toc118982806"/>
      <w:bookmarkStart w:id="34" w:name="_Toc25409"/>
      <w:bookmarkStart w:id="35" w:name="_Toc30023"/>
      <w:bookmarkStart w:id="36" w:name="_Toc21654"/>
      <w:bookmarkStart w:id="37" w:name="_Toc10436"/>
      <w:bookmarkStart w:id="38" w:name="_Toc10715"/>
      <w:bookmarkStart w:id="39" w:name="_Toc32514"/>
      <w:bookmarkStart w:id="40" w:name="_Toc30967"/>
      <w:bookmarkStart w:id="41" w:name="_Toc21008"/>
      <w:bookmarkStart w:id="42" w:name="_Toc16330"/>
      <w:bookmarkStart w:id="43" w:name="_Toc15452"/>
      <w:r>
        <w:rPr>
          <w:rFonts w:hint="default" w:ascii="黑体" w:hAnsi="黑体" w:eastAsia="黑体" w:cs="黑体"/>
          <w:b/>
          <w:highlight w:val="none"/>
          <w:lang w:val="en-US" w:eastAsia="zh-CN"/>
        </w:rPr>
        <w:t>三、</w:t>
      </w:r>
      <w:r>
        <w:rPr>
          <w:rFonts w:hint="default" w:ascii="黑体" w:hAnsi="黑体" w:eastAsia="黑体" w:cs="黑体"/>
          <w:b/>
          <w:highlight w:val="none"/>
          <w:lang w:val="en-US"/>
        </w:rPr>
        <w:t>声环境功能区分类</w:t>
      </w:r>
      <w:bookmarkEnd w:id="33"/>
      <w:bookmarkEnd w:id="34"/>
      <w:bookmarkEnd w:id="35"/>
      <w:bookmarkEnd w:id="36"/>
      <w:bookmarkEnd w:id="37"/>
      <w:bookmarkEnd w:id="38"/>
      <w:bookmarkEnd w:id="39"/>
      <w:bookmarkEnd w:id="40"/>
      <w:bookmarkEnd w:id="41"/>
      <w:bookmarkEnd w:id="42"/>
      <w:bookmarkEnd w:id="43"/>
    </w:p>
    <w:p w14:paraId="2E13BD0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（一）0类声环境功能区：指康复疗养区等特别需要安静的区域。</w:t>
      </w:r>
    </w:p>
    <w:p w14:paraId="0AA85D0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（二）1类声环境功能区：指以居民住宅、医疗卫生、文化教育、科研设计、行政办公为主要功能，需要保持安静的区域。</w:t>
      </w:r>
    </w:p>
    <w:p w14:paraId="7952552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（三）2类声环境功能区：指以商业金融、集市贸易为主要功能，或者居住、商业、工业混杂，需要维护住宅安静的区域。</w:t>
      </w:r>
    </w:p>
    <w:p w14:paraId="687658E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（四）3类声环境功能区：指以工业生产、仓储物流为主要功能，需要防止工业噪声对周围环境产生严重影响的区域。</w:t>
      </w:r>
    </w:p>
    <w:p w14:paraId="4D7FB5C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五）4类声环境功能区：指交通干线两侧一定距离之内，需要防止交通噪声对周围环境产生严重影响的区域，包括4a类和4b类两种类型。4a类为高速公路、一级公路、二级公路、城市快速路、城市主干路、城市次干路、城市轨道交通（地面</w:t>
      </w:r>
    </w:p>
    <w:p w14:paraId="75416480">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段）、内河航道两侧区域，以及公路客运站、公交总站和城市轨道交通（地面）停车场和车辆段、港口场站</w:t>
      </w:r>
      <w:r>
        <w:rPr>
          <w:rFonts w:hint="default" w:ascii="仿宋_GB2312" w:hAnsi="仿宋" w:eastAsia="仿宋_GB2312" w:cs="Times New Roman"/>
          <w:kern w:val="2"/>
          <w:sz w:val="32"/>
          <w:szCs w:val="32"/>
          <w:lang w:val="en-US" w:eastAsia="zh-CN" w:bidi="ar-SA"/>
        </w:rPr>
        <w:t>及高速公路服务区</w:t>
      </w:r>
      <w:r>
        <w:rPr>
          <w:rFonts w:hint="default" w:ascii="仿宋_GB2312" w:hAnsi="仿宋" w:eastAsia="仿宋_GB2312" w:cs="Times New Roman"/>
          <w:kern w:val="2"/>
          <w:sz w:val="32"/>
          <w:szCs w:val="32"/>
          <w:lang w:val="en-US" w:bidi="ar-SA"/>
        </w:rPr>
        <w:t>等具有一定规模的交通服务区域；4b类为铁路干线两侧区域，以及铁路综合交通枢纽、铁路场站和配套设施等具有一定规模的交通服务区域。</w:t>
      </w:r>
    </w:p>
    <w:p w14:paraId="68FB09D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（六）概念定义：</w:t>
      </w:r>
    </w:p>
    <w:p w14:paraId="3649925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1.“噪声敏感建筑物”指医院、学校、机关、科研单位、住宅等需要保持安静的建筑物。</w:t>
      </w:r>
    </w:p>
    <w:p w14:paraId="0816865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2.“交通干线边界线”指各级市政道路与人行道的交界线，无人行道的高架道路地面投影边界，各级公路的边界线，铁路交通用地边界线，城市轨道交通用地边界线，内河航道的河堤护栏或堤外坡角。</w:t>
      </w:r>
    </w:p>
    <w:p w14:paraId="089C175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3.“临街建筑楼层数”以高出交通干线路面的相对高度计，如多条交通干线并行，以高度最高的线路为准。</w:t>
      </w:r>
    </w:p>
    <w:p w14:paraId="75DF448F">
      <w:pPr>
        <w:pStyle w:val="3"/>
        <w:keepNext w:val="0"/>
        <w:keepLines w:val="0"/>
        <w:pageBreakBefore w:val="0"/>
        <w:widowControl w:val="0"/>
        <w:numPr>
          <w:ilvl w:val="255"/>
          <w:numId w:val="0"/>
        </w:numPr>
        <w:kinsoku/>
        <w:wordWrap/>
        <w:overflowPunct/>
        <w:topLinePunct w:val="0"/>
        <w:bidi w:val="0"/>
        <w:adjustRightInd/>
        <w:snapToGrid/>
        <w:spacing w:before="150" w:line="600" w:lineRule="exact"/>
        <w:ind w:right="115" w:firstLine="643" w:firstLineChars="200"/>
        <w:textAlignment w:val="auto"/>
        <w:outlineLvl w:val="0"/>
        <w:rPr>
          <w:rFonts w:hint="default" w:ascii="黑体" w:hAnsi="黑体" w:eastAsia="黑体" w:cs="黑体"/>
          <w:b/>
          <w:highlight w:val="none"/>
          <w:lang w:val="en-US" w:eastAsia="zh-CN"/>
        </w:rPr>
      </w:pPr>
      <w:bookmarkStart w:id="44" w:name="_Toc118982807"/>
      <w:bookmarkStart w:id="45" w:name="_Toc11671"/>
      <w:bookmarkStart w:id="46" w:name="_Toc26598"/>
      <w:bookmarkStart w:id="47" w:name="_Toc30356"/>
      <w:bookmarkStart w:id="48" w:name="_Toc11304"/>
      <w:bookmarkStart w:id="49" w:name="_Toc15547"/>
      <w:bookmarkStart w:id="50" w:name="_Toc5472"/>
      <w:bookmarkStart w:id="51" w:name="_Toc11173"/>
      <w:bookmarkStart w:id="52" w:name="_Toc14017"/>
      <w:bookmarkStart w:id="53" w:name="_Toc28008"/>
      <w:bookmarkStart w:id="54" w:name="_Toc25902"/>
      <w:r>
        <w:rPr>
          <w:rFonts w:hint="default" w:ascii="黑体" w:hAnsi="黑体" w:eastAsia="黑体" w:cs="黑体"/>
          <w:b/>
          <w:highlight w:val="none"/>
          <w:lang w:val="en-US" w:eastAsia="zh-CN"/>
        </w:rPr>
        <w:t>四</w:t>
      </w:r>
      <w:r>
        <w:rPr>
          <w:rFonts w:hint="default" w:ascii="黑体" w:hAnsi="黑体" w:eastAsia="黑体" w:cs="黑体"/>
          <w:b/>
          <w:highlight w:val="none"/>
          <w:lang w:val="en-US"/>
        </w:rPr>
        <w:t>、声环境功能区划</w:t>
      </w:r>
      <w:bookmarkEnd w:id="44"/>
      <w:bookmarkEnd w:id="45"/>
      <w:bookmarkEnd w:id="46"/>
      <w:bookmarkEnd w:id="47"/>
      <w:bookmarkEnd w:id="48"/>
      <w:bookmarkEnd w:id="49"/>
      <w:bookmarkEnd w:id="50"/>
      <w:bookmarkEnd w:id="51"/>
      <w:bookmarkEnd w:id="52"/>
      <w:bookmarkEnd w:id="53"/>
      <w:r>
        <w:rPr>
          <w:rFonts w:hint="default" w:ascii="黑体" w:hAnsi="黑体" w:eastAsia="黑体" w:cs="黑体"/>
          <w:b/>
          <w:highlight w:val="none"/>
          <w:lang w:val="en-US" w:eastAsia="zh-CN"/>
        </w:rPr>
        <w:t>结果</w:t>
      </w:r>
      <w:bookmarkEnd w:id="54"/>
    </w:p>
    <w:p w14:paraId="0DCF7D66">
      <w:pPr>
        <w:pStyle w:val="4"/>
        <w:pageBreakBefore w:val="0"/>
        <w:widowControl w:val="0"/>
        <w:kinsoku/>
        <w:wordWrap/>
        <w:overflowPunct/>
        <w:topLinePunct w:val="0"/>
        <w:bidi w:val="0"/>
        <w:adjustRightInd/>
        <w:snapToGrid/>
        <w:spacing w:line="600" w:lineRule="exact"/>
        <w:textAlignment w:val="auto"/>
        <w:rPr>
          <w:rFonts w:hint="default"/>
        </w:rPr>
      </w:pPr>
      <w:bookmarkStart w:id="55" w:name="_Toc29494"/>
      <w:bookmarkStart w:id="56" w:name="_Toc29877"/>
      <w:bookmarkStart w:id="57" w:name="_Toc17146"/>
      <w:bookmarkStart w:id="58" w:name="_Toc32565"/>
      <w:bookmarkStart w:id="59" w:name="_Toc20631"/>
      <w:bookmarkStart w:id="60" w:name="_Toc7336"/>
      <w:bookmarkStart w:id="61" w:name="_Toc13495"/>
      <w:bookmarkStart w:id="62" w:name="_Toc17196"/>
      <w:bookmarkStart w:id="63" w:name="_Toc7610"/>
      <w:bookmarkStart w:id="64" w:name="_Toc118982808"/>
      <w:bookmarkStart w:id="65" w:name="_Toc23060"/>
      <w:r>
        <w:rPr>
          <w:rFonts w:hint="default"/>
        </w:rPr>
        <w:t>（一）</w:t>
      </w:r>
      <w:r>
        <w:rPr>
          <w:rFonts w:hint="default"/>
          <w:lang w:val="en-US"/>
        </w:rPr>
        <w:t xml:space="preserve">0 </w:t>
      </w:r>
      <w:r>
        <w:rPr>
          <w:rFonts w:hint="default"/>
        </w:rPr>
        <w:t>类声环境功能区</w:t>
      </w:r>
      <w:bookmarkEnd w:id="55"/>
      <w:bookmarkEnd w:id="56"/>
      <w:bookmarkEnd w:id="57"/>
      <w:bookmarkEnd w:id="58"/>
      <w:bookmarkEnd w:id="59"/>
      <w:bookmarkEnd w:id="60"/>
      <w:bookmarkEnd w:id="61"/>
      <w:bookmarkEnd w:id="62"/>
      <w:bookmarkEnd w:id="63"/>
      <w:bookmarkEnd w:id="64"/>
      <w:bookmarkEnd w:id="65"/>
    </w:p>
    <w:p w14:paraId="3D6C0F9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本区划范围不划分0类声环境功能区。</w:t>
      </w:r>
    </w:p>
    <w:p w14:paraId="78421FDD">
      <w:pPr>
        <w:pStyle w:val="4"/>
        <w:pageBreakBefore w:val="0"/>
        <w:widowControl w:val="0"/>
        <w:kinsoku/>
        <w:wordWrap/>
        <w:overflowPunct/>
        <w:topLinePunct w:val="0"/>
        <w:bidi w:val="0"/>
        <w:adjustRightInd/>
        <w:snapToGrid/>
        <w:spacing w:line="600" w:lineRule="exact"/>
        <w:textAlignment w:val="auto"/>
        <w:rPr>
          <w:rFonts w:hint="default" w:ascii="Arial" w:hAnsi="Arial"/>
          <w:b/>
        </w:rPr>
      </w:pPr>
      <w:bookmarkStart w:id="66" w:name="_Toc118982809"/>
      <w:bookmarkStart w:id="67" w:name="_Toc19803"/>
      <w:bookmarkStart w:id="68" w:name="_Toc1318"/>
      <w:bookmarkStart w:id="69" w:name="_Toc24089"/>
      <w:bookmarkStart w:id="70" w:name="_Toc26594"/>
      <w:bookmarkStart w:id="71" w:name="_Toc19006"/>
      <w:bookmarkStart w:id="72" w:name="_Toc19447"/>
      <w:bookmarkStart w:id="73" w:name="_Toc8333"/>
      <w:bookmarkStart w:id="74" w:name="_Toc29180"/>
      <w:bookmarkStart w:id="75" w:name="_Toc8175"/>
      <w:bookmarkStart w:id="76" w:name="_Toc4398"/>
      <w:r>
        <w:rPr>
          <w:rFonts w:hint="default" w:ascii="Arial" w:hAnsi="Arial"/>
          <w:b/>
        </w:rPr>
        <w:t>（</w:t>
      </w:r>
      <w:r>
        <w:rPr>
          <w:rFonts w:hint="default" w:ascii="Arial" w:hAnsi="Arial"/>
          <w:b/>
          <w:lang w:val="en-US"/>
        </w:rPr>
        <w:t>二</w:t>
      </w:r>
      <w:r>
        <w:rPr>
          <w:rFonts w:hint="default" w:ascii="Arial" w:hAnsi="Arial"/>
          <w:b/>
        </w:rPr>
        <w:t>）1 类声环境功能区</w:t>
      </w:r>
      <w:bookmarkEnd w:id="66"/>
      <w:bookmarkEnd w:id="67"/>
      <w:bookmarkEnd w:id="68"/>
      <w:bookmarkEnd w:id="69"/>
      <w:bookmarkEnd w:id="70"/>
      <w:bookmarkEnd w:id="71"/>
      <w:bookmarkEnd w:id="72"/>
      <w:bookmarkEnd w:id="73"/>
      <w:bookmarkEnd w:id="74"/>
      <w:bookmarkEnd w:id="75"/>
      <w:bookmarkEnd w:id="76"/>
    </w:p>
    <w:p w14:paraId="0706AE0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eastAsia="zh-CN" w:bidi="ar-SA"/>
        </w:rPr>
        <w:t>本区划范围不划分1类声环境功能区。</w:t>
      </w:r>
      <w:bookmarkStart w:id="77" w:name="_Toc17721"/>
      <w:bookmarkStart w:id="78" w:name="_Toc118982810"/>
      <w:bookmarkStart w:id="79" w:name="_Toc12065"/>
      <w:bookmarkStart w:id="80" w:name="_Toc10736"/>
      <w:bookmarkStart w:id="81" w:name="_Toc1397"/>
    </w:p>
    <w:p w14:paraId="5CCDE489">
      <w:pPr>
        <w:pStyle w:val="4"/>
        <w:pageBreakBefore w:val="0"/>
        <w:widowControl w:val="0"/>
        <w:kinsoku/>
        <w:wordWrap/>
        <w:overflowPunct/>
        <w:topLinePunct w:val="0"/>
        <w:bidi w:val="0"/>
        <w:adjustRightInd/>
        <w:snapToGrid/>
        <w:spacing w:line="600" w:lineRule="exact"/>
        <w:textAlignment w:val="auto"/>
        <w:rPr>
          <w:rFonts w:hint="default" w:ascii="Arial" w:hAnsi="Arial"/>
          <w:b/>
        </w:rPr>
      </w:pPr>
      <w:bookmarkStart w:id="82" w:name="_Toc16495"/>
      <w:bookmarkStart w:id="83" w:name="_Toc18986"/>
      <w:bookmarkStart w:id="84" w:name="_Toc16571"/>
      <w:bookmarkStart w:id="85" w:name="_Toc15168"/>
      <w:bookmarkStart w:id="86" w:name="_Toc32111"/>
      <w:r>
        <w:rPr>
          <w:rFonts w:hint="default" w:ascii="Arial" w:hAnsi="Arial"/>
          <w:b/>
        </w:rPr>
        <w:t>（</w:t>
      </w:r>
      <w:r>
        <w:rPr>
          <w:rFonts w:hint="default" w:ascii="Arial" w:hAnsi="Arial"/>
          <w:b/>
          <w:lang w:val="en-US"/>
        </w:rPr>
        <w:t>三</w:t>
      </w:r>
      <w:r>
        <w:rPr>
          <w:rFonts w:hint="default" w:ascii="Arial" w:hAnsi="Arial"/>
          <w:b/>
        </w:rPr>
        <w:t>）2 类声环境功能区</w:t>
      </w:r>
      <w:bookmarkEnd w:id="77"/>
      <w:bookmarkEnd w:id="78"/>
      <w:bookmarkEnd w:id="79"/>
      <w:bookmarkEnd w:id="80"/>
      <w:bookmarkEnd w:id="81"/>
      <w:bookmarkEnd w:id="82"/>
      <w:bookmarkEnd w:id="83"/>
      <w:bookmarkEnd w:id="84"/>
      <w:bookmarkEnd w:id="85"/>
      <w:bookmarkEnd w:id="86"/>
    </w:p>
    <w:p w14:paraId="6FC0F376">
      <w:pPr>
        <w:pStyle w:val="6"/>
        <w:keepNext w:val="0"/>
        <w:keepLines w:val="0"/>
        <w:pageBreakBefore w:val="0"/>
        <w:widowControl w:val="0"/>
        <w:kinsoku/>
        <w:wordWrap/>
        <w:overflowPunct/>
        <w:topLinePunct w:val="0"/>
        <w:bidi w:val="0"/>
        <w:adjustRightInd/>
        <w:snapToGrid/>
        <w:spacing w:before="77" w:line="600" w:lineRule="exact"/>
        <w:ind w:firstLine="640" w:firstLineChars="200"/>
        <w:textAlignment w:val="auto"/>
        <w:rPr>
          <w:rFonts w:hint="default" w:ascii="Times New Roman" w:hAnsi="Times New Roman" w:cs="Times New Roman"/>
          <w:b w:val="0"/>
          <w:bCs w:val="0"/>
          <w:highlight w:val="none"/>
        </w:rPr>
      </w:pPr>
      <w:r>
        <w:rPr>
          <w:rFonts w:hint="default" w:ascii="Times New Roman" w:hAnsi="Times New Roman" w:cs="Times New Roman"/>
          <w:b w:val="0"/>
          <w:bCs w:val="0"/>
          <w:highlight w:val="none"/>
        </w:rPr>
        <w:t>1类、3类和4类声环境功能区以外的</w:t>
      </w:r>
      <w:r>
        <w:rPr>
          <w:rFonts w:hint="default" w:ascii="Times New Roman" w:hAnsi="Times New Roman" w:cs="Times New Roman"/>
          <w:b w:val="0"/>
          <w:bCs w:val="0"/>
          <w:highlight w:val="none"/>
          <w:lang w:val="en-US" w:eastAsia="zh-CN"/>
        </w:rPr>
        <w:t>城市</w:t>
      </w:r>
      <w:r>
        <w:rPr>
          <w:rFonts w:hint="default" w:ascii="Times New Roman" w:hAnsi="Times New Roman" w:cs="Times New Roman"/>
          <w:b w:val="0"/>
          <w:bCs w:val="0"/>
          <w:highlight w:val="none"/>
        </w:rPr>
        <w:t>区域。</w:t>
      </w:r>
    </w:p>
    <w:p w14:paraId="072F5A92">
      <w:pPr>
        <w:pStyle w:val="4"/>
        <w:pageBreakBefore w:val="0"/>
        <w:widowControl w:val="0"/>
        <w:kinsoku/>
        <w:wordWrap/>
        <w:overflowPunct/>
        <w:topLinePunct w:val="0"/>
        <w:bidi w:val="0"/>
        <w:adjustRightInd/>
        <w:snapToGrid/>
        <w:spacing w:line="600" w:lineRule="exact"/>
        <w:textAlignment w:val="auto"/>
        <w:rPr>
          <w:rFonts w:hint="default" w:ascii="Arial" w:hAnsi="Arial"/>
          <w:b/>
        </w:rPr>
      </w:pPr>
      <w:bookmarkStart w:id="87" w:name="_Toc25790"/>
      <w:bookmarkStart w:id="88" w:name="_Toc31880"/>
      <w:bookmarkStart w:id="89" w:name="_Toc30760"/>
      <w:bookmarkStart w:id="90" w:name="_Toc26870"/>
      <w:bookmarkStart w:id="91" w:name="_Toc28184"/>
      <w:bookmarkStart w:id="92" w:name="_Toc118982811"/>
      <w:bookmarkStart w:id="93" w:name="_Toc25951"/>
      <w:bookmarkStart w:id="94" w:name="_Toc30619"/>
      <w:bookmarkStart w:id="95" w:name="_Toc13347"/>
      <w:bookmarkStart w:id="96" w:name="_Toc9941"/>
      <w:bookmarkStart w:id="97" w:name="_Toc2052"/>
      <w:r>
        <w:rPr>
          <w:rFonts w:hint="default" w:ascii="Arial" w:hAnsi="Arial"/>
          <w:b/>
        </w:rPr>
        <w:t>（</w:t>
      </w:r>
      <w:r>
        <w:rPr>
          <w:rFonts w:hint="default" w:ascii="Arial" w:hAnsi="Arial"/>
          <w:b/>
          <w:lang w:val="en-US"/>
        </w:rPr>
        <w:t>四</w:t>
      </w:r>
      <w:r>
        <w:rPr>
          <w:rFonts w:hint="default" w:ascii="Arial" w:hAnsi="Arial"/>
          <w:b/>
        </w:rPr>
        <w:t>）3 类声环境功能区</w:t>
      </w:r>
      <w:bookmarkEnd w:id="87"/>
      <w:bookmarkEnd w:id="88"/>
      <w:bookmarkEnd w:id="89"/>
      <w:bookmarkEnd w:id="90"/>
      <w:bookmarkEnd w:id="91"/>
      <w:bookmarkEnd w:id="92"/>
      <w:bookmarkEnd w:id="93"/>
      <w:bookmarkEnd w:id="94"/>
      <w:bookmarkEnd w:id="95"/>
      <w:bookmarkEnd w:id="96"/>
      <w:bookmarkEnd w:id="97"/>
    </w:p>
    <w:p w14:paraId="2EAD70C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各类工业区规划范围总体上划定为3类区，范围内以居民住宅、医疗卫生、文化教育、科研设计、行政办公为主要功能的集聚区域，划为2类功能区。</w:t>
      </w:r>
    </w:p>
    <w:p w14:paraId="419665E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eastAsia="zh-CN" w:bidi="ar-SA"/>
        </w:rPr>
      </w:pPr>
      <w:r>
        <w:rPr>
          <w:rFonts w:hint="default" w:ascii="仿宋_GB2312" w:hAnsi="仿宋" w:eastAsia="仿宋_GB2312" w:cs="Times New Roman"/>
          <w:kern w:val="2"/>
          <w:sz w:val="32"/>
          <w:szCs w:val="32"/>
          <w:lang w:val="en-US" w:eastAsia="zh-CN" w:bidi="ar-SA"/>
        </w:rPr>
        <w:t xml:space="preserve">301 </w:t>
      </w:r>
      <w:r>
        <w:rPr>
          <w:rFonts w:hint="default" w:ascii="仿宋_GB2312" w:hAnsi="仿宋" w:eastAsia="仿宋_GB2312" w:cs="Times New Roman"/>
          <w:kern w:val="2"/>
          <w:sz w:val="32"/>
          <w:szCs w:val="32"/>
          <w:lang w:val="en-US" w:bidi="ar-SA"/>
        </w:rPr>
        <w:t>南工业片区东莞大岭山（南雄）产业转移工业园及其周边工业聚集区</w:t>
      </w:r>
      <w:r>
        <w:rPr>
          <w:rFonts w:hint="default" w:ascii="仿宋_GB2312" w:hAnsi="仿宋" w:eastAsia="仿宋_GB2312" w:cs="Times New Roman"/>
          <w:kern w:val="2"/>
          <w:sz w:val="32"/>
          <w:szCs w:val="32"/>
          <w:lang w:val="en-US" w:eastAsia="zh-CN" w:bidi="ar-SA"/>
        </w:rPr>
        <w:t>。</w:t>
      </w:r>
    </w:p>
    <w:p w14:paraId="0BEC73D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eastAsia="zh-CN" w:bidi="ar-SA"/>
        </w:rPr>
      </w:pPr>
      <w:r>
        <w:rPr>
          <w:rFonts w:hint="default" w:ascii="仿宋_GB2312" w:hAnsi="仿宋" w:eastAsia="仿宋_GB2312" w:cs="Times New Roman"/>
          <w:kern w:val="2"/>
          <w:sz w:val="32"/>
          <w:szCs w:val="32"/>
          <w:lang w:val="en-US" w:eastAsia="zh-CN" w:bidi="ar-SA"/>
        </w:rPr>
        <w:t xml:space="preserve">302 </w:t>
      </w:r>
      <w:r>
        <w:rPr>
          <w:rFonts w:hint="default" w:ascii="仿宋_GB2312" w:hAnsi="仿宋" w:eastAsia="仿宋_GB2312" w:cs="Times New Roman"/>
          <w:kern w:val="2"/>
          <w:sz w:val="32"/>
          <w:szCs w:val="32"/>
          <w:lang w:val="en-US" w:bidi="ar-SA"/>
        </w:rPr>
        <w:t>北工业片区</w:t>
      </w:r>
      <w:r>
        <w:rPr>
          <w:rFonts w:hint="default" w:ascii="仿宋_GB2312" w:hAnsi="仿宋" w:eastAsia="仿宋_GB2312" w:cs="Times New Roman"/>
          <w:kern w:val="2"/>
          <w:sz w:val="32"/>
          <w:szCs w:val="32"/>
          <w:lang w:val="en-US" w:eastAsia="zh-CN" w:bidi="ar-SA"/>
        </w:rPr>
        <w:t>工业</w:t>
      </w:r>
      <w:r>
        <w:rPr>
          <w:rFonts w:hint="default" w:ascii="仿宋_GB2312" w:hAnsi="仿宋" w:eastAsia="仿宋_GB2312" w:cs="Times New Roman"/>
          <w:kern w:val="2"/>
          <w:sz w:val="32"/>
          <w:szCs w:val="32"/>
          <w:lang w:val="en-US" w:bidi="ar-SA"/>
        </w:rPr>
        <w:t>集聚区</w:t>
      </w:r>
      <w:r>
        <w:rPr>
          <w:rFonts w:hint="default" w:ascii="仿宋_GB2312" w:hAnsi="仿宋" w:eastAsia="仿宋_GB2312" w:cs="Times New Roman"/>
          <w:kern w:val="2"/>
          <w:sz w:val="32"/>
          <w:szCs w:val="32"/>
          <w:lang w:val="en-US" w:eastAsia="zh-CN" w:bidi="ar-SA"/>
        </w:rPr>
        <w:t>。</w:t>
      </w:r>
    </w:p>
    <w:p w14:paraId="3D65F27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eastAsia="zh-CN" w:bidi="ar-SA"/>
        </w:rPr>
      </w:pPr>
      <w:r>
        <w:rPr>
          <w:rFonts w:hint="default" w:ascii="仿宋_GB2312" w:hAnsi="仿宋" w:eastAsia="仿宋_GB2312" w:cs="Times New Roman"/>
          <w:kern w:val="2"/>
          <w:sz w:val="32"/>
          <w:szCs w:val="32"/>
          <w:lang w:val="en-US" w:eastAsia="zh-CN" w:bidi="ar-SA"/>
        </w:rPr>
        <w:t xml:space="preserve">303 </w:t>
      </w:r>
      <w:r>
        <w:rPr>
          <w:rFonts w:hint="default" w:ascii="仿宋_GB2312" w:hAnsi="仿宋" w:eastAsia="仿宋_GB2312" w:cs="Times New Roman"/>
          <w:kern w:val="2"/>
          <w:sz w:val="32"/>
          <w:szCs w:val="32"/>
          <w:lang w:val="en-US" w:bidi="ar-SA"/>
        </w:rPr>
        <w:t xml:space="preserve">北工业东拓片区南雄产业转移工业园（韶关南雄高新技术产业开发区） </w:t>
      </w:r>
      <w:r>
        <w:rPr>
          <w:rFonts w:hint="default" w:ascii="仿宋_GB2312" w:hAnsi="仿宋" w:eastAsia="仿宋_GB2312" w:cs="Times New Roman"/>
          <w:kern w:val="2"/>
          <w:sz w:val="32"/>
          <w:szCs w:val="32"/>
          <w:lang w:val="en-US" w:eastAsia="zh-CN" w:bidi="ar-SA"/>
        </w:rPr>
        <w:t>工业</w:t>
      </w:r>
      <w:r>
        <w:rPr>
          <w:rFonts w:hint="default" w:ascii="仿宋_GB2312" w:hAnsi="仿宋" w:eastAsia="仿宋_GB2312" w:cs="Times New Roman"/>
          <w:kern w:val="2"/>
          <w:sz w:val="32"/>
          <w:szCs w:val="32"/>
          <w:lang w:val="en-US" w:bidi="ar-SA"/>
        </w:rPr>
        <w:t>集聚区</w:t>
      </w:r>
      <w:r>
        <w:rPr>
          <w:rFonts w:hint="default" w:ascii="仿宋_GB2312" w:hAnsi="仿宋" w:eastAsia="仿宋_GB2312" w:cs="Times New Roman"/>
          <w:kern w:val="2"/>
          <w:sz w:val="32"/>
          <w:szCs w:val="32"/>
          <w:lang w:val="en-US" w:eastAsia="zh-CN" w:bidi="ar-SA"/>
        </w:rPr>
        <w:t>。</w:t>
      </w:r>
    </w:p>
    <w:p w14:paraId="199A1C8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eastAsia="zh-CN" w:bidi="ar-SA"/>
        </w:rPr>
      </w:pPr>
      <w:r>
        <w:rPr>
          <w:rFonts w:hint="default" w:ascii="仿宋_GB2312" w:hAnsi="仿宋" w:eastAsia="仿宋_GB2312" w:cs="Times New Roman"/>
          <w:kern w:val="2"/>
          <w:sz w:val="32"/>
          <w:szCs w:val="32"/>
          <w:lang w:val="en-US" w:eastAsia="zh-CN" w:bidi="ar-SA"/>
        </w:rPr>
        <w:t xml:space="preserve">304 </w:t>
      </w:r>
      <w:r>
        <w:rPr>
          <w:rFonts w:hint="default" w:ascii="仿宋_GB2312" w:hAnsi="仿宋" w:eastAsia="仿宋_GB2312" w:cs="Times New Roman"/>
          <w:kern w:val="2"/>
          <w:sz w:val="32"/>
          <w:szCs w:val="32"/>
          <w:lang w:val="en-US" w:bidi="ar-SA"/>
        </w:rPr>
        <w:t>长</w:t>
      </w:r>
      <w:r>
        <w:rPr>
          <w:rFonts w:hint="default" w:ascii="仿宋_GB2312" w:hAnsi="仿宋" w:eastAsia="仿宋_GB2312" w:cs="Times New Roman"/>
          <w:kern w:val="2"/>
          <w:sz w:val="32"/>
          <w:szCs w:val="32"/>
          <w:lang w:val="en-US" w:eastAsia="zh-CN" w:bidi="ar-SA"/>
        </w:rPr>
        <w:t>迳</w:t>
      </w:r>
      <w:r>
        <w:rPr>
          <w:rFonts w:hint="default" w:ascii="仿宋_GB2312" w:hAnsi="仿宋" w:eastAsia="仿宋_GB2312" w:cs="Times New Roman"/>
          <w:kern w:val="2"/>
          <w:sz w:val="32"/>
          <w:szCs w:val="32"/>
          <w:lang w:val="en-US" w:bidi="ar-SA"/>
        </w:rPr>
        <w:t>片区南雄丝苗现代农业产业园、广东南雄竹博园及其周边</w:t>
      </w:r>
      <w:r>
        <w:rPr>
          <w:rFonts w:hint="default" w:ascii="仿宋_GB2312" w:hAnsi="仿宋" w:eastAsia="仿宋_GB2312" w:cs="Times New Roman"/>
          <w:kern w:val="2"/>
          <w:sz w:val="32"/>
          <w:szCs w:val="32"/>
          <w:lang w:val="en-US" w:eastAsia="zh-CN" w:bidi="ar-SA"/>
        </w:rPr>
        <w:t>工业</w:t>
      </w:r>
      <w:r>
        <w:rPr>
          <w:rFonts w:hint="default" w:ascii="仿宋_GB2312" w:hAnsi="仿宋" w:eastAsia="仿宋_GB2312" w:cs="Times New Roman"/>
          <w:kern w:val="2"/>
          <w:sz w:val="32"/>
          <w:szCs w:val="32"/>
          <w:lang w:val="en-US" w:bidi="ar-SA"/>
        </w:rPr>
        <w:t>聚集区</w:t>
      </w:r>
      <w:r>
        <w:rPr>
          <w:rFonts w:hint="default" w:ascii="仿宋_GB2312" w:hAnsi="仿宋" w:eastAsia="仿宋_GB2312" w:cs="Times New Roman"/>
          <w:kern w:val="2"/>
          <w:sz w:val="32"/>
          <w:szCs w:val="32"/>
          <w:lang w:val="en-US" w:eastAsia="zh-CN" w:bidi="ar-SA"/>
        </w:rPr>
        <w:t>。</w:t>
      </w:r>
    </w:p>
    <w:p w14:paraId="7D6FE35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eastAsia="zh-CN" w:bidi="ar-SA"/>
        </w:rPr>
      </w:pPr>
      <w:r>
        <w:rPr>
          <w:rFonts w:hint="default" w:ascii="仿宋_GB2312" w:hAnsi="仿宋" w:eastAsia="仿宋_GB2312" w:cs="Times New Roman"/>
          <w:kern w:val="2"/>
          <w:sz w:val="32"/>
          <w:szCs w:val="32"/>
          <w:lang w:val="en-US" w:eastAsia="zh-CN" w:bidi="ar-SA"/>
        </w:rPr>
        <w:t xml:space="preserve">305 </w:t>
      </w:r>
      <w:r>
        <w:rPr>
          <w:rFonts w:hint="default" w:ascii="仿宋_GB2312" w:hAnsi="仿宋" w:eastAsia="仿宋_GB2312" w:cs="Times New Roman"/>
          <w:kern w:val="2"/>
          <w:sz w:val="32"/>
          <w:szCs w:val="32"/>
          <w:lang w:val="en-US" w:bidi="ar-SA"/>
        </w:rPr>
        <w:t>南雄老城片区</w:t>
      </w:r>
      <w:r>
        <w:rPr>
          <w:rFonts w:hint="default" w:ascii="仿宋_GB2312" w:hAnsi="仿宋" w:eastAsia="仿宋_GB2312" w:cs="Times New Roman"/>
          <w:kern w:val="2"/>
          <w:sz w:val="32"/>
          <w:szCs w:val="32"/>
          <w:lang w:val="en-US" w:eastAsia="zh-CN" w:bidi="ar-SA"/>
        </w:rPr>
        <w:t>雄南路</w:t>
      </w:r>
      <w:r>
        <w:rPr>
          <w:rFonts w:hint="default" w:ascii="仿宋_GB2312" w:hAnsi="仿宋" w:eastAsia="仿宋_GB2312" w:cs="Times New Roman"/>
          <w:kern w:val="2"/>
          <w:sz w:val="32"/>
          <w:szCs w:val="32"/>
          <w:lang w:val="en-US" w:bidi="ar-SA"/>
        </w:rPr>
        <w:t>周边工业聚集区</w:t>
      </w:r>
      <w:r>
        <w:rPr>
          <w:rFonts w:hint="default" w:ascii="仿宋_GB2312" w:hAnsi="仿宋" w:eastAsia="仿宋_GB2312" w:cs="Times New Roman"/>
          <w:kern w:val="2"/>
          <w:sz w:val="32"/>
          <w:szCs w:val="32"/>
          <w:lang w:val="en-US" w:eastAsia="zh-CN" w:bidi="ar-SA"/>
        </w:rPr>
        <w:t>。</w:t>
      </w:r>
    </w:p>
    <w:p w14:paraId="4953438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eastAsia="zh-CN" w:bidi="ar-SA"/>
        </w:rPr>
        <w:t xml:space="preserve">306 </w:t>
      </w:r>
      <w:r>
        <w:rPr>
          <w:rFonts w:hint="default" w:ascii="仿宋_GB2312" w:hAnsi="仿宋" w:eastAsia="仿宋_GB2312" w:cs="Times New Roman"/>
          <w:kern w:val="2"/>
          <w:sz w:val="32"/>
          <w:szCs w:val="32"/>
          <w:lang w:val="en-US" w:bidi="ar-SA"/>
        </w:rPr>
        <w:t>上部片区</w:t>
      </w:r>
      <w:r>
        <w:rPr>
          <w:rFonts w:hint="default" w:ascii="仿宋_GB2312" w:hAnsi="仿宋" w:eastAsia="仿宋_GB2312" w:cs="Times New Roman"/>
          <w:kern w:val="2"/>
          <w:sz w:val="32"/>
          <w:szCs w:val="32"/>
          <w:lang w:val="en-US" w:eastAsia="zh-CN" w:bidi="ar-SA"/>
        </w:rPr>
        <w:t>省道342北侧和雄东路东侧</w:t>
      </w:r>
      <w:r>
        <w:rPr>
          <w:rFonts w:hint="default" w:ascii="仿宋_GB2312" w:hAnsi="仿宋" w:eastAsia="仿宋_GB2312" w:cs="Times New Roman"/>
          <w:kern w:val="2"/>
          <w:sz w:val="32"/>
          <w:szCs w:val="32"/>
          <w:lang w:val="en-US" w:bidi="ar-SA"/>
        </w:rPr>
        <w:t>工业聚集区等。</w:t>
      </w:r>
    </w:p>
    <w:p w14:paraId="3D5C04C0">
      <w:pPr>
        <w:pStyle w:val="4"/>
        <w:pageBreakBefore w:val="0"/>
        <w:widowControl w:val="0"/>
        <w:kinsoku/>
        <w:wordWrap/>
        <w:overflowPunct/>
        <w:topLinePunct w:val="0"/>
        <w:bidi w:val="0"/>
        <w:adjustRightInd/>
        <w:snapToGrid/>
        <w:spacing w:line="600" w:lineRule="exact"/>
        <w:textAlignment w:val="auto"/>
        <w:rPr>
          <w:rFonts w:hint="default" w:ascii="Arial" w:hAnsi="Arial"/>
          <w:b/>
        </w:rPr>
      </w:pPr>
      <w:bookmarkStart w:id="98" w:name="_Toc6288"/>
      <w:bookmarkStart w:id="99" w:name="_Toc13384"/>
      <w:bookmarkStart w:id="100" w:name="_Toc118982812"/>
      <w:bookmarkStart w:id="101" w:name="_Toc21635"/>
      <w:bookmarkStart w:id="102" w:name="_Toc11497"/>
      <w:bookmarkStart w:id="103" w:name="_Toc25823"/>
      <w:bookmarkStart w:id="104" w:name="_Toc1900"/>
      <w:bookmarkStart w:id="105" w:name="_Toc9251"/>
      <w:bookmarkStart w:id="106" w:name="_Toc29619"/>
      <w:bookmarkStart w:id="107" w:name="_Toc16649"/>
      <w:bookmarkStart w:id="108" w:name="_Toc12596"/>
      <w:r>
        <w:rPr>
          <w:rFonts w:hint="default" w:ascii="Arial" w:hAnsi="Arial"/>
          <w:b/>
        </w:rPr>
        <w:t>（</w:t>
      </w:r>
      <w:r>
        <w:rPr>
          <w:rFonts w:hint="default" w:ascii="Arial" w:hAnsi="Arial"/>
          <w:b/>
          <w:lang w:val="en-US"/>
        </w:rPr>
        <w:t>五</w:t>
      </w:r>
      <w:r>
        <w:rPr>
          <w:rFonts w:hint="default" w:ascii="Arial" w:hAnsi="Arial"/>
          <w:b/>
        </w:rPr>
        <w:t>）4 类声环境功能区划</w:t>
      </w:r>
      <w:bookmarkEnd w:id="98"/>
      <w:bookmarkEnd w:id="99"/>
      <w:bookmarkEnd w:id="100"/>
      <w:bookmarkEnd w:id="101"/>
      <w:bookmarkEnd w:id="102"/>
      <w:bookmarkEnd w:id="103"/>
      <w:bookmarkEnd w:id="104"/>
      <w:bookmarkEnd w:id="105"/>
      <w:bookmarkEnd w:id="106"/>
      <w:bookmarkEnd w:id="107"/>
      <w:bookmarkEnd w:id="108"/>
    </w:p>
    <w:p w14:paraId="200D0CC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（1）</w:t>
      </w:r>
      <w:r>
        <w:rPr>
          <w:rFonts w:hint="default" w:ascii="仿宋_GB2312" w:hAnsi="仿宋" w:eastAsia="仿宋_GB2312" w:cs="Times New Roman"/>
          <w:kern w:val="2"/>
          <w:sz w:val="32"/>
          <w:szCs w:val="32"/>
          <w:lang w:val="en-US" w:eastAsia="zh-CN" w:bidi="ar-SA"/>
        </w:rPr>
        <w:t>4a类声环境功能区</w:t>
      </w:r>
    </w:p>
    <w:p w14:paraId="28D8ECC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eastAsia="zh-CN" w:bidi="ar-SA"/>
        </w:rPr>
      </w:pPr>
      <w:r>
        <w:rPr>
          <w:rFonts w:hint="default" w:ascii="仿宋_GB2312" w:hAnsi="仿宋" w:eastAsia="仿宋_GB2312" w:cs="Times New Roman"/>
          <w:kern w:val="2"/>
          <w:sz w:val="32"/>
          <w:szCs w:val="32"/>
          <w:lang w:val="en-US" w:eastAsia="zh-CN" w:bidi="ar-SA"/>
        </w:rPr>
        <w:t xml:space="preserve">401 </w:t>
      </w:r>
      <w:r>
        <w:rPr>
          <w:rFonts w:hint="default" w:ascii="仿宋_GB2312" w:hAnsi="仿宋" w:eastAsia="仿宋_GB2312" w:cs="Times New Roman"/>
          <w:kern w:val="2"/>
          <w:sz w:val="32"/>
          <w:szCs w:val="32"/>
          <w:lang w:val="en-US" w:bidi="ar-SA"/>
        </w:rPr>
        <w:t>高速公路</w:t>
      </w:r>
      <w:r>
        <w:rPr>
          <w:rFonts w:hint="default" w:ascii="仿宋_GB2312" w:hAnsi="仿宋" w:eastAsia="仿宋_GB2312" w:cs="Times New Roman"/>
          <w:kern w:val="2"/>
          <w:sz w:val="32"/>
          <w:szCs w:val="32"/>
          <w:lang w:val="en-US" w:eastAsia="zh-CN" w:bidi="ar-SA"/>
        </w:rPr>
        <w:t>：</w:t>
      </w:r>
      <w:r>
        <w:rPr>
          <w:rFonts w:hint="default" w:ascii="仿宋_GB2312" w:hAnsi="仿宋" w:eastAsia="仿宋_GB2312" w:cs="Times New Roman"/>
          <w:kern w:val="2"/>
          <w:sz w:val="32"/>
          <w:szCs w:val="32"/>
          <w:lang w:val="en-US" w:bidi="ar-SA"/>
        </w:rPr>
        <w:t>南韶高速公路</w:t>
      </w:r>
      <w:r>
        <w:rPr>
          <w:rFonts w:hint="default" w:ascii="仿宋_GB2312" w:hAnsi="仿宋" w:eastAsia="仿宋_GB2312" w:cs="Times New Roman"/>
          <w:kern w:val="2"/>
          <w:sz w:val="32"/>
          <w:szCs w:val="32"/>
          <w:lang w:val="en-US" w:eastAsia="zh-CN" w:bidi="ar-SA"/>
        </w:rPr>
        <w:t>。</w:t>
      </w:r>
    </w:p>
    <w:p w14:paraId="2BA5868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eastAsia="zh-CN" w:bidi="ar-SA"/>
        </w:rPr>
      </w:pPr>
      <w:r>
        <w:rPr>
          <w:rFonts w:hint="default" w:ascii="仿宋_GB2312" w:hAnsi="仿宋" w:eastAsia="仿宋_GB2312" w:cs="Times New Roman"/>
          <w:kern w:val="2"/>
          <w:sz w:val="32"/>
          <w:szCs w:val="32"/>
          <w:lang w:val="en-US" w:bidi="ar-SA"/>
        </w:rPr>
        <w:t>402</w:t>
      </w:r>
      <w:r>
        <w:rPr>
          <w:rFonts w:hint="default" w:ascii="仿宋_GB2312" w:hAnsi="仿宋" w:eastAsia="仿宋_GB2312" w:cs="Times New Roman"/>
          <w:kern w:val="2"/>
          <w:sz w:val="32"/>
          <w:szCs w:val="32"/>
          <w:lang w:val="en-US" w:eastAsia="zh-CN" w:bidi="ar-SA"/>
        </w:rPr>
        <w:t xml:space="preserve"> </w:t>
      </w:r>
      <w:r>
        <w:rPr>
          <w:rFonts w:hint="default" w:ascii="仿宋_GB2312" w:hAnsi="仿宋" w:eastAsia="仿宋_GB2312" w:cs="Times New Roman"/>
          <w:kern w:val="2"/>
          <w:sz w:val="32"/>
          <w:szCs w:val="32"/>
          <w:lang w:val="en-US" w:bidi="ar-SA"/>
        </w:rPr>
        <w:t>城市快速路</w:t>
      </w:r>
      <w:r>
        <w:rPr>
          <w:rFonts w:hint="default" w:ascii="仿宋_GB2312" w:hAnsi="仿宋" w:eastAsia="仿宋_GB2312" w:cs="Times New Roman"/>
          <w:kern w:val="2"/>
          <w:sz w:val="32"/>
          <w:szCs w:val="32"/>
          <w:lang w:val="en-US" w:eastAsia="zh-CN" w:bidi="ar-SA"/>
        </w:rPr>
        <w:t>：雄南路、雄中路、雄东路和省道342等。</w:t>
      </w:r>
    </w:p>
    <w:p w14:paraId="46AFFFE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eastAsia="zh-CN" w:bidi="ar-SA"/>
        </w:rPr>
      </w:pPr>
      <w:r>
        <w:rPr>
          <w:rFonts w:hint="default" w:ascii="仿宋_GB2312" w:hAnsi="仿宋" w:eastAsia="仿宋_GB2312" w:cs="Times New Roman"/>
          <w:kern w:val="2"/>
          <w:sz w:val="32"/>
          <w:szCs w:val="32"/>
          <w:lang w:val="en-US" w:bidi="ar-SA"/>
        </w:rPr>
        <w:t>403</w:t>
      </w:r>
      <w:r>
        <w:rPr>
          <w:rFonts w:hint="default" w:ascii="仿宋_GB2312" w:hAnsi="仿宋" w:eastAsia="仿宋_GB2312" w:cs="Times New Roman"/>
          <w:kern w:val="2"/>
          <w:sz w:val="32"/>
          <w:szCs w:val="32"/>
          <w:lang w:val="en-US" w:eastAsia="zh-CN" w:bidi="ar-SA"/>
        </w:rPr>
        <w:t xml:space="preserve"> </w:t>
      </w:r>
      <w:r>
        <w:rPr>
          <w:rFonts w:hint="default" w:ascii="仿宋_GB2312" w:hAnsi="仿宋" w:eastAsia="仿宋_GB2312" w:cs="Times New Roman"/>
          <w:kern w:val="2"/>
          <w:sz w:val="32"/>
          <w:szCs w:val="32"/>
          <w:lang w:val="en-US" w:bidi="ar-SA"/>
        </w:rPr>
        <w:t>城市主干路</w:t>
      </w:r>
      <w:r>
        <w:rPr>
          <w:rFonts w:hint="default" w:ascii="仿宋_GB2312" w:hAnsi="仿宋" w:eastAsia="仿宋_GB2312" w:cs="Times New Roman"/>
          <w:kern w:val="2"/>
          <w:sz w:val="32"/>
          <w:szCs w:val="32"/>
          <w:lang w:val="en-US" w:eastAsia="zh-CN" w:bidi="ar-SA"/>
        </w:rPr>
        <w:t>：</w:t>
      </w:r>
      <w:r>
        <w:rPr>
          <w:rFonts w:hint="default" w:ascii="仿宋_GB2312" w:hAnsi="仿宋" w:eastAsia="仿宋_GB2312" w:cs="Times New Roman"/>
          <w:kern w:val="2"/>
          <w:sz w:val="32"/>
          <w:szCs w:val="32"/>
          <w:lang w:val="en-US" w:bidi="ar-SA"/>
        </w:rPr>
        <w:t>国道G323、</w:t>
      </w:r>
      <w:r>
        <w:rPr>
          <w:rFonts w:hint="default" w:ascii="仿宋_GB2312" w:hAnsi="仿宋" w:eastAsia="仿宋_GB2312" w:cs="Times New Roman"/>
          <w:kern w:val="2"/>
          <w:sz w:val="32"/>
          <w:szCs w:val="32"/>
          <w:lang w:val="en-US" w:eastAsia="zh-CN" w:bidi="ar-SA"/>
        </w:rPr>
        <w:t>站前大道、北城大道、迎宾大道、金叶大道、水西大道、环城西路、环城东路、充贤大道、雄北路等。</w:t>
      </w:r>
    </w:p>
    <w:p w14:paraId="4E42914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eastAsia="zh-CN" w:bidi="ar-SA"/>
        </w:rPr>
      </w:pPr>
      <w:r>
        <w:rPr>
          <w:rFonts w:hint="default" w:ascii="仿宋_GB2312" w:hAnsi="仿宋" w:eastAsia="仿宋_GB2312" w:cs="Times New Roman"/>
          <w:kern w:val="2"/>
          <w:sz w:val="32"/>
          <w:szCs w:val="32"/>
          <w:lang w:val="en-US" w:bidi="ar-SA"/>
        </w:rPr>
        <w:t>404</w:t>
      </w:r>
      <w:r>
        <w:rPr>
          <w:rFonts w:hint="default" w:ascii="仿宋_GB2312" w:hAnsi="仿宋" w:eastAsia="仿宋_GB2312" w:cs="Times New Roman"/>
          <w:kern w:val="2"/>
          <w:sz w:val="32"/>
          <w:szCs w:val="32"/>
          <w:lang w:val="en-US" w:eastAsia="zh-CN" w:bidi="ar-SA"/>
        </w:rPr>
        <w:t xml:space="preserve"> </w:t>
      </w:r>
      <w:r>
        <w:rPr>
          <w:rFonts w:hint="default" w:ascii="仿宋_GB2312" w:hAnsi="仿宋" w:eastAsia="仿宋_GB2312" w:cs="Times New Roman"/>
          <w:kern w:val="2"/>
          <w:sz w:val="32"/>
          <w:szCs w:val="32"/>
          <w:lang w:val="en-US" w:bidi="ar-SA"/>
        </w:rPr>
        <w:t>城市次干路</w:t>
      </w:r>
      <w:r>
        <w:rPr>
          <w:rFonts w:hint="default" w:ascii="仿宋_GB2312" w:hAnsi="仿宋" w:eastAsia="仿宋_GB2312" w:cs="Times New Roman"/>
          <w:kern w:val="2"/>
          <w:sz w:val="32"/>
          <w:szCs w:val="32"/>
          <w:lang w:val="en-US" w:eastAsia="zh-CN" w:bidi="ar-SA"/>
        </w:rPr>
        <w:t>：平安大道、发展大道、全安一路、全安三路、全安五路、百顺一路、百顺五路、横一路、雄州大道、云影路、秋千街、青嶂路、沿江西路和沿江东路等城市次干道等。</w:t>
      </w:r>
    </w:p>
    <w:p w14:paraId="46F8276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eastAsia="zh-CN" w:bidi="ar-SA"/>
        </w:rPr>
      </w:pPr>
      <w:r>
        <w:rPr>
          <w:rFonts w:hint="default" w:ascii="仿宋_GB2312" w:hAnsi="仿宋" w:eastAsia="仿宋_GB2312" w:cs="Times New Roman"/>
          <w:kern w:val="2"/>
          <w:sz w:val="32"/>
          <w:szCs w:val="32"/>
          <w:lang w:val="en-US" w:bidi="ar-SA"/>
        </w:rPr>
        <w:t>405</w:t>
      </w:r>
      <w:r>
        <w:rPr>
          <w:rFonts w:hint="default" w:ascii="仿宋_GB2312" w:hAnsi="仿宋" w:eastAsia="仿宋_GB2312" w:cs="Times New Roman"/>
          <w:kern w:val="2"/>
          <w:sz w:val="32"/>
          <w:szCs w:val="32"/>
          <w:lang w:val="en-US" w:eastAsia="zh-CN" w:bidi="ar-SA"/>
        </w:rPr>
        <w:t xml:space="preserve"> </w:t>
      </w:r>
      <w:r>
        <w:rPr>
          <w:rFonts w:hint="default" w:ascii="仿宋_GB2312" w:hAnsi="仿宋" w:eastAsia="仿宋_GB2312" w:cs="Times New Roman"/>
          <w:kern w:val="2"/>
          <w:sz w:val="32"/>
          <w:szCs w:val="32"/>
          <w:lang w:val="en-US" w:bidi="ar-SA"/>
        </w:rPr>
        <w:t>内河航道</w:t>
      </w:r>
      <w:r>
        <w:rPr>
          <w:rFonts w:hint="default" w:ascii="仿宋_GB2312" w:hAnsi="仿宋" w:eastAsia="仿宋_GB2312" w:cs="Times New Roman"/>
          <w:kern w:val="2"/>
          <w:sz w:val="32"/>
          <w:szCs w:val="32"/>
          <w:lang w:val="en-US" w:eastAsia="zh-CN" w:bidi="ar-SA"/>
        </w:rPr>
        <w:t>：浈江航道。</w:t>
      </w:r>
    </w:p>
    <w:p w14:paraId="6F69FC0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eastAsia="zh-CN" w:bidi="ar-SA"/>
        </w:rPr>
      </w:pPr>
      <w:r>
        <w:rPr>
          <w:rFonts w:hint="default" w:ascii="仿宋_GB2312" w:hAnsi="仿宋" w:eastAsia="仿宋_GB2312" w:cs="Times New Roman"/>
          <w:kern w:val="2"/>
          <w:sz w:val="32"/>
          <w:szCs w:val="32"/>
          <w:lang w:val="en-US" w:bidi="ar-SA"/>
        </w:rPr>
        <w:t>40</w:t>
      </w:r>
      <w:r>
        <w:rPr>
          <w:rFonts w:hint="default" w:ascii="仿宋_GB2312" w:hAnsi="仿宋" w:eastAsia="仿宋_GB2312" w:cs="Times New Roman"/>
          <w:kern w:val="2"/>
          <w:sz w:val="32"/>
          <w:szCs w:val="32"/>
          <w:lang w:val="en-US" w:eastAsia="zh-CN" w:bidi="ar-SA"/>
        </w:rPr>
        <w:t xml:space="preserve">6 </w:t>
      </w:r>
      <w:r>
        <w:rPr>
          <w:rFonts w:hint="default" w:ascii="仿宋_GB2312" w:hAnsi="仿宋" w:eastAsia="仿宋_GB2312" w:cs="Times New Roman"/>
          <w:kern w:val="2"/>
          <w:sz w:val="32"/>
          <w:szCs w:val="32"/>
          <w:lang w:val="en-US" w:bidi="ar-SA"/>
        </w:rPr>
        <w:t>汽车客运站</w:t>
      </w:r>
      <w:r>
        <w:rPr>
          <w:rFonts w:hint="default" w:ascii="仿宋_GB2312" w:hAnsi="仿宋" w:eastAsia="仿宋_GB2312" w:cs="Times New Roman"/>
          <w:kern w:val="2"/>
          <w:sz w:val="32"/>
          <w:szCs w:val="32"/>
          <w:lang w:val="en-US" w:eastAsia="zh-CN" w:bidi="ar-SA"/>
        </w:rPr>
        <w:t>：南雄汽车站。</w:t>
      </w:r>
    </w:p>
    <w:p w14:paraId="088861F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eastAsia="zh-CN" w:bidi="ar-SA"/>
        </w:rPr>
      </w:pPr>
      <w:r>
        <w:rPr>
          <w:rFonts w:hint="default" w:ascii="仿宋_GB2312" w:hAnsi="仿宋" w:eastAsia="仿宋_GB2312" w:cs="Times New Roman"/>
          <w:kern w:val="2"/>
          <w:sz w:val="32"/>
          <w:szCs w:val="32"/>
          <w:lang w:val="en-US" w:bidi="ar-SA"/>
        </w:rPr>
        <w:t>40</w:t>
      </w:r>
      <w:r>
        <w:rPr>
          <w:rFonts w:hint="default" w:ascii="仿宋_GB2312" w:hAnsi="仿宋" w:eastAsia="仿宋_GB2312" w:cs="Times New Roman"/>
          <w:kern w:val="2"/>
          <w:sz w:val="32"/>
          <w:szCs w:val="32"/>
          <w:lang w:val="en-US" w:eastAsia="zh-CN" w:bidi="ar-SA"/>
        </w:rPr>
        <w:t>7 高速公路服务区：</w:t>
      </w:r>
      <w:r>
        <w:rPr>
          <w:rFonts w:hint="default" w:ascii="仿宋_GB2312" w:hAnsi="仿宋" w:eastAsia="仿宋_GB2312" w:cs="Times New Roman"/>
          <w:kern w:val="2"/>
          <w:sz w:val="32"/>
          <w:szCs w:val="32"/>
          <w:lang w:val="en-US" w:bidi="ar-SA"/>
        </w:rPr>
        <w:t>南韶高速珠玑港服务区</w:t>
      </w:r>
      <w:r>
        <w:rPr>
          <w:rFonts w:hint="default" w:ascii="仿宋_GB2312" w:hAnsi="仿宋" w:eastAsia="仿宋_GB2312" w:cs="Times New Roman"/>
          <w:kern w:val="2"/>
          <w:sz w:val="32"/>
          <w:szCs w:val="32"/>
          <w:lang w:val="en-US" w:eastAsia="zh-CN" w:bidi="ar-SA"/>
        </w:rPr>
        <w:t>。</w:t>
      </w:r>
    </w:p>
    <w:p w14:paraId="1F511CB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4a类声环境功能区交通干线边界线外一定距离的确定方法如下：</w:t>
      </w:r>
    </w:p>
    <w:p w14:paraId="5A07E1F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①相邻区域为1类声环境功能区，距离为50m；相邻区域为2类声环境功能区，距离为35m；相邻区域为3类声环境功能区，距离为20m。</w:t>
      </w:r>
    </w:p>
    <w:p w14:paraId="7F86768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②当临街建筑高于三层楼房以上（含三层）时，将临街建筑面向交通干线一侧至交通干线边界线的区域定为4a类声环境功能区。</w:t>
      </w:r>
    </w:p>
    <w:p w14:paraId="7283ABF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eastAsia="zh-CN" w:bidi="ar-SA"/>
        </w:rPr>
        <w:t>（2）</w:t>
      </w:r>
      <w:r>
        <w:rPr>
          <w:rFonts w:hint="default" w:ascii="仿宋_GB2312" w:hAnsi="仿宋" w:eastAsia="仿宋_GB2312" w:cs="Times New Roman"/>
          <w:kern w:val="2"/>
          <w:sz w:val="32"/>
          <w:szCs w:val="32"/>
          <w:lang w:val="en-US" w:bidi="ar-SA"/>
        </w:rPr>
        <w:t>4b类声环境功能区</w:t>
      </w:r>
    </w:p>
    <w:p w14:paraId="63DCA45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eastAsia="zh-CN" w:bidi="ar-SA"/>
        </w:rPr>
      </w:pPr>
      <w:r>
        <w:rPr>
          <w:rFonts w:hint="default" w:ascii="仿宋_GB2312" w:hAnsi="仿宋" w:eastAsia="仿宋_GB2312" w:cs="Times New Roman"/>
          <w:kern w:val="2"/>
          <w:sz w:val="32"/>
          <w:szCs w:val="32"/>
          <w:lang w:val="en-US" w:bidi="ar-SA"/>
        </w:rPr>
        <w:t>4</w:t>
      </w:r>
      <w:r>
        <w:rPr>
          <w:rFonts w:hint="default" w:ascii="仿宋_GB2312" w:hAnsi="仿宋" w:eastAsia="仿宋_GB2312" w:cs="Times New Roman"/>
          <w:kern w:val="2"/>
          <w:sz w:val="32"/>
          <w:szCs w:val="32"/>
          <w:lang w:val="en-US" w:eastAsia="zh-CN" w:bidi="ar-SA"/>
        </w:rPr>
        <w:t xml:space="preserve">08 </w:t>
      </w:r>
      <w:r>
        <w:rPr>
          <w:rFonts w:hint="default" w:ascii="仿宋_GB2312" w:hAnsi="仿宋" w:eastAsia="仿宋_GB2312" w:cs="Times New Roman"/>
          <w:kern w:val="2"/>
          <w:sz w:val="32"/>
          <w:szCs w:val="32"/>
          <w:lang w:val="en-US" w:bidi="ar-SA"/>
        </w:rPr>
        <w:t>铁路干线</w:t>
      </w:r>
      <w:r>
        <w:rPr>
          <w:rFonts w:hint="default" w:ascii="仿宋_GB2312" w:hAnsi="仿宋" w:eastAsia="仿宋_GB2312" w:cs="Times New Roman"/>
          <w:kern w:val="2"/>
          <w:sz w:val="32"/>
          <w:szCs w:val="32"/>
          <w:lang w:val="en-US" w:eastAsia="zh-CN" w:bidi="ar-SA"/>
        </w:rPr>
        <w:t>：</w:t>
      </w:r>
      <w:r>
        <w:rPr>
          <w:rFonts w:hint="default" w:ascii="仿宋_GB2312" w:hAnsi="仿宋" w:eastAsia="仿宋_GB2312" w:cs="Times New Roman"/>
          <w:kern w:val="2"/>
          <w:sz w:val="32"/>
          <w:szCs w:val="32"/>
          <w:lang w:val="en-US" w:bidi="ar-SA"/>
        </w:rPr>
        <w:t>韶赣铁路</w:t>
      </w:r>
      <w:r>
        <w:rPr>
          <w:rFonts w:hint="default" w:ascii="仿宋_GB2312" w:hAnsi="仿宋" w:eastAsia="仿宋_GB2312" w:cs="Times New Roman"/>
          <w:kern w:val="2"/>
          <w:sz w:val="32"/>
          <w:szCs w:val="32"/>
          <w:lang w:val="en-US" w:eastAsia="zh-CN" w:bidi="ar-SA"/>
        </w:rPr>
        <w:t>等。</w:t>
      </w:r>
    </w:p>
    <w:p w14:paraId="7EF8629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eastAsia="zh-CN" w:bidi="ar-SA"/>
        </w:rPr>
      </w:pPr>
      <w:r>
        <w:rPr>
          <w:rFonts w:hint="default" w:ascii="仿宋_GB2312" w:hAnsi="仿宋" w:eastAsia="仿宋_GB2312" w:cs="Times New Roman"/>
          <w:kern w:val="2"/>
          <w:sz w:val="32"/>
          <w:szCs w:val="32"/>
          <w:lang w:val="en-US" w:bidi="ar-SA"/>
        </w:rPr>
        <w:t>4</w:t>
      </w:r>
      <w:r>
        <w:rPr>
          <w:rFonts w:hint="default" w:ascii="仿宋_GB2312" w:hAnsi="仿宋" w:eastAsia="仿宋_GB2312" w:cs="Times New Roman"/>
          <w:kern w:val="2"/>
          <w:sz w:val="32"/>
          <w:szCs w:val="32"/>
          <w:lang w:val="en-US" w:eastAsia="zh-CN" w:bidi="ar-SA"/>
        </w:rPr>
        <w:t xml:space="preserve">09 </w:t>
      </w:r>
      <w:r>
        <w:rPr>
          <w:rFonts w:hint="default" w:ascii="仿宋_GB2312" w:hAnsi="仿宋" w:eastAsia="仿宋_GB2312" w:cs="Times New Roman"/>
          <w:kern w:val="2"/>
          <w:sz w:val="32"/>
          <w:szCs w:val="32"/>
          <w:lang w:val="en-US" w:bidi="ar-SA"/>
        </w:rPr>
        <w:t>铁路客运站场</w:t>
      </w:r>
      <w:r>
        <w:rPr>
          <w:rFonts w:hint="default" w:ascii="仿宋_GB2312" w:hAnsi="仿宋" w:eastAsia="仿宋_GB2312" w:cs="Times New Roman"/>
          <w:kern w:val="2"/>
          <w:sz w:val="32"/>
          <w:szCs w:val="32"/>
          <w:lang w:val="en-US" w:eastAsia="zh-CN" w:bidi="ar-SA"/>
        </w:rPr>
        <w:t>：</w:t>
      </w:r>
      <w:r>
        <w:rPr>
          <w:rFonts w:hint="default" w:ascii="仿宋_GB2312" w:hAnsi="仿宋" w:eastAsia="仿宋_GB2312" w:cs="Times New Roman"/>
          <w:kern w:val="2"/>
          <w:sz w:val="32"/>
          <w:szCs w:val="32"/>
          <w:lang w:val="en-US" w:bidi="ar-SA"/>
        </w:rPr>
        <w:t>韶赣铁路南雄火车站</w:t>
      </w:r>
      <w:r>
        <w:rPr>
          <w:rFonts w:hint="default" w:ascii="仿宋_GB2312" w:hAnsi="仿宋" w:eastAsia="仿宋_GB2312" w:cs="Times New Roman"/>
          <w:kern w:val="2"/>
          <w:sz w:val="32"/>
          <w:szCs w:val="32"/>
          <w:lang w:val="en-US" w:eastAsia="zh-CN" w:bidi="ar-SA"/>
        </w:rPr>
        <w:t>等。</w:t>
      </w:r>
    </w:p>
    <w:p w14:paraId="398CAEA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41</w:t>
      </w:r>
      <w:r>
        <w:rPr>
          <w:rFonts w:hint="default" w:ascii="仿宋_GB2312" w:hAnsi="仿宋" w:eastAsia="仿宋_GB2312" w:cs="Times New Roman"/>
          <w:kern w:val="2"/>
          <w:sz w:val="32"/>
          <w:szCs w:val="32"/>
          <w:lang w:val="en-US" w:eastAsia="zh-CN" w:bidi="ar-SA"/>
        </w:rPr>
        <w:t xml:space="preserve">0 </w:t>
      </w:r>
      <w:r>
        <w:rPr>
          <w:rFonts w:hint="default" w:ascii="仿宋_GB2312" w:hAnsi="仿宋" w:eastAsia="仿宋_GB2312" w:cs="Times New Roman"/>
          <w:kern w:val="2"/>
          <w:sz w:val="32"/>
          <w:szCs w:val="32"/>
          <w:lang w:val="en-US" w:bidi="ar-SA"/>
        </w:rPr>
        <w:t>铁路货运站场</w:t>
      </w:r>
      <w:r>
        <w:rPr>
          <w:rFonts w:hint="default" w:ascii="仿宋_GB2312" w:hAnsi="仿宋" w:eastAsia="仿宋_GB2312" w:cs="Times New Roman"/>
          <w:kern w:val="2"/>
          <w:sz w:val="32"/>
          <w:szCs w:val="32"/>
          <w:lang w:val="en-US" w:eastAsia="zh-CN" w:bidi="ar-SA"/>
        </w:rPr>
        <w:t>：</w:t>
      </w:r>
      <w:r>
        <w:rPr>
          <w:rFonts w:hint="default" w:ascii="仿宋_GB2312" w:hAnsi="仿宋" w:eastAsia="仿宋_GB2312" w:cs="Times New Roman"/>
          <w:kern w:val="2"/>
          <w:sz w:val="32"/>
          <w:szCs w:val="32"/>
          <w:lang w:val="en-US" w:bidi="ar-SA"/>
        </w:rPr>
        <w:t>韶赣铁路货运站场</w:t>
      </w:r>
      <w:r>
        <w:rPr>
          <w:rFonts w:hint="default" w:ascii="仿宋_GB2312" w:hAnsi="仿宋" w:eastAsia="仿宋_GB2312" w:cs="Times New Roman"/>
          <w:kern w:val="2"/>
          <w:sz w:val="32"/>
          <w:szCs w:val="32"/>
          <w:lang w:val="en-US" w:eastAsia="zh-CN" w:bidi="ar-SA"/>
        </w:rPr>
        <w:t>。</w:t>
      </w:r>
    </w:p>
    <w:p w14:paraId="1FE0228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4b类声环境功能区交通干线边界线外一定距离的确定方法：相邻区域为1类声环境功能区，距离为50m；相邻区域为2类声环境功能区，距离为35m；相邻区域为3类声环境功能区，距离为20m。</w:t>
      </w:r>
    </w:p>
    <w:p w14:paraId="13E68E1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（3）重叠区</w:t>
      </w:r>
    </w:p>
    <w:p w14:paraId="49CA549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4a类与4b类声环境功能区重叠部分划分为4b类声环境功能区。</w:t>
      </w:r>
    </w:p>
    <w:p w14:paraId="796B349E">
      <w:pPr>
        <w:pStyle w:val="4"/>
        <w:pageBreakBefore w:val="0"/>
        <w:widowControl w:val="0"/>
        <w:kinsoku/>
        <w:wordWrap/>
        <w:overflowPunct/>
        <w:topLinePunct w:val="0"/>
        <w:bidi w:val="0"/>
        <w:adjustRightInd/>
        <w:snapToGrid/>
        <w:spacing w:line="600" w:lineRule="exact"/>
        <w:textAlignment w:val="auto"/>
        <w:rPr>
          <w:rFonts w:hint="default" w:ascii="Arial" w:hAnsi="Arial"/>
          <w:b/>
          <w:lang w:val="en-US" w:eastAsia="zh-CN"/>
        </w:rPr>
      </w:pPr>
      <w:bookmarkStart w:id="109" w:name="_Toc20878"/>
      <w:r>
        <w:rPr>
          <w:rFonts w:hint="default" w:ascii="Arial" w:hAnsi="Arial"/>
          <w:b/>
          <w:lang w:eastAsia="zh-CN"/>
        </w:rPr>
        <w:t>（</w:t>
      </w:r>
      <w:r>
        <w:rPr>
          <w:rFonts w:hint="default" w:ascii="Arial" w:hAnsi="Arial"/>
          <w:b/>
          <w:lang w:val="en-US" w:eastAsia="zh-CN"/>
        </w:rPr>
        <w:t>六</w:t>
      </w:r>
      <w:r>
        <w:rPr>
          <w:rFonts w:hint="default" w:ascii="Arial" w:hAnsi="Arial"/>
          <w:b/>
          <w:lang w:eastAsia="zh-CN"/>
        </w:rPr>
        <w:t>）</w:t>
      </w:r>
      <w:r>
        <w:rPr>
          <w:rFonts w:hint="default" w:ascii="Arial" w:hAnsi="Arial"/>
          <w:b/>
          <w:lang w:val="en-US" w:eastAsia="zh-CN"/>
        </w:rPr>
        <w:t>乡村区域</w:t>
      </w:r>
      <w:bookmarkEnd w:id="109"/>
    </w:p>
    <w:p w14:paraId="0495EA3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根据《声环境质量标准》（GB3096-2008），城镇开发边界范围外的乡村区域，声环境功能按以下规定执行：</w:t>
      </w:r>
    </w:p>
    <w:p w14:paraId="6895386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eastAsia="zh-CN" w:bidi="ar-SA"/>
        </w:rPr>
        <w:t>1.</w:t>
      </w:r>
      <w:r>
        <w:rPr>
          <w:rFonts w:hint="default" w:ascii="仿宋_GB2312" w:hAnsi="仿宋" w:eastAsia="仿宋_GB2312" w:cs="Times New Roman"/>
          <w:kern w:val="2"/>
          <w:sz w:val="32"/>
          <w:szCs w:val="32"/>
          <w:lang w:val="en-US" w:bidi="ar-SA"/>
        </w:rPr>
        <w:t>工业活动较多的村庄或商业活动较多的村庄或有交通干线经过的村庄（交通干线边界线外200米范围内）按2类声环境功能区要求执行，其余村庄按1类声环境功能区要求执行，不含4类区。</w:t>
      </w:r>
    </w:p>
    <w:p w14:paraId="7283A3B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2.集镇执行2类声环境功能区要求。</w:t>
      </w:r>
    </w:p>
    <w:p w14:paraId="02EA822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3.独立于村庄、集镇之外的工业、仓储、物流企业集中区域或乡村地区的工业集聚区，根据实际用地性质执行3类声环境功能区要求。</w:t>
      </w:r>
    </w:p>
    <w:p w14:paraId="32BF6806">
      <w:pPr>
        <w:pStyle w:val="3"/>
        <w:keepNext w:val="0"/>
        <w:keepLines w:val="0"/>
        <w:pageBreakBefore w:val="0"/>
        <w:widowControl w:val="0"/>
        <w:numPr>
          <w:ilvl w:val="255"/>
          <w:numId w:val="0"/>
        </w:numPr>
        <w:kinsoku/>
        <w:wordWrap/>
        <w:overflowPunct/>
        <w:topLinePunct w:val="0"/>
        <w:bidi w:val="0"/>
        <w:adjustRightInd/>
        <w:snapToGrid/>
        <w:spacing w:before="150" w:line="600" w:lineRule="exact"/>
        <w:ind w:right="115" w:firstLine="643" w:firstLineChars="200"/>
        <w:textAlignment w:val="auto"/>
        <w:outlineLvl w:val="0"/>
        <w:rPr>
          <w:rFonts w:hint="default" w:ascii="黑体" w:hAnsi="黑体" w:eastAsia="黑体" w:cs="黑体"/>
          <w:b/>
          <w:highlight w:val="none"/>
          <w:lang w:val="en-US"/>
        </w:rPr>
      </w:pPr>
      <w:bookmarkStart w:id="110" w:name="_Toc30519"/>
      <w:bookmarkStart w:id="111" w:name="_Toc32623"/>
      <w:bookmarkStart w:id="112" w:name="_Toc6183"/>
      <w:bookmarkStart w:id="113" w:name="_Toc25443"/>
      <w:bookmarkStart w:id="114" w:name="_Toc118982813"/>
      <w:bookmarkStart w:id="115" w:name="_Toc12143"/>
      <w:bookmarkStart w:id="116" w:name="_Toc21134"/>
      <w:bookmarkStart w:id="117" w:name="_Toc18772"/>
      <w:bookmarkStart w:id="118" w:name="_Toc2525"/>
      <w:bookmarkStart w:id="119" w:name="_Toc25537"/>
      <w:bookmarkStart w:id="120" w:name="_Toc4185"/>
      <w:r>
        <w:rPr>
          <w:rFonts w:hint="default" w:ascii="黑体" w:hAnsi="黑体" w:eastAsia="黑体" w:cs="黑体"/>
          <w:b/>
          <w:highlight w:val="none"/>
          <w:lang w:val="en-US" w:eastAsia="zh-CN"/>
        </w:rPr>
        <w:t>五</w:t>
      </w:r>
      <w:r>
        <w:rPr>
          <w:rFonts w:hint="default" w:ascii="黑体" w:hAnsi="黑体" w:eastAsia="黑体" w:cs="黑体"/>
          <w:b/>
          <w:highlight w:val="none"/>
          <w:lang w:val="en-US"/>
        </w:rPr>
        <w:t>、执行标准</w:t>
      </w:r>
      <w:bookmarkEnd w:id="110"/>
      <w:bookmarkEnd w:id="111"/>
      <w:bookmarkEnd w:id="112"/>
      <w:bookmarkEnd w:id="113"/>
      <w:bookmarkEnd w:id="114"/>
      <w:bookmarkEnd w:id="115"/>
      <w:bookmarkEnd w:id="116"/>
      <w:bookmarkEnd w:id="117"/>
      <w:bookmarkEnd w:id="118"/>
      <w:bookmarkEnd w:id="119"/>
      <w:bookmarkEnd w:id="120"/>
    </w:p>
    <w:p w14:paraId="3BC460C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bookmarkStart w:id="121" w:name="_Toc118982814"/>
      <w:r>
        <w:rPr>
          <w:rFonts w:hint="default" w:ascii="仿宋_GB2312" w:hAnsi="仿宋" w:eastAsia="仿宋_GB2312" w:cs="Times New Roman"/>
          <w:kern w:val="2"/>
          <w:sz w:val="32"/>
          <w:szCs w:val="32"/>
          <w:lang w:val="en-US" w:bidi="ar-SA"/>
        </w:rPr>
        <w:t>1.根据《声环境质量标准》（GB3096-2008），各类声环境功能区适用表</w:t>
      </w:r>
      <w:r>
        <w:rPr>
          <w:rFonts w:hint="default" w:ascii="仿宋_GB2312" w:hAnsi="仿宋" w:eastAsia="仿宋_GB2312" w:cs="Times New Roman"/>
          <w:kern w:val="2"/>
          <w:sz w:val="32"/>
          <w:szCs w:val="32"/>
          <w:lang w:val="en-US" w:eastAsia="zh-CN" w:bidi="ar-SA"/>
        </w:rPr>
        <w:t>1</w:t>
      </w:r>
      <w:r>
        <w:rPr>
          <w:rFonts w:hint="default" w:ascii="仿宋_GB2312" w:hAnsi="仿宋" w:eastAsia="仿宋_GB2312" w:cs="Times New Roman"/>
          <w:kern w:val="2"/>
          <w:sz w:val="32"/>
          <w:szCs w:val="32"/>
          <w:lang w:val="en-US" w:bidi="ar-SA"/>
        </w:rPr>
        <w:t>规定的环境噪声等效声级限值。</w:t>
      </w:r>
    </w:p>
    <w:p w14:paraId="24759A0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2.4b类声环境能区环境噪声限值，适用于2011年1月1起环境影响文件通过审批的新建铁路</w:t>
      </w:r>
      <w:r>
        <w:rPr>
          <w:rFonts w:hint="default" w:ascii="仿宋_GB2312" w:hAnsi="仿宋" w:eastAsia="仿宋_GB2312" w:cs="Times New Roman"/>
          <w:kern w:val="2"/>
          <w:sz w:val="32"/>
          <w:szCs w:val="32"/>
          <w:lang w:val="en-US" w:eastAsia="zh-CN" w:bidi="ar-SA"/>
        </w:rPr>
        <w:t>（</w:t>
      </w:r>
      <w:r>
        <w:rPr>
          <w:rFonts w:hint="default" w:ascii="仿宋_GB2312" w:hAnsi="仿宋" w:eastAsia="仿宋_GB2312" w:cs="Times New Roman"/>
          <w:kern w:val="2"/>
          <w:sz w:val="32"/>
          <w:szCs w:val="32"/>
          <w:lang w:val="en-US" w:bidi="ar-SA"/>
        </w:rPr>
        <w:t>含新开廊道的增建铁路</w:t>
      </w:r>
      <w:r>
        <w:rPr>
          <w:rFonts w:hint="default" w:ascii="仿宋_GB2312" w:hAnsi="仿宋" w:eastAsia="仿宋_GB2312" w:cs="Times New Roman"/>
          <w:kern w:val="2"/>
          <w:sz w:val="32"/>
          <w:szCs w:val="32"/>
          <w:lang w:val="en-US" w:eastAsia="zh-CN" w:bidi="ar-SA"/>
        </w:rPr>
        <w:t>）</w:t>
      </w:r>
      <w:r>
        <w:rPr>
          <w:rFonts w:hint="default" w:ascii="仿宋_GB2312" w:hAnsi="仿宋" w:eastAsia="仿宋_GB2312" w:cs="Times New Roman"/>
          <w:kern w:val="2"/>
          <w:sz w:val="32"/>
          <w:szCs w:val="32"/>
          <w:lang w:val="en-US" w:bidi="ar-SA"/>
        </w:rPr>
        <w:t>干线建设项目两侧区域。</w:t>
      </w:r>
    </w:p>
    <w:p w14:paraId="58E2682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3.在下列情况下，铁路干线两侧区域不通过列车时的环境背景噪声限值，按昼间70dB(A</w:t>
      </w:r>
      <w:r>
        <w:rPr>
          <w:rFonts w:hint="default" w:ascii="仿宋_GB2312" w:hAnsi="仿宋" w:eastAsia="仿宋_GB2312" w:cs="Times New Roman"/>
          <w:kern w:val="2"/>
          <w:sz w:val="32"/>
          <w:szCs w:val="32"/>
          <w:lang w:val="en-US" w:eastAsia="zh-CN" w:bidi="ar-SA"/>
        </w:rPr>
        <w:t>）</w:t>
      </w:r>
      <w:r>
        <w:rPr>
          <w:rFonts w:hint="default" w:ascii="仿宋_GB2312" w:hAnsi="仿宋" w:eastAsia="仿宋_GB2312" w:cs="Times New Roman"/>
          <w:kern w:val="2"/>
          <w:sz w:val="32"/>
          <w:szCs w:val="32"/>
          <w:lang w:val="en-US" w:bidi="ar-SA"/>
        </w:rPr>
        <w:t>、夜间55dB(A</w:t>
      </w:r>
      <w:r>
        <w:rPr>
          <w:rFonts w:hint="default" w:ascii="仿宋_GB2312" w:hAnsi="仿宋" w:eastAsia="仿宋_GB2312" w:cs="Times New Roman"/>
          <w:kern w:val="2"/>
          <w:sz w:val="32"/>
          <w:szCs w:val="32"/>
          <w:lang w:val="en-US" w:eastAsia="zh-CN" w:bidi="ar-SA"/>
        </w:rPr>
        <w:t>）</w:t>
      </w:r>
      <w:r>
        <w:rPr>
          <w:rFonts w:hint="default" w:ascii="仿宋_GB2312" w:hAnsi="仿宋" w:eastAsia="仿宋_GB2312" w:cs="Times New Roman"/>
          <w:kern w:val="2"/>
          <w:sz w:val="32"/>
          <w:szCs w:val="32"/>
          <w:lang w:val="en-US" w:bidi="ar-SA"/>
        </w:rPr>
        <w:t>执行</w:t>
      </w:r>
      <w:r>
        <w:rPr>
          <w:rFonts w:hint="default" w:ascii="仿宋_GB2312" w:hAnsi="仿宋" w:eastAsia="仿宋_GB2312" w:cs="Times New Roman"/>
          <w:kern w:val="2"/>
          <w:sz w:val="32"/>
          <w:szCs w:val="32"/>
          <w:lang w:val="en-US" w:eastAsia="zh-CN" w:bidi="ar-SA"/>
        </w:rPr>
        <w:t>：</w:t>
      </w:r>
    </w:p>
    <w:p w14:paraId="63AEE4C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eastAsia="zh-CN" w:bidi="ar-SA"/>
        </w:rPr>
      </w:pPr>
      <w:r>
        <w:rPr>
          <w:rFonts w:hint="default" w:ascii="仿宋_GB2312" w:hAnsi="仿宋" w:eastAsia="仿宋_GB2312" w:cs="Times New Roman"/>
          <w:kern w:val="2"/>
          <w:sz w:val="32"/>
          <w:szCs w:val="32"/>
          <w:lang w:val="en-US" w:bidi="ar-SA"/>
        </w:rPr>
        <w:t>（1）穿越城区的既有铁路干线</w:t>
      </w:r>
      <w:r>
        <w:rPr>
          <w:rFonts w:hint="default" w:ascii="仿宋_GB2312" w:hAnsi="仿宋" w:eastAsia="仿宋_GB2312" w:cs="Times New Roman"/>
          <w:kern w:val="2"/>
          <w:sz w:val="32"/>
          <w:szCs w:val="32"/>
          <w:lang w:val="en-US" w:eastAsia="zh-CN" w:bidi="ar-SA"/>
        </w:rPr>
        <w:t>；</w:t>
      </w:r>
    </w:p>
    <w:p w14:paraId="0E706F4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（2）对穿越城区的既有铁路干线进行改建、扩建的铁路建设项目。</w:t>
      </w:r>
    </w:p>
    <w:p w14:paraId="2CD470D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既有铁路是指2010年12月31前已建成运营的铁路或</w:t>
      </w:r>
      <w:r>
        <w:rPr>
          <w:rFonts w:hint="default" w:ascii="仿宋_GB2312" w:hAnsi="仿宋" w:eastAsia="仿宋_GB2312" w:cs="Times New Roman"/>
          <w:kern w:val="2"/>
          <w:sz w:val="32"/>
          <w:szCs w:val="32"/>
          <w:lang w:val="en-US" w:eastAsia="zh-CN" w:bidi="ar-SA"/>
        </w:rPr>
        <w:t>环</w:t>
      </w:r>
      <w:r>
        <w:rPr>
          <w:rFonts w:hint="default" w:ascii="仿宋_GB2312" w:hAnsi="仿宋" w:eastAsia="仿宋_GB2312" w:cs="Times New Roman"/>
          <w:kern w:val="2"/>
          <w:sz w:val="32"/>
          <w:szCs w:val="32"/>
          <w:lang w:val="en-US" w:bidi="ar-SA"/>
        </w:rPr>
        <w:t>境影响评价文件已通过审批的铁路建设项目。</w:t>
      </w:r>
      <w:bookmarkEnd w:id="121"/>
    </w:p>
    <w:p w14:paraId="09E382F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表</w:t>
      </w:r>
      <w:r>
        <w:rPr>
          <w:rFonts w:hint="default" w:ascii="仿宋_GB2312" w:hAnsi="仿宋" w:eastAsia="仿宋_GB2312" w:cs="Times New Roman"/>
          <w:kern w:val="2"/>
          <w:sz w:val="32"/>
          <w:szCs w:val="32"/>
          <w:lang w:val="en-US" w:eastAsia="zh-CN" w:bidi="ar-SA"/>
        </w:rPr>
        <w:t>1</w:t>
      </w:r>
      <w:r>
        <w:rPr>
          <w:rFonts w:hint="default" w:ascii="仿宋_GB2312" w:hAnsi="仿宋" w:eastAsia="仿宋_GB2312" w:cs="Times New Roman"/>
          <w:kern w:val="2"/>
          <w:sz w:val="32"/>
          <w:szCs w:val="32"/>
          <w:lang w:val="en-US" w:bidi="ar-SA"/>
        </w:rPr>
        <w:t xml:space="preserve"> 各类声环境功能区执行环境噪声标准</w:t>
      </w: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2"/>
        <w:gridCol w:w="1907"/>
        <w:gridCol w:w="2450"/>
        <w:gridCol w:w="2681"/>
      </w:tblGrid>
      <w:tr w14:paraId="2A30C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3229" w:type="dxa"/>
            <w:gridSpan w:val="2"/>
            <w:vAlign w:val="center"/>
          </w:tcPr>
          <w:p w14:paraId="0901B28C">
            <w:pPr>
              <w:keepNext w:val="0"/>
              <w:keepLines w:val="0"/>
              <w:pageBreakBefore w:val="0"/>
              <w:widowControl w:val="0"/>
              <w:kinsoku/>
              <w:wordWrap/>
              <w:overflowPunct/>
              <w:topLinePunct w:val="0"/>
              <w:autoSpaceDE/>
              <w:autoSpaceDN/>
              <w:bidi w:val="0"/>
              <w:adjustRightInd/>
              <w:snapToGrid/>
              <w:spacing w:line="600" w:lineRule="exact"/>
              <w:ind w:firstLine="320" w:firstLineChars="1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声环境功能区类别</w:t>
            </w:r>
          </w:p>
        </w:tc>
        <w:tc>
          <w:tcPr>
            <w:tcW w:w="2450" w:type="dxa"/>
            <w:vAlign w:val="center"/>
          </w:tcPr>
          <w:p w14:paraId="279E8CFB">
            <w:pPr>
              <w:keepNext w:val="0"/>
              <w:keepLines w:val="0"/>
              <w:pageBreakBefore w:val="0"/>
              <w:widowControl w:val="0"/>
              <w:kinsoku/>
              <w:wordWrap/>
              <w:overflowPunct/>
              <w:topLinePunct w:val="0"/>
              <w:autoSpaceDE/>
              <w:autoSpaceDN/>
              <w:bidi w:val="0"/>
              <w:adjustRightInd/>
              <w:snapToGrid/>
              <w:spacing w:line="600" w:lineRule="exact"/>
              <w:ind w:firstLine="320" w:firstLineChars="1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昼间[dB(A)]</w:t>
            </w:r>
          </w:p>
        </w:tc>
        <w:tc>
          <w:tcPr>
            <w:tcW w:w="2681" w:type="dxa"/>
            <w:vAlign w:val="center"/>
          </w:tcPr>
          <w:p w14:paraId="03CFB05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夜间[dB(A)]</w:t>
            </w:r>
          </w:p>
        </w:tc>
      </w:tr>
      <w:tr w14:paraId="33A2B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3229" w:type="dxa"/>
            <w:gridSpan w:val="2"/>
            <w:vAlign w:val="center"/>
          </w:tcPr>
          <w:p w14:paraId="1540A6DF">
            <w:pPr>
              <w:keepNext w:val="0"/>
              <w:keepLines w:val="0"/>
              <w:pageBreakBefore w:val="0"/>
              <w:widowControl w:val="0"/>
              <w:kinsoku/>
              <w:wordWrap/>
              <w:overflowPunct/>
              <w:topLinePunct w:val="0"/>
              <w:autoSpaceDE/>
              <w:autoSpaceDN/>
              <w:bidi w:val="0"/>
              <w:adjustRightInd/>
              <w:snapToGrid/>
              <w:spacing w:line="600" w:lineRule="exact"/>
              <w:ind w:firstLine="1280" w:firstLineChars="400"/>
              <w:jc w:val="both"/>
              <w:textAlignment w:val="auto"/>
              <w:rPr>
                <w:rFonts w:hint="default" w:ascii="仿宋_GB2312" w:hAnsi="仿宋" w:eastAsia="仿宋_GB2312" w:cs="Times New Roman"/>
                <w:kern w:val="2"/>
                <w:sz w:val="32"/>
                <w:szCs w:val="32"/>
                <w:lang w:val="en-US" w:eastAsia="zh-CN" w:bidi="ar-SA"/>
              </w:rPr>
            </w:pPr>
            <w:r>
              <w:rPr>
                <w:rFonts w:hint="default" w:ascii="仿宋_GB2312" w:hAnsi="仿宋" w:eastAsia="仿宋_GB2312" w:cs="Times New Roman"/>
                <w:kern w:val="2"/>
                <w:sz w:val="32"/>
                <w:szCs w:val="32"/>
                <w:lang w:val="en-US" w:eastAsia="zh-CN" w:bidi="ar-SA"/>
              </w:rPr>
              <w:t>0类</w:t>
            </w:r>
          </w:p>
        </w:tc>
        <w:tc>
          <w:tcPr>
            <w:tcW w:w="2450" w:type="dxa"/>
            <w:vAlign w:val="center"/>
          </w:tcPr>
          <w:p w14:paraId="228FE61C">
            <w:pPr>
              <w:keepNext w:val="0"/>
              <w:keepLines w:val="0"/>
              <w:pageBreakBefore w:val="0"/>
              <w:widowControl w:val="0"/>
              <w:kinsoku/>
              <w:wordWrap/>
              <w:overflowPunct/>
              <w:topLinePunct w:val="0"/>
              <w:autoSpaceDE/>
              <w:autoSpaceDN/>
              <w:bidi w:val="0"/>
              <w:adjustRightInd/>
              <w:snapToGrid/>
              <w:spacing w:line="600" w:lineRule="exact"/>
              <w:ind w:firstLine="960" w:firstLineChars="300"/>
              <w:jc w:val="both"/>
              <w:textAlignment w:val="auto"/>
              <w:rPr>
                <w:rFonts w:hint="default" w:ascii="仿宋_GB2312" w:hAnsi="仿宋" w:eastAsia="仿宋_GB2312" w:cs="Times New Roman"/>
                <w:kern w:val="2"/>
                <w:sz w:val="32"/>
                <w:szCs w:val="32"/>
                <w:lang w:val="en-US" w:eastAsia="zh-CN" w:bidi="ar-SA"/>
              </w:rPr>
            </w:pPr>
            <w:r>
              <w:rPr>
                <w:rFonts w:hint="default" w:ascii="仿宋_GB2312" w:hAnsi="仿宋" w:eastAsia="仿宋_GB2312" w:cs="Times New Roman"/>
                <w:kern w:val="2"/>
                <w:sz w:val="32"/>
                <w:szCs w:val="32"/>
                <w:lang w:val="en-US" w:eastAsia="zh-CN" w:bidi="ar-SA"/>
              </w:rPr>
              <w:t>50</w:t>
            </w:r>
          </w:p>
        </w:tc>
        <w:tc>
          <w:tcPr>
            <w:tcW w:w="2681" w:type="dxa"/>
            <w:vAlign w:val="center"/>
          </w:tcPr>
          <w:p w14:paraId="7E6CE3F4">
            <w:pPr>
              <w:keepNext w:val="0"/>
              <w:keepLines w:val="0"/>
              <w:pageBreakBefore w:val="0"/>
              <w:widowControl w:val="0"/>
              <w:kinsoku/>
              <w:wordWrap/>
              <w:overflowPunct/>
              <w:topLinePunct w:val="0"/>
              <w:autoSpaceDE/>
              <w:autoSpaceDN/>
              <w:bidi w:val="0"/>
              <w:adjustRightInd/>
              <w:snapToGrid/>
              <w:spacing w:line="600" w:lineRule="exact"/>
              <w:ind w:firstLine="960" w:firstLineChars="300"/>
              <w:jc w:val="both"/>
              <w:textAlignment w:val="auto"/>
              <w:rPr>
                <w:rFonts w:hint="default" w:ascii="仿宋_GB2312" w:hAnsi="仿宋" w:eastAsia="仿宋_GB2312" w:cs="Times New Roman"/>
                <w:kern w:val="2"/>
                <w:sz w:val="32"/>
                <w:szCs w:val="32"/>
                <w:lang w:val="en-US" w:eastAsia="zh-CN" w:bidi="ar-SA"/>
              </w:rPr>
            </w:pPr>
            <w:r>
              <w:rPr>
                <w:rFonts w:hint="default" w:ascii="仿宋_GB2312" w:hAnsi="仿宋" w:eastAsia="仿宋_GB2312" w:cs="Times New Roman"/>
                <w:kern w:val="2"/>
                <w:sz w:val="32"/>
                <w:szCs w:val="32"/>
                <w:lang w:val="en-US" w:eastAsia="zh-CN" w:bidi="ar-SA"/>
              </w:rPr>
              <w:t>40</w:t>
            </w:r>
          </w:p>
        </w:tc>
      </w:tr>
      <w:tr w14:paraId="6A270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3229" w:type="dxa"/>
            <w:gridSpan w:val="2"/>
            <w:vAlign w:val="center"/>
          </w:tcPr>
          <w:p w14:paraId="673EB1EB">
            <w:pPr>
              <w:keepNext w:val="0"/>
              <w:keepLines w:val="0"/>
              <w:pageBreakBefore w:val="0"/>
              <w:widowControl w:val="0"/>
              <w:kinsoku/>
              <w:wordWrap/>
              <w:overflowPunct/>
              <w:topLinePunct w:val="0"/>
              <w:autoSpaceDE/>
              <w:autoSpaceDN/>
              <w:bidi w:val="0"/>
              <w:adjustRightInd/>
              <w:snapToGrid/>
              <w:spacing w:line="600" w:lineRule="exact"/>
              <w:ind w:firstLine="1280" w:firstLineChars="4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1类</w:t>
            </w:r>
          </w:p>
        </w:tc>
        <w:tc>
          <w:tcPr>
            <w:tcW w:w="2450" w:type="dxa"/>
            <w:vAlign w:val="center"/>
          </w:tcPr>
          <w:p w14:paraId="09533F7B">
            <w:pPr>
              <w:keepNext w:val="0"/>
              <w:keepLines w:val="0"/>
              <w:pageBreakBefore w:val="0"/>
              <w:widowControl w:val="0"/>
              <w:kinsoku/>
              <w:wordWrap/>
              <w:overflowPunct/>
              <w:topLinePunct w:val="0"/>
              <w:autoSpaceDE/>
              <w:autoSpaceDN/>
              <w:bidi w:val="0"/>
              <w:adjustRightInd/>
              <w:snapToGrid/>
              <w:spacing w:line="600" w:lineRule="exact"/>
              <w:ind w:firstLine="960" w:firstLineChars="3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55</w:t>
            </w:r>
          </w:p>
        </w:tc>
        <w:tc>
          <w:tcPr>
            <w:tcW w:w="2681" w:type="dxa"/>
            <w:vAlign w:val="center"/>
          </w:tcPr>
          <w:p w14:paraId="55F586CF">
            <w:pPr>
              <w:keepNext w:val="0"/>
              <w:keepLines w:val="0"/>
              <w:pageBreakBefore w:val="0"/>
              <w:widowControl w:val="0"/>
              <w:kinsoku/>
              <w:wordWrap/>
              <w:overflowPunct/>
              <w:topLinePunct w:val="0"/>
              <w:autoSpaceDE/>
              <w:autoSpaceDN/>
              <w:bidi w:val="0"/>
              <w:adjustRightInd/>
              <w:snapToGrid/>
              <w:spacing w:line="600" w:lineRule="exact"/>
              <w:ind w:firstLine="960" w:firstLineChars="3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45</w:t>
            </w:r>
          </w:p>
        </w:tc>
      </w:tr>
      <w:tr w14:paraId="52D79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3229" w:type="dxa"/>
            <w:gridSpan w:val="2"/>
            <w:vAlign w:val="center"/>
          </w:tcPr>
          <w:p w14:paraId="0F5EE295">
            <w:pPr>
              <w:keepNext w:val="0"/>
              <w:keepLines w:val="0"/>
              <w:pageBreakBefore w:val="0"/>
              <w:widowControl w:val="0"/>
              <w:kinsoku/>
              <w:wordWrap/>
              <w:overflowPunct/>
              <w:topLinePunct w:val="0"/>
              <w:autoSpaceDE/>
              <w:autoSpaceDN/>
              <w:bidi w:val="0"/>
              <w:adjustRightInd/>
              <w:snapToGrid/>
              <w:spacing w:line="600" w:lineRule="exact"/>
              <w:ind w:firstLine="1280" w:firstLineChars="4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2类</w:t>
            </w:r>
          </w:p>
        </w:tc>
        <w:tc>
          <w:tcPr>
            <w:tcW w:w="2450" w:type="dxa"/>
            <w:vAlign w:val="center"/>
          </w:tcPr>
          <w:p w14:paraId="7EABA910">
            <w:pPr>
              <w:keepNext w:val="0"/>
              <w:keepLines w:val="0"/>
              <w:pageBreakBefore w:val="0"/>
              <w:widowControl w:val="0"/>
              <w:kinsoku/>
              <w:wordWrap/>
              <w:overflowPunct/>
              <w:topLinePunct w:val="0"/>
              <w:autoSpaceDE/>
              <w:autoSpaceDN/>
              <w:bidi w:val="0"/>
              <w:adjustRightInd/>
              <w:snapToGrid/>
              <w:spacing w:line="600" w:lineRule="exact"/>
              <w:ind w:firstLine="960" w:firstLineChars="3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60</w:t>
            </w:r>
          </w:p>
        </w:tc>
        <w:tc>
          <w:tcPr>
            <w:tcW w:w="2681" w:type="dxa"/>
            <w:vAlign w:val="center"/>
          </w:tcPr>
          <w:p w14:paraId="4ED2415D">
            <w:pPr>
              <w:keepNext w:val="0"/>
              <w:keepLines w:val="0"/>
              <w:pageBreakBefore w:val="0"/>
              <w:widowControl w:val="0"/>
              <w:kinsoku/>
              <w:wordWrap/>
              <w:overflowPunct/>
              <w:topLinePunct w:val="0"/>
              <w:autoSpaceDE/>
              <w:autoSpaceDN/>
              <w:bidi w:val="0"/>
              <w:adjustRightInd/>
              <w:snapToGrid/>
              <w:spacing w:line="600" w:lineRule="exact"/>
              <w:ind w:firstLine="960" w:firstLineChars="3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50</w:t>
            </w:r>
          </w:p>
        </w:tc>
      </w:tr>
      <w:tr w14:paraId="6A864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3229" w:type="dxa"/>
            <w:gridSpan w:val="2"/>
            <w:vAlign w:val="center"/>
          </w:tcPr>
          <w:p w14:paraId="105BE6CF">
            <w:pPr>
              <w:keepNext w:val="0"/>
              <w:keepLines w:val="0"/>
              <w:pageBreakBefore w:val="0"/>
              <w:widowControl w:val="0"/>
              <w:kinsoku/>
              <w:wordWrap/>
              <w:overflowPunct/>
              <w:topLinePunct w:val="0"/>
              <w:autoSpaceDE/>
              <w:autoSpaceDN/>
              <w:bidi w:val="0"/>
              <w:adjustRightInd/>
              <w:snapToGrid/>
              <w:spacing w:line="600" w:lineRule="exact"/>
              <w:ind w:firstLine="1280" w:firstLineChars="4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3 类</w:t>
            </w:r>
          </w:p>
        </w:tc>
        <w:tc>
          <w:tcPr>
            <w:tcW w:w="2450" w:type="dxa"/>
            <w:vAlign w:val="center"/>
          </w:tcPr>
          <w:p w14:paraId="532228F0">
            <w:pPr>
              <w:keepNext w:val="0"/>
              <w:keepLines w:val="0"/>
              <w:pageBreakBefore w:val="0"/>
              <w:widowControl w:val="0"/>
              <w:kinsoku/>
              <w:wordWrap/>
              <w:overflowPunct/>
              <w:topLinePunct w:val="0"/>
              <w:autoSpaceDE/>
              <w:autoSpaceDN/>
              <w:bidi w:val="0"/>
              <w:adjustRightInd/>
              <w:snapToGrid/>
              <w:spacing w:line="600" w:lineRule="exact"/>
              <w:ind w:firstLine="960" w:firstLineChars="3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65</w:t>
            </w:r>
          </w:p>
        </w:tc>
        <w:tc>
          <w:tcPr>
            <w:tcW w:w="2681" w:type="dxa"/>
            <w:vAlign w:val="center"/>
          </w:tcPr>
          <w:p w14:paraId="02DD08B6">
            <w:pPr>
              <w:keepNext w:val="0"/>
              <w:keepLines w:val="0"/>
              <w:pageBreakBefore w:val="0"/>
              <w:widowControl w:val="0"/>
              <w:kinsoku/>
              <w:wordWrap/>
              <w:overflowPunct/>
              <w:topLinePunct w:val="0"/>
              <w:autoSpaceDE/>
              <w:autoSpaceDN/>
              <w:bidi w:val="0"/>
              <w:adjustRightInd/>
              <w:snapToGrid/>
              <w:spacing w:line="600" w:lineRule="exact"/>
              <w:ind w:firstLine="960" w:firstLineChars="3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55</w:t>
            </w:r>
          </w:p>
        </w:tc>
      </w:tr>
      <w:tr w14:paraId="0B367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322" w:type="dxa"/>
            <w:vMerge w:val="restart"/>
            <w:vAlign w:val="center"/>
          </w:tcPr>
          <w:p w14:paraId="63037B1A">
            <w:pPr>
              <w:keepNext w:val="0"/>
              <w:keepLines w:val="0"/>
              <w:pageBreakBefore w:val="0"/>
              <w:widowControl w:val="0"/>
              <w:kinsoku/>
              <w:wordWrap/>
              <w:overflowPunct/>
              <w:topLinePunct w:val="0"/>
              <w:autoSpaceDE/>
              <w:autoSpaceDN/>
              <w:bidi w:val="0"/>
              <w:adjustRightInd/>
              <w:snapToGrid/>
              <w:spacing w:line="600" w:lineRule="exact"/>
              <w:ind w:firstLine="320" w:firstLineChars="1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4 类</w:t>
            </w:r>
          </w:p>
        </w:tc>
        <w:tc>
          <w:tcPr>
            <w:tcW w:w="1907" w:type="dxa"/>
            <w:vAlign w:val="center"/>
          </w:tcPr>
          <w:p w14:paraId="4422B66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4a类</w:t>
            </w:r>
          </w:p>
        </w:tc>
        <w:tc>
          <w:tcPr>
            <w:tcW w:w="2450" w:type="dxa"/>
            <w:vAlign w:val="center"/>
          </w:tcPr>
          <w:p w14:paraId="28DF0860">
            <w:pPr>
              <w:keepNext w:val="0"/>
              <w:keepLines w:val="0"/>
              <w:pageBreakBefore w:val="0"/>
              <w:widowControl w:val="0"/>
              <w:kinsoku/>
              <w:wordWrap/>
              <w:overflowPunct/>
              <w:topLinePunct w:val="0"/>
              <w:autoSpaceDE/>
              <w:autoSpaceDN/>
              <w:bidi w:val="0"/>
              <w:adjustRightInd/>
              <w:snapToGrid/>
              <w:spacing w:line="600" w:lineRule="exact"/>
              <w:ind w:firstLine="960" w:firstLineChars="3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70</w:t>
            </w:r>
          </w:p>
        </w:tc>
        <w:tc>
          <w:tcPr>
            <w:tcW w:w="2681" w:type="dxa"/>
            <w:vAlign w:val="center"/>
          </w:tcPr>
          <w:p w14:paraId="57739BDB">
            <w:pPr>
              <w:keepNext w:val="0"/>
              <w:keepLines w:val="0"/>
              <w:pageBreakBefore w:val="0"/>
              <w:widowControl w:val="0"/>
              <w:kinsoku/>
              <w:wordWrap/>
              <w:overflowPunct/>
              <w:topLinePunct w:val="0"/>
              <w:autoSpaceDE/>
              <w:autoSpaceDN/>
              <w:bidi w:val="0"/>
              <w:adjustRightInd/>
              <w:snapToGrid/>
              <w:spacing w:line="600" w:lineRule="exact"/>
              <w:ind w:firstLine="960" w:firstLineChars="3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55</w:t>
            </w:r>
          </w:p>
        </w:tc>
      </w:tr>
      <w:tr w14:paraId="7A3E4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1322" w:type="dxa"/>
            <w:vMerge w:val="continue"/>
            <w:tcBorders>
              <w:top w:val="nil"/>
            </w:tcBorders>
            <w:vAlign w:val="center"/>
          </w:tcPr>
          <w:p w14:paraId="7F22CCD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p>
        </w:tc>
        <w:tc>
          <w:tcPr>
            <w:tcW w:w="1907" w:type="dxa"/>
            <w:vAlign w:val="center"/>
          </w:tcPr>
          <w:p w14:paraId="044B91C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4b类</w:t>
            </w:r>
          </w:p>
        </w:tc>
        <w:tc>
          <w:tcPr>
            <w:tcW w:w="2450" w:type="dxa"/>
            <w:vAlign w:val="center"/>
          </w:tcPr>
          <w:p w14:paraId="740636B3">
            <w:pPr>
              <w:keepNext w:val="0"/>
              <w:keepLines w:val="0"/>
              <w:pageBreakBefore w:val="0"/>
              <w:widowControl w:val="0"/>
              <w:kinsoku/>
              <w:wordWrap/>
              <w:overflowPunct/>
              <w:topLinePunct w:val="0"/>
              <w:autoSpaceDE/>
              <w:autoSpaceDN/>
              <w:bidi w:val="0"/>
              <w:adjustRightInd/>
              <w:snapToGrid/>
              <w:spacing w:line="600" w:lineRule="exact"/>
              <w:ind w:firstLine="960" w:firstLineChars="3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70</w:t>
            </w:r>
          </w:p>
        </w:tc>
        <w:tc>
          <w:tcPr>
            <w:tcW w:w="2681" w:type="dxa"/>
            <w:vAlign w:val="center"/>
          </w:tcPr>
          <w:p w14:paraId="071DEB81">
            <w:pPr>
              <w:keepNext w:val="0"/>
              <w:keepLines w:val="0"/>
              <w:pageBreakBefore w:val="0"/>
              <w:widowControl w:val="0"/>
              <w:kinsoku/>
              <w:wordWrap/>
              <w:overflowPunct/>
              <w:topLinePunct w:val="0"/>
              <w:autoSpaceDE/>
              <w:autoSpaceDN/>
              <w:bidi w:val="0"/>
              <w:adjustRightInd/>
              <w:snapToGrid/>
              <w:spacing w:line="600" w:lineRule="exact"/>
              <w:ind w:firstLine="960" w:firstLineChars="3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60</w:t>
            </w:r>
          </w:p>
        </w:tc>
      </w:tr>
    </w:tbl>
    <w:p w14:paraId="1C2209F0">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仿宋_GB2312" w:hAnsi="仿宋" w:eastAsia="仿宋_GB2312" w:cs="Times New Roman"/>
          <w:kern w:val="2"/>
          <w:sz w:val="28"/>
          <w:szCs w:val="28"/>
          <w:lang w:val="en-US" w:bidi="ar-SA"/>
        </w:rPr>
      </w:pPr>
      <w:r>
        <w:rPr>
          <w:rFonts w:hint="default" w:ascii="仿宋_GB2312" w:hAnsi="仿宋" w:eastAsia="仿宋_GB2312" w:cs="Times New Roman"/>
          <w:kern w:val="2"/>
          <w:sz w:val="28"/>
          <w:szCs w:val="28"/>
          <w:lang w:val="en-US" w:eastAsia="zh-CN" w:bidi="ar-SA"/>
        </w:rPr>
        <w:t>注：“昼间”是指6:00至22:00之间的时段；“夜间”是指22:00至次日6:00之间的时段。</w:t>
      </w:r>
    </w:p>
    <w:p w14:paraId="35DA6529">
      <w:pPr>
        <w:pStyle w:val="3"/>
        <w:keepNext w:val="0"/>
        <w:keepLines w:val="0"/>
        <w:pageBreakBefore w:val="0"/>
        <w:widowControl w:val="0"/>
        <w:numPr>
          <w:ilvl w:val="255"/>
          <w:numId w:val="0"/>
        </w:numPr>
        <w:kinsoku/>
        <w:wordWrap/>
        <w:overflowPunct/>
        <w:topLinePunct w:val="0"/>
        <w:bidi w:val="0"/>
        <w:adjustRightInd/>
        <w:snapToGrid/>
        <w:spacing w:before="150" w:line="600" w:lineRule="exact"/>
        <w:ind w:right="115" w:firstLine="643" w:firstLineChars="200"/>
        <w:textAlignment w:val="auto"/>
        <w:outlineLvl w:val="0"/>
        <w:rPr>
          <w:rFonts w:hint="default" w:ascii="黑体" w:hAnsi="黑体" w:eastAsia="黑体" w:cs="黑体"/>
          <w:b/>
          <w:highlight w:val="none"/>
          <w:lang w:val="en-US"/>
        </w:rPr>
      </w:pPr>
      <w:bookmarkStart w:id="122" w:name="_Toc26762"/>
      <w:bookmarkStart w:id="123" w:name="_Toc5782"/>
      <w:bookmarkStart w:id="124" w:name="_Toc30605"/>
      <w:bookmarkStart w:id="125" w:name="_Toc16292"/>
      <w:bookmarkStart w:id="126" w:name="_Toc20915"/>
      <w:bookmarkStart w:id="127" w:name="_Toc118982815"/>
      <w:bookmarkStart w:id="128" w:name="_Toc8528"/>
      <w:bookmarkStart w:id="129" w:name="_Toc6628"/>
      <w:bookmarkStart w:id="130" w:name="_Toc2720"/>
      <w:bookmarkStart w:id="131" w:name="_Toc16250"/>
      <w:bookmarkStart w:id="132" w:name="_Toc6252"/>
      <w:r>
        <w:rPr>
          <w:rFonts w:hint="default" w:ascii="黑体" w:hAnsi="黑体" w:eastAsia="黑体" w:cs="黑体"/>
          <w:b/>
          <w:highlight w:val="none"/>
          <w:lang w:val="en-US" w:eastAsia="zh-CN"/>
        </w:rPr>
        <w:t>六</w:t>
      </w:r>
      <w:r>
        <w:rPr>
          <w:rFonts w:hint="default" w:ascii="黑体" w:hAnsi="黑体" w:eastAsia="黑体" w:cs="黑体"/>
          <w:b/>
          <w:highlight w:val="none"/>
          <w:lang w:val="en-US"/>
        </w:rPr>
        <w:t>、</w:t>
      </w:r>
      <w:bookmarkEnd w:id="122"/>
      <w:bookmarkEnd w:id="123"/>
      <w:bookmarkEnd w:id="124"/>
      <w:bookmarkEnd w:id="125"/>
      <w:bookmarkEnd w:id="126"/>
      <w:bookmarkEnd w:id="127"/>
      <w:r>
        <w:rPr>
          <w:rFonts w:hint="default" w:ascii="黑体" w:hAnsi="黑体" w:eastAsia="黑体" w:cs="黑体"/>
          <w:b/>
          <w:highlight w:val="none"/>
          <w:lang w:val="en-US" w:eastAsia="zh-CN"/>
        </w:rPr>
        <w:t>区划说明</w:t>
      </w:r>
      <w:bookmarkEnd w:id="128"/>
      <w:bookmarkEnd w:id="129"/>
      <w:bookmarkEnd w:id="130"/>
      <w:bookmarkEnd w:id="131"/>
      <w:bookmarkEnd w:id="132"/>
    </w:p>
    <w:p w14:paraId="4228849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（一）本区划方案自发布之日起实施。</w:t>
      </w:r>
    </w:p>
    <w:p w14:paraId="4823853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（二）规划交通干线未实施前按所在区域声环境功能区类别管理，规划交通干线实施后执行4类声环境功能区。</w:t>
      </w:r>
    </w:p>
    <w:p w14:paraId="695D640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（三）区划根据</w:t>
      </w:r>
      <w:r>
        <w:rPr>
          <w:rFonts w:hint="default" w:ascii="仿宋_GB2312" w:hAnsi="仿宋" w:eastAsia="仿宋_GB2312" w:cs="Times New Roman"/>
          <w:kern w:val="2"/>
          <w:sz w:val="32"/>
          <w:szCs w:val="32"/>
          <w:lang w:val="en-US" w:eastAsia="zh-CN" w:bidi="ar-SA"/>
        </w:rPr>
        <w:t>国土空间规划</w:t>
      </w:r>
      <w:r>
        <w:rPr>
          <w:rFonts w:hint="default" w:ascii="仿宋_GB2312" w:hAnsi="仿宋" w:eastAsia="仿宋_GB2312" w:cs="Times New Roman"/>
          <w:kern w:val="2"/>
          <w:sz w:val="32"/>
          <w:szCs w:val="32"/>
          <w:lang w:val="en-US" w:bidi="ar-SA"/>
        </w:rPr>
        <w:t>和用地性质变化适时调整，原则不超过5年调整一次。</w:t>
      </w:r>
    </w:p>
    <w:p w14:paraId="61E3E7A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（四）本区划方案附图不作为定界依据。</w:t>
      </w:r>
    </w:p>
    <w:p w14:paraId="7F8FE59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 w:eastAsia="仿宋_GB2312" w:cs="Times New Roman"/>
          <w:kern w:val="2"/>
          <w:sz w:val="32"/>
          <w:szCs w:val="32"/>
          <w:lang w:val="en-US" w:bidi="ar-SA"/>
        </w:rPr>
      </w:pPr>
      <w:r>
        <w:rPr>
          <w:rFonts w:hint="default" w:ascii="仿宋_GB2312" w:hAnsi="仿宋" w:eastAsia="仿宋_GB2312" w:cs="Times New Roman"/>
          <w:kern w:val="2"/>
          <w:sz w:val="32"/>
          <w:szCs w:val="32"/>
          <w:lang w:val="en-US" w:bidi="ar-SA"/>
        </w:rPr>
        <w:t>（五）本区划方案由韶关市生态环境局南雄分局负责解释。</w:t>
      </w:r>
    </w:p>
    <w:p w14:paraId="490C195E">
      <w:pPr>
        <w:spacing w:line="360" w:lineRule="auto"/>
        <w:rPr>
          <w:rFonts w:hint="default" w:ascii="Times New Roman" w:hAnsi="Times New Roman" w:cs="Times New Roman"/>
          <w:highlight w:val="yellow"/>
        </w:rPr>
      </w:pPr>
    </w:p>
    <w:p w14:paraId="5A549208">
      <w:pPr>
        <w:spacing w:line="360" w:lineRule="auto"/>
        <w:rPr>
          <w:rFonts w:hint="default" w:ascii="Times New Roman" w:hAnsi="Times New Roman" w:eastAsia="宋体" w:cs="Times New Roman"/>
          <w:highlight w:val="yellow"/>
        </w:rPr>
        <w:sectPr>
          <w:footerReference r:id="rId4" w:type="default"/>
          <w:pgSz w:w="11910" w:h="16840"/>
          <w:pgMar w:top="2098" w:right="1474" w:bottom="1984" w:left="1587" w:header="850" w:footer="1474" w:gutter="0"/>
          <w:pgNumType w:fmt="decimal" w:start="1"/>
          <w:cols w:space="0" w:num="1"/>
          <w:rtlGutter w:val="0"/>
          <w:docGrid w:type="lines" w:linePitch="579" w:charSpace="0"/>
        </w:sectPr>
      </w:pPr>
    </w:p>
    <w:p w14:paraId="0451127F">
      <w:pPr>
        <w:pStyle w:val="3"/>
        <w:keepNext w:val="0"/>
        <w:keepLines w:val="0"/>
        <w:pageBreakBefore w:val="0"/>
        <w:widowControl w:val="0"/>
        <w:numPr>
          <w:ilvl w:val="255"/>
          <w:numId w:val="0"/>
        </w:numPr>
        <w:kinsoku/>
        <w:wordWrap/>
        <w:overflowPunct/>
        <w:topLinePunct w:val="0"/>
        <w:bidi w:val="0"/>
        <w:adjustRightInd/>
        <w:snapToGrid/>
        <w:spacing w:before="150" w:line="600" w:lineRule="exact"/>
        <w:ind w:right="115" w:firstLine="643" w:firstLineChars="200"/>
        <w:textAlignment w:val="auto"/>
        <w:outlineLvl w:val="0"/>
        <w:rPr>
          <w:rFonts w:hint="default" w:ascii="黑体" w:hAnsi="黑体" w:eastAsia="黑体" w:cs="黑体"/>
          <w:b/>
          <w:highlight w:val="none"/>
          <w:lang w:val="en-US" w:eastAsia="zh-CN"/>
        </w:rPr>
      </w:pPr>
      <w:bookmarkStart w:id="133" w:name="_Toc18328"/>
      <w:bookmarkStart w:id="134" w:name="_Toc10196"/>
      <w:bookmarkStart w:id="135" w:name="_Toc8324"/>
      <w:bookmarkStart w:id="136" w:name="_Toc16040"/>
      <w:bookmarkStart w:id="137" w:name="_Toc8077"/>
      <w:bookmarkStart w:id="138" w:name="_Toc31405"/>
      <w:bookmarkStart w:id="139" w:name="_Toc26412"/>
      <w:bookmarkStart w:id="140" w:name="_Toc12261"/>
      <w:bookmarkStart w:id="141" w:name="_Toc118972596"/>
      <w:bookmarkStart w:id="142" w:name="_Toc32524"/>
      <w:bookmarkStart w:id="143" w:name="_Toc32053"/>
      <w:bookmarkStart w:id="144" w:name="_Toc118982816"/>
      <w:bookmarkStart w:id="145" w:name="_Toc4241"/>
      <w:bookmarkStart w:id="146" w:name="_Toc11890"/>
      <w:r>
        <w:rPr>
          <w:rFonts w:hint="default" w:ascii="黑体" w:hAnsi="黑体" w:eastAsia="黑体" w:cs="黑体"/>
          <w:b/>
          <w:highlight w:val="none"/>
          <w:lang w:val="en-US" w:eastAsia="zh-CN"/>
        </w:rPr>
        <w:t>附图1 南雄市声环境功能区区划总图</w:t>
      </w:r>
      <w:bookmarkEnd w:id="133"/>
      <w:bookmarkEnd w:id="134"/>
      <w:bookmarkEnd w:id="135"/>
      <w:bookmarkEnd w:id="136"/>
      <w:bookmarkEnd w:id="137"/>
      <w:bookmarkEnd w:id="138"/>
      <w:bookmarkEnd w:id="139"/>
      <w:bookmarkEnd w:id="140"/>
    </w:p>
    <w:p w14:paraId="6F061AC6">
      <w:pPr>
        <w:jc w:val="center"/>
        <w:rPr>
          <w:rFonts w:hint="default" w:ascii="Times New Roman" w:hAnsi="Times New Roman" w:eastAsia="宋体" w:cs="Times New Roman"/>
          <w:highlight w:val="none"/>
        </w:rPr>
      </w:pPr>
      <w:r>
        <w:rPr>
          <w:rFonts w:hint="default" w:ascii="Times New Roman" w:hAnsi="Times New Roman" w:eastAsia="仿宋" w:cs="Times New Roman"/>
          <w:highlight w:val="none"/>
          <w:lang w:eastAsia="zh-CN"/>
        </w:rPr>
        <w:drawing>
          <wp:inline distT="0" distB="0" distL="114300" distR="114300">
            <wp:extent cx="11885930" cy="8409305"/>
            <wp:effectExtent l="0" t="0" r="1270" b="10795"/>
            <wp:docPr id="4" name="图片 1" descr="南雄市功能区划  2000坐标  总图新 - 外审后编辑版本 - 卫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南雄市功能区划  2000坐标  总图新 - 外审后编辑版本 - 卫星"/>
                    <pic:cNvPicPr>
                      <a:picLocks noChangeAspect="1"/>
                    </pic:cNvPicPr>
                  </pic:nvPicPr>
                  <pic:blipFill>
                    <a:blip r:embed="rId7"/>
                    <a:srcRect l="414" r="790" b="1613"/>
                    <a:stretch>
                      <a:fillRect/>
                    </a:stretch>
                  </pic:blipFill>
                  <pic:spPr>
                    <a:xfrm>
                      <a:off x="0" y="0"/>
                      <a:ext cx="11885930" cy="8409305"/>
                    </a:xfrm>
                    <a:prstGeom prst="rect">
                      <a:avLst/>
                    </a:prstGeom>
                    <a:noFill/>
                    <a:ln>
                      <a:noFill/>
                    </a:ln>
                  </pic:spPr>
                </pic:pic>
              </a:graphicData>
            </a:graphic>
          </wp:inline>
        </w:drawing>
      </w:r>
      <w:bookmarkEnd w:id="141"/>
      <w:bookmarkEnd w:id="142"/>
      <w:bookmarkEnd w:id="143"/>
      <w:bookmarkEnd w:id="144"/>
      <w:bookmarkEnd w:id="145"/>
      <w:bookmarkEnd w:id="146"/>
    </w:p>
    <w:sectPr>
      <w:footerReference r:id="rId5" w:type="default"/>
      <w:pgSz w:w="23811" w:h="16838" w:orient="landscape"/>
      <w:pgMar w:top="1100" w:right="2020" w:bottom="1320" w:left="1340" w:header="0" w:footer="1122" w:gutter="0"/>
      <w:pgNumType w:fmt="decimal"/>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3584DBB-5724-496B-B351-BE63474CD5FC}"/>
  </w:font>
  <w:font w:name="黑体">
    <w:panose1 w:val="02010609060101010101"/>
    <w:charset w:val="86"/>
    <w:family w:val="auto"/>
    <w:pitch w:val="default"/>
    <w:sig w:usb0="800002BF" w:usb1="38CF7CFA" w:usb2="00000016" w:usb3="00000000" w:csb0="00040001" w:csb1="00000000"/>
    <w:embedRegular r:id="rId2" w:fontKey="{2FCEB01F-C1CE-4234-9D20-D38EC7D2FD4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DE41EEED-114E-47DD-8782-2C7E13CEE9EA}"/>
  </w:font>
  <w:font w:name="方正小标宋简体">
    <w:panose1 w:val="02000000000000000000"/>
    <w:charset w:val="86"/>
    <w:family w:val="auto"/>
    <w:pitch w:val="default"/>
    <w:sig w:usb0="A00002BF" w:usb1="184F6CFA" w:usb2="00000012" w:usb3="00000000" w:csb0="00040001" w:csb1="00000000"/>
    <w:embedRegular r:id="rId4" w:fontKey="{0B810A4C-CB11-48B0-BF6D-336CB16002D5}"/>
  </w:font>
  <w:font w:name="仿宋">
    <w:panose1 w:val="02010609060101010101"/>
    <w:charset w:val="86"/>
    <w:family w:val="auto"/>
    <w:pitch w:val="default"/>
    <w:sig w:usb0="800002BF" w:usb1="38CF7CFA" w:usb2="00000016" w:usb3="00000000" w:csb0="00040001" w:csb1="00000000"/>
    <w:embedRegular r:id="rId5" w:fontKey="{F93352A3-E837-428C-AD97-445A7ABAFB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C72AB">
    <w:pPr>
      <w:pStyle w:val="6"/>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3749040</wp:posOffset>
              </wp:positionH>
              <wp:positionV relativeFrom="page">
                <wp:posOffset>9789160</wp:posOffset>
              </wp:positionV>
              <wp:extent cx="63500" cy="1524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63500" cy="152400"/>
                      </a:xfrm>
                      <a:prstGeom prst="rect">
                        <a:avLst/>
                      </a:prstGeom>
                      <a:noFill/>
                      <a:ln>
                        <a:noFill/>
                      </a:ln>
                    </wps:spPr>
                    <wps:txbx>
                      <w:txbxContent>
                        <w:p w14:paraId="6FCE6403">
                          <w:pPr>
                            <w:spacing w:before="12"/>
                            <w:ind w:left="20"/>
                            <w:rPr>
                              <w:rFonts w:ascii="Times New Roman"/>
                              <w:sz w:val="18"/>
                            </w:rPr>
                          </w:pPr>
                          <w:r>
                            <w:rPr>
                              <w:rFonts w:ascii="Times New Roman"/>
                              <w:w w:val="99"/>
                              <w:sz w:val="18"/>
                            </w:rPr>
                            <w:t>I</w:t>
                          </w:r>
                        </w:p>
                      </w:txbxContent>
                    </wps:txbx>
                    <wps:bodyPr lIns="0" tIns="0" rIns="0" bIns="0" upright="1"/>
                  </wps:wsp>
                </a:graphicData>
              </a:graphic>
            </wp:anchor>
          </w:drawing>
        </mc:Choice>
        <mc:Fallback>
          <w:pict>
            <v:shape id="文本框 1" o:spid="_x0000_s1026" o:spt="202" type="#_x0000_t202" style="position:absolute;left:0pt;margin-left:295.2pt;margin-top:770.8pt;height:12pt;width:5pt;mso-position-horizontal-relative:page;mso-position-vertical-relative:page;z-index:-251657216;mso-width-relative:page;mso-height-relative:page;" filled="f" stroked="f" coordsize="21600,21600" o:gfxdata="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0djot2AAAAA0BAAAPAAAAAAAAAAEAIAAAACIAAABkcnMvZG93bnJldi54bWxQSwECFAAU&#10;AAAACACHTuJA8FlWOrgBAABwAwAADgAAAAAAAAABACAAAAAnAQAAZHJzL2Uyb0RvYy54bWxQSwUG&#10;AAAAAAYABgBZAQAAUQUAAAAA&#10;">
              <v:fill on="f" focussize="0,0"/>
              <v:stroke on="f"/>
              <v:imagedata o:title=""/>
              <o:lock v:ext="edit" aspectratio="f"/>
              <v:textbox inset="0mm,0mm,0mm,0mm">
                <w:txbxContent>
                  <w:p w14:paraId="6FCE6403">
                    <w:pPr>
                      <w:spacing w:before="12"/>
                      <w:ind w:left="20"/>
                      <w:rPr>
                        <w:rFonts w:ascii="Times New Roman"/>
                        <w:sz w:val="18"/>
                      </w:rPr>
                    </w:pPr>
                    <w:r>
                      <w:rPr>
                        <w:rFonts w:ascii="Times New Roman"/>
                        <w:w w:val="99"/>
                        <w:sz w:val="18"/>
                      </w:rPr>
                      <w:t>I</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0ACF9">
    <w:pPr>
      <w:pStyle w:val="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AB7DE2">
                          <w:pPr>
                            <w:pStyle w:val="8"/>
                          </w:pPr>
                          <w:r>
                            <w:t>—</w:t>
                          </w:r>
                          <w:r>
                            <w:rPr>
                              <w:rFonts w:hint="eastAsia"/>
                              <w:lang w:val="en-US" w:eastAsia="zh-CN"/>
                            </w:rPr>
                            <w:t xml:space="preserve"> </w:t>
                          </w:r>
                          <w:r>
                            <w:t xml:space="preserve"> </w:t>
                          </w:r>
                          <w:r>
                            <w:fldChar w:fldCharType="begin"/>
                          </w:r>
                          <w:r>
                            <w:instrText xml:space="preserve"> PAGE  \* MERGEFORMAT </w:instrText>
                          </w:r>
                          <w:r>
                            <w:fldChar w:fldCharType="separate"/>
                          </w:r>
                          <w:r>
                            <w:t>1</w:t>
                          </w:r>
                          <w:r>
                            <w:fldChar w:fldCharType="end"/>
                          </w:r>
                          <w:r>
                            <w:t xml:space="preserve"> </w:t>
                          </w:r>
                          <w:r>
                            <w:rPr>
                              <w:rFonts w:hint="eastAsia"/>
                              <w:lang w:val="en-US" w:eastAsia="zh-CN"/>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7AB7DE2">
                    <w:pPr>
                      <w:pStyle w:val="8"/>
                    </w:pPr>
                    <w:r>
                      <w:t>—</w:t>
                    </w:r>
                    <w:r>
                      <w:rPr>
                        <w:rFonts w:hint="eastAsia"/>
                        <w:lang w:val="en-US" w:eastAsia="zh-CN"/>
                      </w:rPr>
                      <w:t xml:space="preserve"> </w:t>
                    </w:r>
                    <w:r>
                      <w:t xml:space="preserve"> </w:t>
                    </w:r>
                    <w:r>
                      <w:fldChar w:fldCharType="begin"/>
                    </w:r>
                    <w:r>
                      <w:instrText xml:space="preserve"> PAGE  \* MERGEFORMAT </w:instrText>
                    </w:r>
                    <w:r>
                      <w:fldChar w:fldCharType="separate"/>
                    </w:r>
                    <w:r>
                      <w:t>1</w:t>
                    </w:r>
                    <w:r>
                      <w:fldChar w:fldCharType="end"/>
                    </w:r>
                    <w:r>
                      <w:t xml:space="preserve"> </w:t>
                    </w:r>
                    <w:r>
                      <w:rPr>
                        <w:rFonts w:hint="eastAsia"/>
                        <w:lang w:val="en-US" w:eastAsia="zh-CN"/>
                      </w:rPr>
                      <w:t xml:space="preserve"> </w:t>
                    </w:r>
                    <w:r>
                      <w:t>—</w:t>
                    </w:r>
                  </w:p>
                </w:txbxContent>
              </v:textbox>
            </v:shape>
          </w:pict>
        </mc:Fallback>
      </mc:AlternateContent>
    </w:r>
  </w:p>
  <w:p w14:paraId="1C6C24A3">
    <w:pPr>
      <w:pStyle w:val="6"/>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A54C7">
    <w:pPr>
      <w:pStyle w:val="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722009">
                          <w:pPr>
                            <w:pStyle w:val="8"/>
                          </w:pPr>
                          <w:r>
                            <w:t xml:space="preserve">— </w:t>
                          </w:r>
                          <w:r>
                            <w:fldChar w:fldCharType="begin"/>
                          </w:r>
                          <w:r>
                            <w:instrText xml:space="preserve"> PAGE  \* MERGEFORMAT </w:instrText>
                          </w:r>
                          <w:r>
                            <w:fldChar w:fldCharType="separate"/>
                          </w:r>
                          <w:r>
                            <w:t>10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9722009">
                    <w:pPr>
                      <w:pStyle w:val="8"/>
                    </w:pPr>
                    <w:r>
                      <w:t xml:space="preserve">— </w:t>
                    </w:r>
                    <w:r>
                      <w:fldChar w:fldCharType="begin"/>
                    </w:r>
                    <w:r>
                      <w:instrText xml:space="preserve"> PAGE  \* MERGEFORMAT </w:instrText>
                    </w:r>
                    <w:r>
                      <w:fldChar w:fldCharType="separate"/>
                    </w:r>
                    <w:r>
                      <w:t>10</w:t>
                    </w:r>
                    <w:r>
                      <w:fldChar w:fldCharType="end"/>
                    </w:r>
                    <w:r>
                      <w:t xml:space="preserve"> —</w:t>
                    </w:r>
                  </w:p>
                </w:txbxContent>
              </v:textbox>
            </v:shape>
          </w:pict>
        </mc:Fallback>
      </mc:AlternateContent>
    </w:r>
  </w:p>
  <w:p w14:paraId="766A7E42">
    <w:pPr>
      <w:pStyle w:val="6"/>
      <w:spacing w:line="14" w:lineRule="auto"/>
      <w:rPr>
        <w:sz w:val="12"/>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720"/>
  <w:drawingGridHorizontalSpacing w:val="220"/>
  <w:drawingGridVerticalSpacing w:val="290"/>
  <w:displayHorizontalDrawingGridEvery w:val="1"/>
  <w:displayVerticalDrawingGridEvery w:val="2"/>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0ZTllOTdlMTQzODU5M2QwOGEwYmFmN2QwNjA4ZDQifQ=="/>
  </w:docVars>
  <w:rsids>
    <w:rsidRoot w:val="00704E7B"/>
    <w:rsid w:val="00043FA8"/>
    <w:rsid w:val="0008313A"/>
    <w:rsid w:val="00166305"/>
    <w:rsid w:val="001C3717"/>
    <w:rsid w:val="003A30F3"/>
    <w:rsid w:val="003B21CB"/>
    <w:rsid w:val="003C7B0A"/>
    <w:rsid w:val="003D079E"/>
    <w:rsid w:val="0042665B"/>
    <w:rsid w:val="00497CF5"/>
    <w:rsid w:val="004E6355"/>
    <w:rsid w:val="005C4F56"/>
    <w:rsid w:val="005D64D6"/>
    <w:rsid w:val="0067722F"/>
    <w:rsid w:val="00704E4E"/>
    <w:rsid w:val="00704E7B"/>
    <w:rsid w:val="007A67BD"/>
    <w:rsid w:val="007C0B70"/>
    <w:rsid w:val="00926EC9"/>
    <w:rsid w:val="00952F4F"/>
    <w:rsid w:val="009566CF"/>
    <w:rsid w:val="00983FAD"/>
    <w:rsid w:val="00A35379"/>
    <w:rsid w:val="00AF24F4"/>
    <w:rsid w:val="00C32768"/>
    <w:rsid w:val="00CA4692"/>
    <w:rsid w:val="00D02406"/>
    <w:rsid w:val="00D379F8"/>
    <w:rsid w:val="00D5620C"/>
    <w:rsid w:val="00D83F56"/>
    <w:rsid w:val="00D93C5E"/>
    <w:rsid w:val="00DE6CF0"/>
    <w:rsid w:val="00E156BC"/>
    <w:rsid w:val="00E3070A"/>
    <w:rsid w:val="00E70153"/>
    <w:rsid w:val="00E96E2E"/>
    <w:rsid w:val="00EB5A86"/>
    <w:rsid w:val="00F74DC3"/>
    <w:rsid w:val="00FE0C01"/>
    <w:rsid w:val="00FF1A7E"/>
    <w:rsid w:val="0119677B"/>
    <w:rsid w:val="014E253B"/>
    <w:rsid w:val="01747CE7"/>
    <w:rsid w:val="024B505A"/>
    <w:rsid w:val="0270686F"/>
    <w:rsid w:val="0273010D"/>
    <w:rsid w:val="0293255D"/>
    <w:rsid w:val="02FA438B"/>
    <w:rsid w:val="03022AD7"/>
    <w:rsid w:val="0317318F"/>
    <w:rsid w:val="033E696D"/>
    <w:rsid w:val="038F541B"/>
    <w:rsid w:val="03CF3A69"/>
    <w:rsid w:val="04020CE1"/>
    <w:rsid w:val="04B147CD"/>
    <w:rsid w:val="04C64E6C"/>
    <w:rsid w:val="04C82992"/>
    <w:rsid w:val="04CD4CF5"/>
    <w:rsid w:val="05465FAD"/>
    <w:rsid w:val="054D10EA"/>
    <w:rsid w:val="05551D4C"/>
    <w:rsid w:val="0616772D"/>
    <w:rsid w:val="06545198"/>
    <w:rsid w:val="068D728F"/>
    <w:rsid w:val="06AE5BB8"/>
    <w:rsid w:val="06E42BFA"/>
    <w:rsid w:val="0768220B"/>
    <w:rsid w:val="07D90787"/>
    <w:rsid w:val="082314B4"/>
    <w:rsid w:val="089112ED"/>
    <w:rsid w:val="08F17FDE"/>
    <w:rsid w:val="09B349FB"/>
    <w:rsid w:val="0A044E68"/>
    <w:rsid w:val="0A397E8E"/>
    <w:rsid w:val="0ADD6A6C"/>
    <w:rsid w:val="0B316DB7"/>
    <w:rsid w:val="0BB87E33"/>
    <w:rsid w:val="0BD95485"/>
    <w:rsid w:val="0BE856C8"/>
    <w:rsid w:val="0BFE6C9A"/>
    <w:rsid w:val="0C5E44B9"/>
    <w:rsid w:val="0CD76ED6"/>
    <w:rsid w:val="0D166265"/>
    <w:rsid w:val="0D447276"/>
    <w:rsid w:val="0D51729D"/>
    <w:rsid w:val="0D530D7C"/>
    <w:rsid w:val="0DC43F13"/>
    <w:rsid w:val="0DEC6932"/>
    <w:rsid w:val="0E3706A9"/>
    <w:rsid w:val="0E6179B4"/>
    <w:rsid w:val="0E96369D"/>
    <w:rsid w:val="0EB36461"/>
    <w:rsid w:val="0EE8119B"/>
    <w:rsid w:val="0FA25AF2"/>
    <w:rsid w:val="0FE8213B"/>
    <w:rsid w:val="10044A9B"/>
    <w:rsid w:val="105A3710"/>
    <w:rsid w:val="11421435"/>
    <w:rsid w:val="11C4450D"/>
    <w:rsid w:val="11C66D88"/>
    <w:rsid w:val="126B5812"/>
    <w:rsid w:val="12A54313"/>
    <w:rsid w:val="12AA1929"/>
    <w:rsid w:val="12D746E8"/>
    <w:rsid w:val="132F322B"/>
    <w:rsid w:val="13B36EF3"/>
    <w:rsid w:val="13B642FE"/>
    <w:rsid w:val="143F7651"/>
    <w:rsid w:val="1476112C"/>
    <w:rsid w:val="147E6D07"/>
    <w:rsid w:val="149363ED"/>
    <w:rsid w:val="15484712"/>
    <w:rsid w:val="15712BD2"/>
    <w:rsid w:val="15891875"/>
    <w:rsid w:val="160A39CA"/>
    <w:rsid w:val="161C6627"/>
    <w:rsid w:val="16E05252"/>
    <w:rsid w:val="17231CAA"/>
    <w:rsid w:val="17334072"/>
    <w:rsid w:val="178F6C29"/>
    <w:rsid w:val="17E02C2C"/>
    <w:rsid w:val="17F453F5"/>
    <w:rsid w:val="18583BD5"/>
    <w:rsid w:val="18714C97"/>
    <w:rsid w:val="187C3D68"/>
    <w:rsid w:val="18911017"/>
    <w:rsid w:val="19094ED0"/>
    <w:rsid w:val="193B5C7A"/>
    <w:rsid w:val="194B7296"/>
    <w:rsid w:val="196640D0"/>
    <w:rsid w:val="196A733A"/>
    <w:rsid w:val="196C2B26"/>
    <w:rsid w:val="19703C2B"/>
    <w:rsid w:val="19810F0A"/>
    <w:rsid w:val="19B27315"/>
    <w:rsid w:val="19C77265"/>
    <w:rsid w:val="1AFF6D41"/>
    <w:rsid w:val="1B5B5EB7"/>
    <w:rsid w:val="1BE37C5A"/>
    <w:rsid w:val="1C2E53EE"/>
    <w:rsid w:val="1C33473D"/>
    <w:rsid w:val="1C8E7BC6"/>
    <w:rsid w:val="1CF163A7"/>
    <w:rsid w:val="1D3427A4"/>
    <w:rsid w:val="1DA36BAB"/>
    <w:rsid w:val="1E085F02"/>
    <w:rsid w:val="1E2017E9"/>
    <w:rsid w:val="1E2F7187"/>
    <w:rsid w:val="1E635082"/>
    <w:rsid w:val="1E8E20FF"/>
    <w:rsid w:val="1E9731A6"/>
    <w:rsid w:val="1F437284"/>
    <w:rsid w:val="1F76214E"/>
    <w:rsid w:val="1FE338BD"/>
    <w:rsid w:val="203701B0"/>
    <w:rsid w:val="2130749E"/>
    <w:rsid w:val="21A35137"/>
    <w:rsid w:val="21C241BF"/>
    <w:rsid w:val="22863A23"/>
    <w:rsid w:val="22A737BF"/>
    <w:rsid w:val="22CD3F6A"/>
    <w:rsid w:val="2306317B"/>
    <w:rsid w:val="230D26EE"/>
    <w:rsid w:val="23BF36CE"/>
    <w:rsid w:val="23C24CB4"/>
    <w:rsid w:val="23D538C4"/>
    <w:rsid w:val="24030E99"/>
    <w:rsid w:val="24433A9F"/>
    <w:rsid w:val="244514B2"/>
    <w:rsid w:val="24F17882"/>
    <w:rsid w:val="2536704D"/>
    <w:rsid w:val="257D2ECD"/>
    <w:rsid w:val="259F4BF2"/>
    <w:rsid w:val="25B124E5"/>
    <w:rsid w:val="262275D1"/>
    <w:rsid w:val="274370EE"/>
    <w:rsid w:val="27547C5E"/>
    <w:rsid w:val="276E51C4"/>
    <w:rsid w:val="279815CA"/>
    <w:rsid w:val="282435D0"/>
    <w:rsid w:val="284C7F3C"/>
    <w:rsid w:val="28C56C0E"/>
    <w:rsid w:val="299F1664"/>
    <w:rsid w:val="29C0782D"/>
    <w:rsid w:val="2A135C1B"/>
    <w:rsid w:val="2A2658E2"/>
    <w:rsid w:val="2A390EC5"/>
    <w:rsid w:val="2AEB2687"/>
    <w:rsid w:val="2B011EAB"/>
    <w:rsid w:val="2B67030A"/>
    <w:rsid w:val="2BC25ADE"/>
    <w:rsid w:val="2BCE003B"/>
    <w:rsid w:val="2C9F7BCD"/>
    <w:rsid w:val="2CA6472B"/>
    <w:rsid w:val="2CBF201D"/>
    <w:rsid w:val="2D241A36"/>
    <w:rsid w:val="2D2D01BF"/>
    <w:rsid w:val="2D403815"/>
    <w:rsid w:val="2DD2038D"/>
    <w:rsid w:val="2E5F13C2"/>
    <w:rsid w:val="2E67296D"/>
    <w:rsid w:val="2EB37960"/>
    <w:rsid w:val="2EE12B17"/>
    <w:rsid w:val="2F05640D"/>
    <w:rsid w:val="2F662205"/>
    <w:rsid w:val="2F6A2714"/>
    <w:rsid w:val="30977539"/>
    <w:rsid w:val="3138414C"/>
    <w:rsid w:val="315C42DF"/>
    <w:rsid w:val="31994BEB"/>
    <w:rsid w:val="31C86712"/>
    <w:rsid w:val="31F821B8"/>
    <w:rsid w:val="31FA5EFB"/>
    <w:rsid w:val="31FB58A6"/>
    <w:rsid w:val="329A38A8"/>
    <w:rsid w:val="32AE0F25"/>
    <w:rsid w:val="32D700C1"/>
    <w:rsid w:val="32FA790B"/>
    <w:rsid w:val="33255FA8"/>
    <w:rsid w:val="339231B8"/>
    <w:rsid w:val="348A4CBF"/>
    <w:rsid w:val="34C226AB"/>
    <w:rsid w:val="34EB7E53"/>
    <w:rsid w:val="351405FA"/>
    <w:rsid w:val="352073D1"/>
    <w:rsid w:val="35843E04"/>
    <w:rsid w:val="35A06A6D"/>
    <w:rsid w:val="35A41DB0"/>
    <w:rsid w:val="35D83F6D"/>
    <w:rsid w:val="35DC2459"/>
    <w:rsid w:val="36125269"/>
    <w:rsid w:val="36B81FB7"/>
    <w:rsid w:val="36DA3362"/>
    <w:rsid w:val="370A6A42"/>
    <w:rsid w:val="376627B1"/>
    <w:rsid w:val="376E6B1A"/>
    <w:rsid w:val="37A662B4"/>
    <w:rsid w:val="37A75B88"/>
    <w:rsid w:val="38200BF9"/>
    <w:rsid w:val="38A64E8F"/>
    <w:rsid w:val="3A736BFA"/>
    <w:rsid w:val="3AD3639A"/>
    <w:rsid w:val="3B102CDE"/>
    <w:rsid w:val="3B5D4EDB"/>
    <w:rsid w:val="3BCB62E9"/>
    <w:rsid w:val="3BDD601C"/>
    <w:rsid w:val="3BF33A92"/>
    <w:rsid w:val="3C376011"/>
    <w:rsid w:val="3C427922"/>
    <w:rsid w:val="3C4E0CC8"/>
    <w:rsid w:val="3D233F03"/>
    <w:rsid w:val="3D97619E"/>
    <w:rsid w:val="3DE90CA8"/>
    <w:rsid w:val="3E332C92"/>
    <w:rsid w:val="3E415973"/>
    <w:rsid w:val="3E6A087A"/>
    <w:rsid w:val="3E706C67"/>
    <w:rsid w:val="3E9424D7"/>
    <w:rsid w:val="3EDA0AA2"/>
    <w:rsid w:val="3EDB3AE5"/>
    <w:rsid w:val="3F4D2D43"/>
    <w:rsid w:val="3F8844F1"/>
    <w:rsid w:val="3FAF7CCF"/>
    <w:rsid w:val="403F3C2F"/>
    <w:rsid w:val="416D7557"/>
    <w:rsid w:val="41970A1B"/>
    <w:rsid w:val="41A26382"/>
    <w:rsid w:val="41F6375D"/>
    <w:rsid w:val="42445690"/>
    <w:rsid w:val="4258464E"/>
    <w:rsid w:val="42A45AE6"/>
    <w:rsid w:val="42CF2EA1"/>
    <w:rsid w:val="42EF5DC0"/>
    <w:rsid w:val="42FE51F6"/>
    <w:rsid w:val="430A3B9B"/>
    <w:rsid w:val="432307B8"/>
    <w:rsid w:val="433F67CA"/>
    <w:rsid w:val="435E3EE6"/>
    <w:rsid w:val="43850B61"/>
    <w:rsid w:val="43EC32A0"/>
    <w:rsid w:val="44095C00"/>
    <w:rsid w:val="442C7B41"/>
    <w:rsid w:val="443C444B"/>
    <w:rsid w:val="44421112"/>
    <w:rsid w:val="44466E54"/>
    <w:rsid w:val="446472DA"/>
    <w:rsid w:val="449342F9"/>
    <w:rsid w:val="45494171"/>
    <w:rsid w:val="45592BB7"/>
    <w:rsid w:val="455B75C1"/>
    <w:rsid w:val="45800549"/>
    <w:rsid w:val="45CC3389"/>
    <w:rsid w:val="45E22BAD"/>
    <w:rsid w:val="46DF6ED6"/>
    <w:rsid w:val="474F4272"/>
    <w:rsid w:val="47A53E92"/>
    <w:rsid w:val="47B74DB6"/>
    <w:rsid w:val="47DE1152"/>
    <w:rsid w:val="49225E03"/>
    <w:rsid w:val="49351245"/>
    <w:rsid w:val="497569F3"/>
    <w:rsid w:val="49F41101"/>
    <w:rsid w:val="49FA5FEB"/>
    <w:rsid w:val="4A6C6EE9"/>
    <w:rsid w:val="4A851D59"/>
    <w:rsid w:val="4ABA6407"/>
    <w:rsid w:val="4AE16948"/>
    <w:rsid w:val="4AFD7120"/>
    <w:rsid w:val="4B0C62A4"/>
    <w:rsid w:val="4B247E30"/>
    <w:rsid w:val="4B5D7F53"/>
    <w:rsid w:val="4BD765E4"/>
    <w:rsid w:val="4BFB2BC5"/>
    <w:rsid w:val="4C04727D"/>
    <w:rsid w:val="4C3426C2"/>
    <w:rsid w:val="4C997D3D"/>
    <w:rsid w:val="4DD04FF2"/>
    <w:rsid w:val="4E037B64"/>
    <w:rsid w:val="4E1E499E"/>
    <w:rsid w:val="4E4E19C6"/>
    <w:rsid w:val="4EC22C42"/>
    <w:rsid w:val="4F196F13"/>
    <w:rsid w:val="4F440434"/>
    <w:rsid w:val="4F4E6379"/>
    <w:rsid w:val="4F561F16"/>
    <w:rsid w:val="4F574496"/>
    <w:rsid w:val="4FB61588"/>
    <w:rsid w:val="4FE76988"/>
    <w:rsid w:val="50C64E79"/>
    <w:rsid w:val="51203DEA"/>
    <w:rsid w:val="51551686"/>
    <w:rsid w:val="515A699B"/>
    <w:rsid w:val="51A14283"/>
    <w:rsid w:val="529B41B2"/>
    <w:rsid w:val="52AE1CD8"/>
    <w:rsid w:val="52FC13FE"/>
    <w:rsid w:val="53B7378C"/>
    <w:rsid w:val="540B0F51"/>
    <w:rsid w:val="54BB2F47"/>
    <w:rsid w:val="54D55D9F"/>
    <w:rsid w:val="55413064"/>
    <w:rsid w:val="55760C1C"/>
    <w:rsid w:val="562D281D"/>
    <w:rsid w:val="5656482C"/>
    <w:rsid w:val="56C94AFA"/>
    <w:rsid w:val="57207456"/>
    <w:rsid w:val="57530731"/>
    <w:rsid w:val="57783A82"/>
    <w:rsid w:val="578C4726"/>
    <w:rsid w:val="578D66F1"/>
    <w:rsid w:val="579730CB"/>
    <w:rsid w:val="57EA457F"/>
    <w:rsid w:val="57EC1669"/>
    <w:rsid w:val="581B1F4E"/>
    <w:rsid w:val="58535244"/>
    <w:rsid w:val="58733B38"/>
    <w:rsid w:val="589558C3"/>
    <w:rsid w:val="58975164"/>
    <w:rsid w:val="58D565A1"/>
    <w:rsid w:val="59637709"/>
    <w:rsid w:val="59AB1DA0"/>
    <w:rsid w:val="59E7033A"/>
    <w:rsid w:val="5A1C4681"/>
    <w:rsid w:val="5A4532B2"/>
    <w:rsid w:val="5A6071CA"/>
    <w:rsid w:val="5AA47FD9"/>
    <w:rsid w:val="5AF729B6"/>
    <w:rsid w:val="5B4377F2"/>
    <w:rsid w:val="5B634017"/>
    <w:rsid w:val="5B786FB4"/>
    <w:rsid w:val="5B7F1A89"/>
    <w:rsid w:val="5B9825E8"/>
    <w:rsid w:val="5BAD522C"/>
    <w:rsid w:val="5BAE6927"/>
    <w:rsid w:val="5BCB77E7"/>
    <w:rsid w:val="5C433822"/>
    <w:rsid w:val="5CAB0566"/>
    <w:rsid w:val="5CAE15E3"/>
    <w:rsid w:val="5D042FB1"/>
    <w:rsid w:val="5D482D23"/>
    <w:rsid w:val="5D944280"/>
    <w:rsid w:val="5DF66D9E"/>
    <w:rsid w:val="5DFC1EDA"/>
    <w:rsid w:val="5E044B93"/>
    <w:rsid w:val="5E162F9C"/>
    <w:rsid w:val="5E420235"/>
    <w:rsid w:val="5EBA34AC"/>
    <w:rsid w:val="5ECC1EF5"/>
    <w:rsid w:val="5ECC48FE"/>
    <w:rsid w:val="5ED52E57"/>
    <w:rsid w:val="5F5A15AE"/>
    <w:rsid w:val="5F7FEA4C"/>
    <w:rsid w:val="5F896EFC"/>
    <w:rsid w:val="5FB707AE"/>
    <w:rsid w:val="5FBF7663"/>
    <w:rsid w:val="60054AFC"/>
    <w:rsid w:val="602C603E"/>
    <w:rsid w:val="60464805"/>
    <w:rsid w:val="60B655C0"/>
    <w:rsid w:val="60E11F1C"/>
    <w:rsid w:val="61BB564B"/>
    <w:rsid w:val="61CB6793"/>
    <w:rsid w:val="61F7383C"/>
    <w:rsid w:val="6200468F"/>
    <w:rsid w:val="622A5268"/>
    <w:rsid w:val="629372B1"/>
    <w:rsid w:val="62CF7BBD"/>
    <w:rsid w:val="62D13935"/>
    <w:rsid w:val="62E418BB"/>
    <w:rsid w:val="63185A08"/>
    <w:rsid w:val="634A17CB"/>
    <w:rsid w:val="635F6B1E"/>
    <w:rsid w:val="636E387A"/>
    <w:rsid w:val="6379568A"/>
    <w:rsid w:val="6473002C"/>
    <w:rsid w:val="64C00105"/>
    <w:rsid w:val="650C6EA7"/>
    <w:rsid w:val="65501489"/>
    <w:rsid w:val="65D33E68"/>
    <w:rsid w:val="65DE21A9"/>
    <w:rsid w:val="65E41BD1"/>
    <w:rsid w:val="66214BD4"/>
    <w:rsid w:val="66300191"/>
    <w:rsid w:val="66636D55"/>
    <w:rsid w:val="66886A01"/>
    <w:rsid w:val="668D4017"/>
    <w:rsid w:val="668F5FE1"/>
    <w:rsid w:val="66AE4B55"/>
    <w:rsid w:val="66D65FF6"/>
    <w:rsid w:val="67486190"/>
    <w:rsid w:val="67FA52AB"/>
    <w:rsid w:val="680E2F36"/>
    <w:rsid w:val="684B5F38"/>
    <w:rsid w:val="688356D2"/>
    <w:rsid w:val="688E4077"/>
    <w:rsid w:val="68925915"/>
    <w:rsid w:val="68971C47"/>
    <w:rsid w:val="68E555CC"/>
    <w:rsid w:val="693E7114"/>
    <w:rsid w:val="69594684"/>
    <w:rsid w:val="6995315D"/>
    <w:rsid w:val="6A15321E"/>
    <w:rsid w:val="6A153665"/>
    <w:rsid w:val="6A4B4E73"/>
    <w:rsid w:val="6A512AE7"/>
    <w:rsid w:val="6B3E3B32"/>
    <w:rsid w:val="6B482C03"/>
    <w:rsid w:val="6B9E2823"/>
    <w:rsid w:val="6BAC24AE"/>
    <w:rsid w:val="6C076004"/>
    <w:rsid w:val="6C4E379B"/>
    <w:rsid w:val="6C506213"/>
    <w:rsid w:val="6C976821"/>
    <w:rsid w:val="6CA83959"/>
    <w:rsid w:val="6D800432"/>
    <w:rsid w:val="6D920165"/>
    <w:rsid w:val="6D9E4D5C"/>
    <w:rsid w:val="6DF5784D"/>
    <w:rsid w:val="6E217E67"/>
    <w:rsid w:val="6E274D51"/>
    <w:rsid w:val="6E4E0530"/>
    <w:rsid w:val="6ED402F5"/>
    <w:rsid w:val="6EE742BB"/>
    <w:rsid w:val="6F1654F2"/>
    <w:rsid w:val="6F834736"/>
    <w:rsid w:val="6F8F7052"/>
    <w:rsid w:val="703420B3"/>
    <w:rsid w:val="7113780F"/>
    <w:rsid w:val="715440AF"/>
    <w:rsid w:val="720F6228"/>
    <w:rsid w:val="72203F91"/>
    <w:rsid w:val="727D6A0C"/>
    <w:rsid w:val="72FF004B"/>
    <w:rsid w:val="73025EB3"/>
    <w:rsid w:val="73494279"/>
    <w:rsid w:val="73C80D84"/>
    <w:rsid w:val="73F12089"/>
    <w:rsid w:val="745D6DE4"/>
    <w:rsid w:val="752C570E"/>
    <w:rsid w:val="75425644"/>
    <w:rsid w:val="760A11E0"/>
    <w:rsid w:val="760E58AB"/>
    <w:rsid w:val="76740D50"/>
    <w:rsid w:val="76A827A7"/>
    <w:rsid w:val="76BD44A5"/>
    <w:rsid w:val="7791148D"/>
    <w:rsid w:val="7806082A"/>
    <w:rsid w:val="78112CFA"/>
    <w:rsid w:val="78312B1C"/>
    <w:rsid w:val="78324FCA"/>
    <w:rsid w:val="7A1268B5"/>
    <w:rsid w:val="7AEF0F24"/>
    <w:rsid w:val="7B02692A"/>
    <w:rsid w:val="7B191EC6"/>
    <w:rsid w:val="7B2A5E81"/>
    <w:rsid w:val="7B420EAF"/>
    <w:rsid w:val="7BFF10BB"/>
    <w:rsid w:val="7CAD6D69"/>
    <w:rsid w:val="7CCD2F68"/>
    <w:rsid w:val="7D2329CE"/>
    <w:rsid w:val="7D4165A6"/>
    <w:rsid w:val="7D7B29C4"/>
    <w:rsid w:val="7DE94569"/>
    <w:rsid w:val="7E244E09"/>
    <w:rsid w:val="7E355268"/>
    <w:rsid w:val="7E417769"/>
    <w:rsid w:val="7E687F0D"/>
    <w:rsid w:val="7E7FABA2"/>
    <w:rsid w:val="7ECB1729"/>
    <w:rsid w:val="7F2350C1"/>
    <w:rsid w:val="7F345520"/>
    <w:rsid w:val="7F6E4923"/>
    <w:rsid w:val="7F871AF4"/>
    <w:rsid w:val="7FF8479F"/>
    <w:rsid w:val="CF9F6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spacing w:before="120" w:after="120" w:line="360" w:lineRule="auto"/>
      <w:ind w:left="783"/>
      <w:outlineLvl w:val="0"/>
    </w:pPr>
    <w:rPr>
      <w:rFonts w:ascii="Microsoft JhengHei" w:hAnsi="Microsoft JhengHei" w:eastAsia="黑体" w:cs="Microsoft JhengHei"/>
      <w:b/>
      <w:bCs/>
      <w:sz w:val="32"/>
      <w:szCs w:val="32"/>
    </w:rPr>
  </w:style>
  <w:style w:type="paragraph" w:styleId="4">
    <w:name w:val="heading 2"/>
    <w:basedOn w:val="1"/>
    <w:next w:val="1"/>
    <w:unhideWhenUsed/>
    <w:qFormat/>
    <w:uiPriority w:val="0"/>
    <w:pPr>
      <w:keepNext/>
      <w:keepLines/>
      <w:spacing w:before="20" w:beforeLines="0" w:beforeAutospacing="0" w:after="20" w:afterLines="0" w:afterAutospacing="0" w:line="360" w:lineRule="auto"/>
      <w:outlineLvl w:val="1"/>
    </w:pPr>
    <w:rPr>
      <w:rFonts w:ascii="Arial" w:hAnsi="Arial" w:eastAsia="楷体"/>
      <w:b/>
      <w:sz w:val="32"/>
    </w:rPr>
  </w:style>
  <w:style w:type="paragraph" w:styleId="5">
    <w:name w:val="heading 4"/>
    <w:basedOn w:val="1"/>
    <w:next w:val="1"/>
    <w:unhideWhenUsed/>
    <w:qFormat/>
    <w:uiPriority w:val="0"/>
    <w:pPr>
      <w:keepNext/>
      <w:keepLines/>
      <w:spacing w:before="280" w:after="100" w:line="372" w:lineRule="auto"/>
      <w:outlineLvl w:val="3"/>
    </w:pPr>
    <w:rPr>
      <w:rFonts w:ascii="Times New Roman" w:hAnsi="Times New Roman"/>
      <w:b/>
      <w:sz w:val="28"/>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Heading2"/>
    <w:basedOn w:val="1"/>
    <w:next w:val="1"/>
    <w:qFormat/>
    <w:uiPriority w:val="0"/>
    <w:pPr>
      <w:keepNext/>
      <w:keepLines/>
      <w:spacing w:line="413" w:lineRule="auto"/>
      <w:jc w:val="both"/>
      <w:textAlignment w:val="baseline"/>
    </w:pPr>
    <w:rPr>
      <w:rFonts w:ascii="Arial" w:hAnsi="Arial" w:eastAsia="黑体"/>
      <w:b/>
      <w:kern w:val="2"/>
      <w:sz w:val="32"/>
      <w:szCs w:val="24"/>
      <w:lang w:val="en-US" w:eastAsia="zh-CN" w:bidi="ar-SA"/>
    </w:rPr>
  </w:style>
  <w:style w:type="paragraph" w:styleId="6">
    <w:name w:val="Body Text"/>
    <w:basedOn w:val="1"/>
    <w:link w:val="25"/>
    <w:qFormat/>
    <w:uiPriority w:val="1"/>
    <w:rPr>
      <w:sz w:val="32"/>
      <w:szCs w:val="32"/>
    </w:rPr>
  </w:style>
  <w:style w:type="paragraph" w:styleId="7">
    <w:name w:val="Body Text Indent"/>
    <w:basedOn w:val="1"/>
    <w:qFormat/>
    <w:uiPriority w:val="0"/>
    <w:pPr>
      <w:spacing w:after="120"/>
      <w:ind w:left="420" w:leftChars="200"/>
    </w:pPr>
  </w:style>
  <w:style w:type="paragraph" w:styleId="8">
    <w:name w:val="footer"/>
    <w:basedOn w:val="1"/>
    <w:link w:val="26"/>
    <w:qFormat/>
    <w:uiPriority w:val="99"/>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qFormat/>
    <w:uiPriority w:val="39"/>
    <w:pPr>
      <w:spacing w:before="265"/>
      <w:ind w:right="284"/>
      <w:jc w:val="right"/>
    </w:pPr>
    <w:rPr>
      <w:sz w:val="28"/>
      <w:szCs w:val="28"/>
    </w:rPr>
  </w:style>
  <w:style w:type="paragraph" w:styleId="11">
    <w:name w:val="toc 2"/>
    <w:basedOn w:val="1"/>
    <w:next w:val="1"/>
    <w:qFormat/>
    <w:uiPriority w:val="1"/>
    <w:pPr>
      <w:spacing w:before="109"/>
      <w:ind w:left="140"/>
    </w:pPr>
    <w:rPr>
      <w:rFonts w:ascii="Microsoft JhengHei" w:hAnsi="Microsoft JhengHei" w:eastAsia="Microsoft JhengHei" w:cs="Microsoft JhengHei"/>
      <w:b/>
      <w:bCs/>
      <w:sz w:val="28"/>
      <w:szCs w:val="28"/>
    </w:rPr>
  </w:style>
  <w:style w:type="paragraph" w:styleId="12">
    <w:name w:val="Body Text First Indent 2"/>
    <w:basedOn w:val="7"/>
    <w:qFormat/>
    <w:uiPriority w:val="0"/>
    <w:pPr>
      <w:ind w:firstLine="420" w:firstLineChars="200"/>
    </w:p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paragraph" w:customStyle="1" w:styleId="16">
    <w:name w:val="Normal Indent1"/>
    <w:basedOn w:val="17"/>
    <w:qFormat/>
    <w:uiPriority w:val="0"/>
    <w:pPr>
      <w:spacing w:line="500" w:lineRule="exact"/>
      <w:ind w:right="26" w:rightChars="8" w:firstLine="640"/>
    </w:pPr>
    <w:rPr>
      <w:rFonts w:ascii="楷体_GB2312" w:eastAsia="楷体_GB2312"/>
      <w:szCs w:val="32"/>
    </w:rPr>
  </w:style>
  <w:style w:type="paragraph" w:customStyle="1" w:styleId="17">
    <w:name w:val="正文 New New New New"/>
    <w:qFormat/>
    <w:uiPriority w:val="0"/>
    <w:pPr>
      <w:widowControl w:val="0"/>
      <w:spacing w:line="600" w:lineRule="exact"/>
      <w:jc w:val="both"/>
    </w:pPr>
    <w:rPr>
      <w:rFonts w:ascii="Times New Roman" w:hAnsi="Times New Roman" w:eastAsia="仿宋_GB2312" w:cs="Times New Roman"/>
      <w:kern w:val="2"/>
      <w:sz w:val="32"/>
      <w:lang w:val="en-US" w:eastAsia="zh-CN" w:bidi="ar-SA"/>
    </w:rPr>
  </w:style>
  <w:style w:type="table" w:customStyle="1" w:styleId="18">
    <w:name w:val="Table Normal"/>
    <w:semiHidden/>
    <w:unhideWhenUsed/>
    <w:qFormat/>
    <w:uiPriority w:val="2"/>
    <w:tblPr>
      <w:tblCellMar>
        <w:top w:w="0" w:type="dxa"/>
        <w:left w:w="0" w:type="dxa"/>
        <w:bottom w:w="0" w:type="dxa"/>
        <w:right w:w="0" w:type="dxa"/>
      </w:tblCellMar>
    </w:tblPr>
  </w:style>
  <w:style w:type="paragraph" w:styleId="19">
    <w:name w:val="List Paragraph"/>
    <w:basedOn w:val="1"/>
    <w:qFormat/>
    <w:uiPriority w:val="1"/>
  </w:style>
  <w:style w:type="paragraph" w:customStyle="1" w:styleId="20">
    <w:name w:val="Table Paragraph"/>
    <w:basedOn w:val="1"/>
    <w:qFormat/>
    <w:uiPriority w:val="1"/>
    <w:pPr>
      <w:spacing w:before="20"/>
      <w:ind w:left="672" w:right="664"/>
      <w:jc w:val="center"/>
    </w:pPr>
    <w:rPr>
      <w:rFonts w:ascii="Times New Roman" w:hAnsi="Times New Roman" w:eastAsia="Times New Roman" w:cs="Times New Roman"/>
    </w:rPr>
  </w:style>
  <w:style w:type="paragraph" w:customStyle="1" w:styleId="21">
    <w:name w:val="WPSOffice手动目录 1"/>
    <w:qFormat/>
    <w:uiPriority w:val="0"/>
    <w:rPr>
      <w:rFonts w:asciiTheme="minorHAnsi" w:hAnsiTheme="minorHAnsi" w:eastAsiaTheme="minorHAnsi" w:cstheme="minorBidi"/>
      <w:lang w:val="en-US" w:eastAsia="zh-CN" w:bidi="ar-SA"/>
    </w:rPr>
  </w:style>
  <w:style w:type="paragraph" w:customStyle="1" w:styleId="22">
    <w:name w:val="WPSOffice手动目录 2"/>
    <w:qFormat/>
    <w:uiPriority w:val="0"/>
    <w:pPr>
      <w:ind w:left="200" w:leftChars="200"/>
    </w:pPr>
    <w:rPr>
      <w:rFonts w:asciiTheme="minorHAnsi" w:hAnsiTheme="minorHAnsi" w:eastAsiaTheme="minorHAnsi" w:cstheme="minorBidi"/>
      <w:lang w:val="en-US" w:eastAsia="zh-CN" w:bidi="ar-SA"/>
    </w:rPr>
  </w:style>
  <w:style w:type="paragraph" w:customStyle="1" w:styleId="23">
    <w:name w:val="Revision"/>
    <w:hidden/>
    <w:semiHidden/>
    <w:qFormat/>
    <w:uiPriority w:val="99"/>
    <w:rPr>
      <w:rFonts w:ascii="宋体" w:hAnsi="宋体" w:eastAsia="宋体" w:cs="宋体"/>
      <w:sz w:val="22"/>
      <w:szCs w:val="22"/>
      <w:lang w:val="zh-CN" w:eastAsia="zh-CN" w:bidi="zh-CN"/>
    </w:rPr>
  </w:style>
  <w:style w:type="paragraph" w:customStyle="1" w:styleId="24">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5">
    <w:name w:val="正文文本 字符"/>
    <w:basedOn w:val="14"/>
    <w:link w:val="6"/>
    <w:qFormat/>
    <w:uiPriority w:val="1"/>
    <w:rPr>
      <w:rFonts w:ascii="宋体" w:hAnsi="宋体" w:eastAsia="宋体" w:cs="宋体"/>
      <w:sz w:val="32"/>
      <w:szCs w:val="32"/>
      <w:lang w:val="zh-CN" w:bidi="zh-CN"/>
    </w:rPr>
  </w:style>
  <w:style w:type="character" w:customStyle="1" w:styleId="26">
    <w:name w:val="页脚 字符"/>
    <w:basedOn w:val="14"/>
    <w:link w:val="8"/>
    <w:qFormat/>
    <w:uiPriority w:val="99"/>
    <w:rPr>
      <w:rFonts w:ascii="宋体" w:hAnsi="宋体" w:eastAsia="宋体" w:cs="宋体"/>
      <w:sz w:val="18"/>
      <w:szCs w:val="22"/>
      <w:lang w:val="zh-CN" w:bidi="zh-CN"/>
    </w:rPr>
  </w:style>
  <w:style w:type="paragraph" w:customStyle="1" w:styleId="27">
    <w:name w:val="正文（韶关规划）"/>
    <w:basedOn w:val="12"/>
    <w:semiHidden/>
    <w:qFormat/>
    <w:uiPriority w:val="0"/>
    <w:pPr>
      <w:tabs>
        <w:tab w:val="left" w:pos="7996"/>
      </w:tabs>
      <w:autoSpaceDE w:val="0"/>
      <w:autoSpaceDN w:val="0"/>
      <w:adjustRightInd w:val="0"/>
      <w:snapToGrid w:val="0"/>
      <w:spacing w:before="156" w:beforeLines="50" w:line="360" w:lineRule="auto"/>
      <w:ind w:left="0" w:leftChars="0" w:firstLine="480"/>
    </w:pPr>
    <w:rPr>
      <w:color w:val="000000"/>
      <w:sz w:val="24"/>
      <w:szCs w:val="24"/>
    </w:rPr>
  </w:style>
  <w:style w:type="paragraph" w:customStyle="1" w:styleId="28">
    <w:name w:val="正文（韶关规划2）"/>
    <w:basedOn w:val="27"/>
    <w:qFormat/>
    <w:uiPriority w:val="0"/>
    <w:pPr>
      <w:spacing w:before="50"/>
      <w:ind w:firstLine="200"/>
    </w:pPr>
    <w:rPr>
      <w:rFonts w:cs="宋体"/>
      <w:bCs/>
      <w:color w:val="auto"/>
      <w:kern w:val="0"/>
      <w:szCs w:val="18"/>
    </w:rPr>
  </w:style>
  <w:style w:type="paragraph" w:customStyle="1" w:styleId="29">
    <w:name w:val="我的正文"/>
    <w:basedOn w:val="1"/>
    <w:qFormat/>
    <w:uiPriority w:val="0"/>
    <w:pPr>
      <w:ind w:firstLine="560" w:firstLineChars="200"/>
    </w:pPr>
    <w:rPr>
      <w:rFonts w:eastAsia="仿宋_GB2312"/>
      <w:sz w:val="28"/>
      <w:szCs w:val="28"/>
    </w:rPr>
  </w:style>
  <w:style w:type="paragraph" w:customStyle="1" w:styleId="30">
    <w:name w:val="正文 New"/>
    <w:qFormat/>
    <w:uiPriority w:val="0"/>
    <w:pPr>
      <w:widowControl w:val="0"/>
      <w:jc w:val="both"/>
    </w:pPr>
    <w:rPr>
      <w:rFonts w:ascii="仿宋_GB2312" w:hAnsi="Times New Roman" w:eastAsia="仿宋_GB2312" w:cs="Times New Roman"/>
      <w:snapToGrid w:val="0"/>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2985</Words>
  <Characters>3233</Characters>
  <Lines>28</Lines>
  <Paragraphs>8</Paragraphs>
  <TotalTime>10</TotalTime>
  <ScaleCrop>false</ScaleCrop>
  <LinksUpToDate>false</LinksUpToDate>
  <CharactersWithSpaces>3344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2022-11-09T19:51:00Z</dcterms:created>
  <dc:creator>lt</dc:creator>
  <cp:lastModifiedBy>Administrator1</cp:lastModifiedBy>
  <cp:lastPrinted>2024-12-20T16:50:00Z</cp:lastPrinted>
  <dcterms:modified xsi:type="dcterms:W3CDTF">2025-12-31T02:38:18Z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2022-10-09T00:00:00Z</vt:filetime>
  </property>
  <property fmtid="{D5CDD505-2E9C-101B-9397-08002B2CF9AE}" pid="3" name="Creator">
    <vt:lpwstr>Microsoft® Word 2016</vt:lpwstr>
  </property>
  <property fmtid="{D5CDD505-2E9C-101B-9397-08002B2CF9AE}" pid="4" name="LastSaved">
    <vt:filetime>2022-11-09T00:00:00Z</vt:filetime>
  </property>
  <property fmtid="{D5CDD505-2E9C-101B-9397-08002B2CF9AE}" pid="5" name="KSOProductBuildVer">
    <vt:lpwstr>2052-12.1.0.24034</vt:lpwstr>
  </property>
  <property fmtid="{D5CDD505-2E9C-101B-9397-08002B2CF9AE}" pid="6" name="ICV">
    <vt:lpwstr>963D26498046430BB3B55299449A956A_13</vt:lpwstr>
  </property>
  <property fmtid="{D5CDD505-2E9C-101B-9397-08002B2CF9AE}" pid="7" name="KSOTemplateDocerSaveRecord">
    <vt:lpwstr>eyJoZGlkIjoiOGQyZTU2ZmYxNTY1YTBiZTY3ODI2MjRlODNlMGQyYWQiLCJ1c2VySWQiOiI0NDg5MzMzODIifQ==</vt:lpwstr>
  </property>
</Properties>
</file>