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A919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center"/>
          </w:tcPr>
          <w:p w14:paraId="24D82A39">
            <w:pPr>
              <w:bidi w:val="0"/>
              <w:ind w:left="0" w:leftChars="0" w:firstLine="0" w:firstLineChars="0"/>
              <w:jc w:val="center"/>
              <w:rPr>
                <w:highlight w:val="none"/>
              </w:rPr>
            </w:pPr>
            <w:r>
              <w:rPr>
                <w:highlight w:val="none"/>
              </w:rPr>
              <w:drawing>
                <wp:inline distT="0" distB="0" distL="114300" distR="114300">
                  <wp:extent cx="5333365" cy="7579995"/>
                  <wp:effectExtent l="0" t="0" r="635" b="1905"/>
                  <wp:docPr id="1" name="图片 127" descr="南雄年鉴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7" descr="南雄年鉴封面"/>
                          <pic:cNvPicPr>
                            <a:picLocks noChangeAspect="1"/>
                          </pic:cNvPicPr>
                        </pic:nvPicPr>
                        <pic:blipFill>
                          <a:blip r:embed="rId6"/>
                          <a:stretch>
                            <a:fillRect/>
                          </a:stretch>
                        </pic:blipFill>
                        <pic:spPr>
                          <a:xfrm>
                            <a:off x="0" y="0"/>
                            <a:ext cx="5333365" cy="7579995"/>
                          </a:xfrm>
                          <a:prstGeom prst="rect">
                            <a:avLst/>
                          </a:prstGeom>
                          <a:noFill/>
                          <a:ln>
                            <a:noFill/>
                          </a:ln>
                        </pic:spPr>
                      </pic:pic>
                    </a:graphicData>
                  </a:graphic>
                </wp:inline>
              </w:drawing>
            </w:r>
          </w:p>
        </w:tc>
      </w:tr>
    </w:tbl>
    <w:p w14:paraId="3B7B0B5A">
      <w:pPr>
        <w:ind w:left="0" w:leftChars="0" w:firstLine="0" w:firstLineChars="0"/>
        <w:jc w:val="center"/>
        <w:outlineLvl w:val="0"/>
        <w:rPr>
          <w:rStyle w:val="10"/>
          <w:highlight w:val="none"/>
        </w:rPr>
      </w:pPr>
      <w:r>
        <w:rPr>
          <w:highlight w:val="none"/>
        </w:rPr>
        <w:br w:type="page"/>
      </w:r>
      <w:r>
        <w:rPr>
          <w:rStyle w:val="10"/>
          <w:rFonts w:hint="eastAsia"/>
          <w:highlight w:val="none"/>
          <w:lang w:eastAsia="zh-CN"/>
        </w:rPr>
        <w:t>南雄市地图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E14B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991" w:hRule="atLeast"/>
        </w:trPr>
        <w:tc>
          <w:tcPr>
            <w:tcW w:w="8616" w:type="dxa"/>
            <w:tcBorders>
              <w:top w:val="nil"/>
              <w:left w:val="nil"/>
              <w:bottom w:val="nil"/>
              <w:right w:val="nil"/>
            </w:tcBorders>
            <w:noWrap w:val="0"/>
            <w:vAlign w:val="top"/>
          </w:tcPr>
          <w:p w14:paraId="355B9575">
            <w:pPr>
              <w:bidi w:val="0"/>
              <w:ind w:left="0" w:leftChars="0" w:firstLine="0" w:firstLineChars="0"/>
              <w:jc w:val="center"/>
              <w:rPr>
                <w:highlight w:val="none"/>
              </w:rPr>
            </w:pPr>
            <w:r>
              <w:rPr>
                <w:highlight w:val="none"/>
              </w:rPr>
              <w:drawing>
                <wp:inline distT="0" distB="0" distL="114300" distR="114300">
                  <wp:extent cx="5327650" cy="3742690"/>
                  <wp:effectExtent l="0" t="0" r="6350" b="10160"/>
                  <wp:docPr id="2" name="图片 3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22" descr="1"/>
                          <pic:cNvPicPr>
                            <a:picLocks noChangeAspect="1"/>
                          </pic:cNvPicPr>
                        </pic:nvPicPr>
                        <pic:blipFill>
                          <a:blip r:embed="rId7"/>
                          <a:stretch>
                            <a:fillRect/>
                          </a:stretch>
                        </pic:blipFill>
                        <pic:spPr>
                          <a:xfrm>
                            <a:off x="0" y="0"/>
                            <a:ext cx="5327650" cy="3742690"/>
                          </a:xfrm>
                          <a:prstGeom prst="rect">
                            <a:avLst/>
                          </a:prstGeom>
                          <a:noFill/>
                          <a:ln>
                            <a:noFill/>
                          </a:ln>
                        </pic:spPr>
                      </pic:pic>
                    </a:graphicData>
                  </a:graphic>
                </wp:inline>
              </w:drawing>
            </w:r>
          </w:p>
        </w:tc>
      </w:tr>
      <w:tr w14:paraId="4AB01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F7327B1">
            <w:pPr>
              <w:ind w:left="0" w:leftChars="0" w:firstLine="0" w:firstLineChars="0"/>
              <w:jc w:val="center"/>
              <w:outlineLvl w:val="0"/>
              <w:rPr>
                <w:highlight w:val="none"/>
                <w:vertAlign w:val="baseline"/>
              </w:rPr>
            </w:pPr>
            <w:r>
              <w:rPr>
                <w:highlight w:val="none"/>
              </w:rPr>
              <w:drawing>
                <wp:inline distT="0" distB="0" distL="114300" distR="114300">
                  <wp:extent cx="5332095" cy="7545705"/>
                  <wp:effectExtent l="0" t="0" r="1905" b="17145"/>
                  <wp:docPr id="3" name="图片 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3" descr="2"/>
                          <pic:cNvPicPr>
                            <a:picLocks noChangeAspect="1"/>
                          </pic:cNvPicPr>
                        </pic:nvPicPr>
                        <pic:blipFill>
                          <a:blip r:embed="rId8"/>
                          <a:stretch>
                            <a:fillRect/>
                          </a:stretch>
                        </pic:blipFill>
                        <pic:spPr>
                          <a:xfrm>
                            <a:off x="0" y="0"/>
                            <a:ext cx="5332095" cy="7545705"/>
                          </a:xfrm>
                          <a:prstGeom prst="rect">
                            <a:avLst/>
                          </a:prstGeom>
                          <a:noFill/>
                          <a:ln>
                            <a:noFill/>
                          </a:ln>
                        </pic:spPr>
                      </pic:pic>
                    </a:graphicData>
                  </a:graphic>
                </wp:inline>
              </w:drawing>
            </w:r>
          </w:p>
        </w:tc>
      </w:tr>
      <w:tr w14:paraId="243FA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C250E96">
            <w:pPr>
              <w:bidi w:val="0"/>
              <w:ind w:left="0" w:leftChars="0" w:firstLine="0" w:firstLineChars="0"/>
              <w:rPr>
                <w:highlight w:val="none"/>
                <w:vertAlign w:val="baseline"/>
              </w:rPr>
            </w:pPr>
            <w:r>
              <w:rPr>
                <w:highlight w:val="none"/>
              </w:rPr>
              <w:drawing>
                <wp:inline distT="0" distB="0" distL="114300" distR="114300">
                  <wp:extent cx="5332095" cy="7545705"/>
                  <wp:effectExtent l="0" t="0" r="1905" b="17145"/>
                  <wp:docPr id="4" name="图片 3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16" descr="3"/>
                          <pic:cNvPicPr>
                            <a:picLocks noChangeAspect="1"/>
                          </pic:cNvPicPr>
                        </pic:nvPicPr>
                        <pic:blipFill>
                          <a:blip r:embed="rId9"/>
                          <a:stretch>
                            <a:fillRect/>
                          </a:stretch>
                        </pic:blipFill>
                        <pic:spPr>
                          <a:xfrm>
                            <a:off x="0" y="0"/>
                            <a:ext cx="5332095" cy="7545705"/>
                          </a:xfrm>
                          <a:prstGeom prst="rect">
                            <a:avLst/>
                          </a:prstGeom>
                          <a:noFill/>
                          <a:ln>
                            <a:noFill/>
                          </a:ln>
                        </pic:spPr>
                      </pic:pic>
                    </a:graphicData>
                  </a:graphic>
                </wp:inline>
              </w:drawing>
            </w:r>
          </w:p>
        </w:tc>
      </w:tr>
    </w:tbl>
    <w:p w14:paraId="01B24C62">
      <w:pPr>
        <w:bidi w:val="0"/>
        <w:rPr>
          <w:highlight w:val="none"/>
        </w:rPr>
        <w:sectPr>
          <w:pgSz w:w="11906" w:h="16838"/>
          <w:pgMar w:top="1440" w:right="1753" w:bottom="1440" w:left="1753" w:header="851" w:footer="992" w:gutter="0"/>
          <w:cols w:space="720" w:num="1"/>
          <w:docGrid w:type="lines" w:linePitch="312" w:charSpace="0"/>
        </w:sectPr>
      </w:pPr>
    </w:p>
    <w:p w14:paraId="7C368237">
      <w:pPr>
        <w:pStyle w:val="2"/>
        <w:bidi w:val="0"/>
        <w:rPr>
          <w:highlight w:val="none"/>
        </w:rPr>
      </w:pPr>
      <w:r>
        <w:rPr>
          <w:highlight w:val="none"/>
          <w:lang w:val="en-US" w:eastAsia="zh-CN"/>
        </w:rPr>
        <w:t>编辑说明</w:t>
      </w:r>
    </w:p>
    <w:p w14:paraId="5FF16D88">
      <w:pPr>
        <w:bidi w:val="0"/>
        <w:rPr>
          <w:rFonts w:hint="eastAsia"/>
          <w:highlight w:val="none"/>
          <w:lang w:val="en-US" w:eastAsia="zh-CN"/>
        </w:rPr>
      </w:pPr>
      <w:r>
        <w:rPr>
          <w:rFonts w:hint="eastAsia"/>
          <w:highlight w:val="none"/>
          <w:lang w:val="en-US" w:eastAsia="zh-CN"/>
        </w:rPr>
        <w:t>一、《南雄年鉴》是由中共南雄市委、市政府主办，市史志办公室组织实施，各承编单位共同参与编纂的地方综合性年鉴。它全面、系统载录该行政区域年度内自然、政治、经济、文化、社会等方面的情况，为全市年度资料性文献。从</w:t>
      </w:r>
      <w:r>
        <w:rPr>
          <w:highlight w:val="none"/>
          <w:lang w:val="en-US" w:eastAsia="zh-CN"/>
        </w:rPr>
        <w:t>2011</w:t>
      </w:r>
      <w:r>
        <w:rPr>
          <w:rFonts w:hint="eastAsia"/>
          <w:highlight w:val="none"/>
          <w:lang w:val="en-US" w:eastAsia="zh-CN"/>
        </w:rPr>
        <w:t>年起每年编纂出版一卷。</w:t>
      </w:r>
    </w:p>
    <w:p w14:paraId="6B5D439C">
      <w:pPr>
        <w:bidi w:val="0"/>
        <w:rPr>
          <w:rFonts w:hint="eastAsia"/>
          <w:highlight w:val="none"/>
          <w:lang w:val="en-US" w:eastAsia="zh-CN"/>
        </w:rPr>
      </w:pPr>
      <w:r>
        <w:rPr>
          <w:rFonts w:hint="eastAsia"/>
          <w:highlight w:val="none"/>
          <w:lang w:val="en-US" w:eastAsia="zh-CN"/>
        </w:rPr>
        <w:t>二、《南雄年鉴》</w:t>
      </w:r>
      <w:r>
        <w:rPr>
          <w:rFonts w:hint="default"/>
          <w:highlight w:val="none"/>
          <w:lang w:val="en-US" w:eastAsia="zh-CN"/>
        </w:rPr>
        <w:t>（2016）</w:t>
      </w:r>
      <w:r>
        <w:rPr>
          <w:rFonts w:hint="eastAsia"/>
          <w:highlight w:val="none"/>
          <w:lang w:val="en-US" w:eastAsia="zh-CN"/>
        </w:rPr>
        <w:t>主要反映</w:t>
      </w:r>
      <w:r>
        <w:rPr>
          <w:rFonts w:hint="default"/>
          <w:highlight w:val="none"/>
          <w:lang w:val="en-US" w:eastAsia="zh-CN"/>
        </w:rPr>
        <w:t>2015</w:t>
      </w:r>
      <w:r>
        <w:rPr>
          <w:rFonts w:hint="eastAsia"/>
          <w:highlight w:val="none"/>
          <w:lang w:val="en-US" w:eastAsia="zh-CN"/>
        </w:rPr>
        <w:t>年南雄市各项事业发展基本情况。年鉴分正文和彩页两大部分，正文内容由特载、</w:t>
      </w:r>
      <w:r>
        <w:rPr>
          <w:rFonts w:hint="default"/>
          <w:highlight w:val="none"/>
          <w:lang w:val="en-US" w:eastAsia="zh-CN"/>
        </w:rPr>
        <w:t>2015</w:t>
      </w:r>
      <w:r>
        <w:rPr>
          <w:rFonts w:hint="eastAsia"/>
          <w:highlight w:val="none"/>
          <w:lang w:val="en-US" w:eastAsia="zh-CN"/>
        </w:rPr>
        <w:t>年大事记、全市概况、行业专文以及社会经济统计资料等组成，彩页主要收集全市重要政务活动、行业成就、城乡新貌等相关图片（市委办张卿雄提供）。新闻要事彩图由各单位提供和选自南雄市人民政府网，专文内容按类目、分目、条目结构层次，条目标题以黑体字加【】表示，全书约计</w:t>
      </w:r>
      <w:r>
        <w:rPr>
          <w:rFonts w:hint="default"/>
          <w:highlight w:val="none"/>
          <w:lang w:val="en-US" w:eastAsia="zh-CN"/>
        </w:rPr>
        <w:t>590</w:t>
      </w:r>
      <w:r>
        <w:rPr>
          <w:rFonts w:hint="eastAsia"/>
          <w:highlight w:val="none"/>
          <w:lang w:val="en-US" w:eastAsia="zh-CN"/>
        </w:rPr>
        <w:t>千字。</w:t>
      </w:r>
    </w:p>
    <w:p w14:paraId="0BDE7712">
      <w:pPr>
        <w:bidi w:val="0"/>
        <w:rPr>
          <w:rFonts w:hint="eastAsia"/>
          <w:highlight w:val="none"/>
          <w:lang w:val="en-US" w:eastAsia="zh-CN"/>
        </w:rPr>
      </w:pPr>
      <w:r>
        <w:rPr>
          <w:rFonts w:hint="eastAsia"/>
          <w:highlight w:val="none"/>
          <w:lang w:val="en-US" w:eastAsia="zh-CN"/>
        </w:rPr>
        <w:t>三、本卷年鉴编目设计在去年的基础上，对个别栏目的编排进行适当调整，使其更加科学合理。</w:t>
      </w:r>
    </w:p>
    <w:p w14:paraId="508CC2D1">
      <w:pPr>
        <w:bidi w:val="0"/>
        <w:rPr>
          <w:rFonts w:hint="eastAsia"/>
          <w:highlight w:val="none"/>
          <w:lang w:val="en-US" w:eastAsia="zh-CN"/>
        </w:rPr>
      </w:pPr>
      <w:r>
        <w:rPr>
          <w:rFonts w:hint="eastAsia"/>
          <w:highlight w:val="none"/>
          <w:lang w:val="en-US" w:eastAsia="zh-CN"/>
        </w:rPr>
        <w:t>四、本卷年鉴收录了</w:t>
      </w:r>
      <w:r>
        <w:rPr>
          <w:rFonts w:hint="default"/>
          <w:highlight w:val="none"/>
          <w:lang w:val="en-US" w:eastAsia="zh-CN"/>
        </w:rPr>
        <w:t>2015</w:t>
      </w:r>
      <w:r>
        <w:rPr>
          <w:rFonts w:hint="eastAsia"/>
          <w:highlight w:val="none"/>
          <w:lang w:val="en-US" w:eastAsia="zh-CN"/>
        </w:rPr>
        <w:t>年市四套班子及市直机关、镇（街道）班子成员名单。五、本年鉴所录用资料大部分由市直各部门、各单位、各镇（街道）及有关单位提供，《南雄年鉴》编辑部撰写了部分稿件并统纂书。所提供的稿件资料均经供稿单位领导审阅，撰稿人署名于各相应条目文末。因统计时间、口径不同等原因，个别数据在不同稿件中可能不尽一致，反映全市国民经济和社会发展情况数据，以南雄市统计局提供资料为准。由于个别单位未按要求提供资料，以致缺载，请见谅。</w:t>
      </w:r>
    </w:p>
    <w:p w14:paraId="3551E509">
      <w:pPr>
        <w:bidi w:val="0"/>
        <w:rPr>
          <w:highlight w:val="none"/>
        </w:rPr>
      </w:pPr>
      <w:r>
        <w:rPr>
          <w:rFonts w:hint="eastAsia"/>
          <w:highlight w:val="none"/>
          <w:lang w:val="en-US" w:eastAsia="zh-CN"/>
        </w:rPr>
        <w:t>六、本年鉴的编辑出版得到了全市各级部门和有关单位领导的力支持，广大撰稿人员为此付出了辛勤的劳动，在此一并致以诚挚的谢意。由于编纂时间紧，水平有限，且篇幅较大，图文虽经多次审核、校对，仍难免有差错和疏漏之处，敬请读者予以指正。</w:t>
      </w:r>
    </w:p>
    <w:p w14:paraId="27570C99">
      <w:pPr>
        <w:bidi w:val="0"/>
        <w:rPr>
          <w:highlight w:val="none"/>
        </w:rPr>
        <w:sectPr>
          <w:pgSz w:w="11906" w:h="16838"/>
          <w:pgMar w:top="1440" w:right="1753" w:bottom="1440" w:left="1753" w:header="851" w:footer="992" w:gutter="0"/>
          <w:cols w:space="720" w:num="1"/>
          <w:docGrid w:type="lines" w:linePitch="312" w:charSpace="0"/>
        </w:sectPr>
      </w:pPr>
    </w:p>
    <w:p w14:paraId="4E075E9B">
      <w:pPr>
        <w:pStyle w:val="2"/>
        <w:bidi w:val="0"/>
        <w:rPr>
          <w:rFonts w:hint="eastAsia"/>
          <w:highlight w:val="none"/>
        </w:rPr>
      </w:pPr>
      <w:r>
        <w:rPr>
          <w:rFonts w:hint="eastAsia"/>
          <w:highlight w:val="none"/>
        </w:rPr>
        <w:t>《南雄年鉴》（2016）编纂委员会</w:t>
      </w:r>
    </w:p>
    <w:p w14:paraId="64C1990F">
      <w:pPr>
        <w:rPr>
          <w:rFonts w:hint="eastAsia"/>
          <w:b w:val="0"/>
          <w:bCs w:val="0"/>
          <w:highlight w:val="none"/>
        </w:rPr>
      </w:pPr>
      <w:r>
        <w:rPr>
          <w:rFonts w:hint="eastAsia"/>
          <w:b w:val="0"/>
          <w:bCs w:val="0"/>
          <w:highlight w:val="none"/>
        </w:rPr>
        <w:t>名誉主任：曾风保（市委书记、市人大常委会主任）</w:t>
      </w:r>
    </w:p>
    <w:p w14:paraId="2A9105CC">
      <w:pPr>
        <w:rPr>
          <w:rFonts w:hint="eastAsia"/>
          <w:b w:val="0"/>
          <w:bCs w:val="0"/>
          <w:highlight w:val="none"/>
        </w:rPr>
      </w:pPr>
      <w:r>
        <w:rPr>
          <w:rFonts w:hint="eastAsia"/>
          <w:b w:val="0"/>
          <w:bCs w:val="0"/>
          <w:highlight w:val="none"/>
        </w:rPr>
        <w:t>主</w:t>
      </w:r>
      <w:r>
        <w:rPr>
          <w:rFonts w:hint="eastAsia"/>
          <w:b w:val="0"/>
          <w:bCs w:val="0"/>
          <w:highlight w:val="none"/>
          <w:lang w:val="en-US" w:eastAsia="zh-CN"/>
        </w:rPr>
        <w:t xml:space="preserve">    </w:t>
      </w:r>
      <w:r>
        <w:rPr>
          <w:rFonts w:hint="eastAsia"/>
          <w:b w:val="0"/>
          <w:bCs w:val="0"/>
          <w:highlight w:val="none"/>
        </w:rPr>
        <w:t>任：王碧安（市委副书记、市长）</w:t>
      </w:r>
    </w:p>
    <w:p w14:paraId="4B55713A">
      <w:pPr>
        <w:rPr>
          <w:rFonts w:hint="eastAsia"/>
          <w:b w:val="0"/>
          <w:bCs w:val="0"/>
          <w:highlight w:val="none"/>
        </w:rPr>
      </w:pPr>
      <w:r>
        <w:rPr>
          <w:rFonts w:hint="eastAsia"/>
          <w:b w:val="0"/>
          <w:bCs w:val="0"/>
          <w:highlight w:val="none"/>
          <w:lang w:eastAsia="zh-CN"/>
        </w:rPr>
        <w:t>副</w:t>
      </w:r>
      <w:r>
        <w:rPr>
          <w:rFonts w:hint="eastAsia"/>
          <w:b w:val="0"/>
          <w:bCs w:val="0"/>
          <w:highlight w:val="none"/>
          <w:lang w:val="en-US" w:eastAsia="zh-CN"/>
        </w:rPr>
        <w:t xml:space="preserve"> </w:t>
      </w:r>
      <w:r>
        <w:rPr>
          <w:rFonts w:hint="eastAsia"/>
          <w:b w:val="0"/>
          <w:bCs w:val="0"/>
          <w:highlight w:val="none"/>
          <w:lang w:eastAsia="zh-CN"/>
        </w:rPr>
        <w:t>主</w:t>
      </w:r>
      <w:r>
        <w:rPr>
          <w:rFonts w:hint="eastAsia"/>
          <w:b w:val="0"/>
          <w:bCs w:val="0"/>
          <w:highlight w:val="none"/>
          <w:lang w:val="en-US" w:eastAsia="zh-CN"/>
        </w:rPr>
        <w:t xml:space="preserve"> </w:t>
      </w:r>
      <w:r>
        <w:rPr>
          <w:rFonts w:hint="eastAsia"/>
          <w:b w:val="0"/>
          <w:bCs w:val="0"/>
          <w:highlight w:val="none"/>
        </w:rPr>
        <w:t xml:space="preserve">任：黄德群（市委常委、市委办主任） </w:t>
      </w:r>
    </w:p>
    <w:p w14:paraId="137071F2">
      <w:pPr>
        <w:ind w:firstLine="1470" w:firstLineChars="700"/>
        <w:rPr>
          <w:rFonts w:hint="eastAsia"/>
          <w:b w:val="0"/>
          <w:bCs w:val="0"/>
          <w:highlight w:val="none"/>
        </w:rPr>
      </w:pPr>
      <w:r>
        <w:rPr>
          <w:rFonts w:hint="eastAsia"/>
          <w:b w:val="0"/>
          <w:bCs w:val="0"/>
          <w:highlight w:val="none"/>
        </w:rPr>
        <w:t>马细妹（副市长）</w:t>
      </w:r>
    </w:p>
    <w:p w14:paraId="7AA9E6FA">
      <w:pPr>
        <w:rPr>
          <w:rFonts w:hint="default" w:eastAsia="宋体"/>
          <w:b w:val="0"/>
          <w:bCs w:val="0"/>
          <w:highlight w:val="none"/>
          <w:lang w:val="en-US" w:eastAsia="zh-CN"/>
        </w:rPr>
      </w:pPr>
      <w:r>
        <w:rPr>
          <w:rFonts w:hint="eastAsia"/>
          <w:b w:val="0"/>
          <w:bCs w:val="0"/>
          <w:highlight w:val="none"/>
          <w:lang w:eastAsia="zh-CN"/>
        </w:rPr>
        <w:t>成</w:t>
      </w:r>
      <w:r>
        <w:rPr>
          <w:rFonts w:hint="eastAsia"/>
          <w:b w:val="0"/>
          <w:bCs w:val="0"/>
          <w:highlight w:val="none"/>
          <w:lang w:val="en-US" w:eastAsia="zh-CN"/>
        </w:rPr>
        <w:t xml:space="preserve">    </w:t>
      </w:r>
      <w:r>
        <w:rPr>
          <w:rFonts w:hint="eastAsia"/>
          <w:b w:val="0"/>
          <w:bCs w:val="0"/>
          <w:highlight w:val="none"/>
        </w:rPr>
        <w:t>员：何文忠（市纪委）</w:t>
      </w:r>
      <w:r>
        <w:rPr>
          <w:rFonts w:hint="eastAsia"/>
          <w:b w:val="0"/>
          <w:bCs w:val="0"/>
          <w:highlight w:val="none"/>
          <w:lang w:val="en-US" w:eastAsia="zh-CN"/>
        </w:rPr>
        <w:t xml:space="preserve">  </w:t>
      </w:r>
      <w:r>
        <w:rPr>
          <w:rFonts w:hint="eastAsia"/>
          <w:b w:val="0"/>
          <w:bCs w:val="0"/>
          <w:highlight w:val="none"/>
        </w:rPr>
        <w:t>张堂耀（市委办）</w:t>
      </w:r>
    </w:p>
    <w:p w14:paraId="569EE43D">
      <w:pPr>
        <w:ind w:firstLine="1470" w:firstLineChars="700"/>
        <w:rPr>
          <w:rFonts w:hint="default" w:eastAsia="宋体"/>
          <w:b w:val="0"/>
          <w:bCs w:val="0"/>
          <w:highlight w:val="none"/>
          <w:lang w:val="en-US" w:eastAsia="zh-CN"/>
        </w:rPr>
      </w:pPr>
      <w:r>
        <w:rPr>
          <w:rFonts w:hint="eastAsia"/>
          <w:b w:val="0"/>
          <w:bCs w:val="0"/>
          <w:highlight w:val="none"/>
        </w:rPr>
        <w:t>张</w:t>
      </w:r>
      <w:r>
        <w:rPr>
          <w:rFonts w:hint="eastAsia"/>
          <w:b w:val="0"/>
          <w:bCs w:val="0"/>
          <w:highlight w:val="none"/>
          <w:lang w:val="en-US" w:eastAsia="zh-CN"/>
        </w:rPr>
        <w:t xml:space="preserve">  </w:t>
      </w:r>
      <w:r>
        <w:rPr>
          <w:rFonts w:hint="eastAsia"/>
          <w:b w:val="0"/>
          <w:bCs w:val="0"/>
          <w:highlight w:val="none"/>
        </w:rPr>
        <w:t>新（人大办）</w:t>
      </w:r>
      <w:r>
        <w:rPr>
          <w:rFonts w:hint="eastAsia"/>
          <w:b w:val="0"/>
          <w:bCs w:val="0"/>
          <w:highlight w:val="none"/>
          <w:lang w:val="en-US" w:eastAsia="zh-CN"/>
        </w:rPr>
        <w:t xml:space="preserve">  </w:t>
      </w:r>
      <w:r>
        <w:rPr>
          <w:rFonts w:hint="eastAsia"/>
          <w:b w:val="0"/>
          <w:bCs w:val="0"/>
          <w:highlight w:val="none"/>
        </w:rPr>
        <w:t>刘先辉（政府办）</w:t>
      </w:r>
    </w:p>
    <w:p w14:paraId="2C0DCFEE">
      <w:pPr>
        <w:ind w:firstLine="1470" w:firstLineChars="700"/>
        <w:rPr>
          <w:rFonts w:hint="default" w:eastAsia="宋体"/>
          <w:b w:val="0"/>
          <w:bCs w:val="0"/>
          <w:highlight w:val="none"/>
          <w:lang w:val="en-US" w:eastAsia="zh-CN"/>
        </w:rPr>
      </w:pPr>
      <w:r>
        <w:rPr>
          <w:rFonts w:hint="eastAsia"/>
          <w:b w:val="0"/>
          <w:bCs w:val="0"/>
          <w:highlight w:val="none"/>
        </w:rPr>
        <w:t>朱定球（政协办）</w:t>
      </w:r>
      <w:r>
        <w:rPr>
          <w:rFonts w:hint="eastAsia"/>
          <w:b w:val="0"/>
          <w:bCs w:val="0"/>
          <w:highlight w:val="none"/>
          <w:lang w:val="en-US" w:eastAsia="zh-CN"/>
        </w:rPr>
        <w:t xml:space="preserve">  </w:t>
      </w:r>
      <w:r>
        <w:rPr>
          <w:rFonts w:hint="eastAsia"/>
          <w:b w:val="0"/>
          <w:bCs w:val="0"/>
          <w:highlight w:val="none"/>
        </w:rPr>
        <w:t>凌生成（组织部）</w:t>
      </w:r>
    </w:p>
    <w:p w14:paraId="06C3FB4D">
      <w:pPr>
        <w:ind w:firstLine="1470" w:firstLineChars="700"/>
        <w:rPr>
          <w:rFonts w:hint="eastAsia"/>
          <w:b w:val="0"/>
          <w:bCs w:val="0"/>
          <w:highlight w:val="none"/>
        </w:rPr>
      </w:pPr>
      <w:r>
        <w:rPr>
          <w:rFonts w:hint="eastAsia"/>
          <w:b w:val="0"/>
          <w:bCs w:val="0"/>
          <w:highlight w:val="none"/>
        </w:rPr>
        <w:t>孔令平（宣传部）</w:t>
      </w:r>
      <w:r>
        <w:rPr>
          <w:rFonts w:hint="eastAsia"/>
          <w:b w:val="0"/>
          <w:bCs w:val="0"/>
          <w:highlight w:val="none"/>
          <w:lang w:val="en-US" w:eastAsia="zh-CN"/>
        </w:rPr>
        <w:t xml:space="preserve">  </w:t>
      </w:r>
      <w:r>
        <w:rPr>
          <w:rFonts w:hint="eastAsia"/>
          <w:b w:val="0"/>
          <w:bCs w:val="0"/>
          <w:highlight w:val="none"/>
        </w:rPr>
        <w:t>孔永明（史志办）</w:t>
      </w:r>
    </w:p>
    <w:p w14:paraId="18E3F290">
      <w:pPr>
        <w:ind w:firstLine="1470" w:firstLineChars="700"/>
        <w:rPr>
          <w:rFonts w:hint="default" w:eastAsia="宋体"/>
          <w:b w:val="0"/>
          <w:bCs w:val="0"/>
          <w:highlight w:val="none"/>
          <w:lang w:val="en-US" w:eastAsia="zh-CN"/>
        </w:rPr>
      </w:pPr>
      <w:r>
        <w:rPr>
          <w:rFonts w:hint="eastAsia"/>
          <w:b w:val="0"/>
          <w:bCs w:val="0"/>
          <w:highlight w:val="none"/>
        </w:rPr>
        <w:t>黄文儒（发改局）</w:t>
      </w:r>
      <w:r>
        <w:rPr>
          <w:rFonts w:hint="eastAsia"/>
          <w:b w:val="0"/>
          <w:bCs w:val="0"/>
          <w:highlight w:val="none"/>
          <w:lang w:val="en-US" w:eastAsia="zh-CN"/>
        </w:rPr>
        <w:t xml:space="preserve">  </w:t>
      </w:r>
      <w:r>
        <w:rPr>
          <w:rFonts w:hint="eastAsia"/>
          <w:b w:val="0"/>
          <w:bCs w:val="0"/>
          <w:highlight w:val="none"/>
        </w:rPr>
        <w:t>田文斌（教育局）</w:t>
      </w:r>
    </w:p>
    <w:p w14:paraId="0BB16B2B">
      <w:pPr>
        <w:ind w:firstLine="1470" w:firstLineChars="700"/>
        <w:rPr>
          <w:rFonts w:hint="default" w:eastAsia="宋体"/>
          <w:b w:val="0"/>
          <w:bCs w:val="0"/>
          <w:highlight w:val="none"/>
          <w:lang w:val="en-US" w:eastAsia="zh-CN"/>
        </w:rPr>
      </w:pPr>
      <w:r>
        <w:rPr>
          <w:rFonts w:hint="eastAsia"/>
          <w:b w:val="0"/>
          <w:bCs w:val="0"/>
          <w:highlight w:val="none"/>
        </w:rPr>
        <w:t>李应军（档案局）</w:t>
      </w:r>
      <w:r>
        <w:rPr>
          <w:rFonts w:hint="eastAsia"/>
          <w:b w:val="0"/>
          <w:bCs w:val="0"/>
          <w:highlight w:val="none"/>
          <w:lang w:val="en-US" w:eastAsia="zh-CN"/>
        </w:rPr>
        <w:t xml:space="preserve">  </w:t>
      </w:r>
      <w:r>
        <w:rPr>
          <w:rFonts w:hint="eastAsia"/>
          <w:b w:val="0"/>
          <w:bCs w:val="0"/>
          <w:highlight w:val="none"/>
        </w:rPr>
        <w:t>王婉霞（人社局）</w:t>
      </w:r>
    </w:p>
    <w:p w14:paraId="1B91ADFA">
      <w:pPr>
        <w:ind w:firstLine="1470" w:firstLineChars="700"/>
        <w:rPr>
          <w:rFonts w:hint="default" w:eastAsia="宋体"/>
          <w:b w:val="0"/>
          <w:bCs w:val="0"/>
          <w:highlight w:val="none"/>
          <w:lang w:val="en-US" w:eastAsia="zh-CN"/>
        </w:rPr>
      </w:pPr>
      <w:r>
        <w:rPr>
          <w:rFonts w:hint="eastAsia"/>
          <w:b w:val="0"/>
          <w:bCs w:val="0"/>
          <w:highlight w:val="none"/>
        </w:rPr>
        <w:t>廖声华（经信局）</w:t>
      </w:r>
      <w:r>
        <w:rPr>
          <w:rFonts w:hint="eastAsia"/>
          <w:b w:val="0"/>
          <w:bCs w:val="0"/>
          <w:highlight w:val="none"/>
          <w:lang w:val="en-US" w:eastAsia="zh-CN"/>
        </w:rPr>
        <w:t xml:space="preserve">  </w:t>
      </w:r>
      <w:r>
        <w:rPr>
          <w:rFonts w:hint="eastAsia"/>
          <w:b w:val="0"/>
          <w:bCs w:val="0"/>
          <w:highlight w:val="none"/>
        </w:rPr>
        <w:t>吴良彬（住建局）</w:t>
      </w:r>
    </w:p>
    <w:p w14:paraId="73A0E187">
      <w:pPr>
        <w:ind w:firstLine="1470" w:firstLineChars="700"/>
        <w:rPr>
          <w:rFonts w:hint="default" w:eastAsia="宋体"/>
          <w:b w:val="0"/>
          <w:bCs w:val="0"/>
          <w:highlight w:val="none"/>
          <w:lang w:val="en-US" w:eastAsia="zh-CN"/>
        </w:rPr>
      </w:pPr>
      <w:r>
        <w:rPr>
          <w:rFonts w:hint="eastAsia"/>
          <w:b w:val="0"/>
          <w:bCs w:val="0"/>
          <w:highlight w:val="none"/>
        </w:rPr>
        <w:t>张政平（国土局）</w:t>
      </w:r>
      <w:r>
        <w:rPr>
          <w:rFonts w:hint="eastAsia"/>
          <w:b w:val="0"/>
          <w:bCs w:val="0"/>
          <w:highlight w:val="none"/>
          <w:lang w:val="en-US" w:eastAsia="zh-CN"/>
        </w:rPr>
        <w:t xml:space="preserve">  </w:t>
      </w:r>
      <w:r>
        <w:rPr>
          <w:rFonts w:hint="eastAsia"/>
          <w:b w:val="0"/>
          <w:bCs w:val="0"/>
          <w:highlight w:val="none"/>
        </w:rPr>
        <w:t>林绍发（交通局）</w:t>
      </w:r>
    </w:p>
    <w:p w14:paraId="2D37AE20">
      <w:pPr>
        <w:ind w:firstLine="1470" w:firstLineChars="700"/>
        <w:rPr>
          <w:rFonts w:hint="default" w:eastAsia="宋体"/>
          <w:b w:val="0"/>
          <w:bCs w:val="0"/>
          <w:highlight w:val="none"/>
          <w:lang w:val="en-US" w:eastAsia="zh-CN"/>
        </w:rPr>
      </w:pPr>
      <w:r>
        <w:rPr>
          <w:rFonts w:hint="eastAsia"/>
          <w:b w:val="0"/>
          <w:bCs w:val="0"/>
          <w:highlight w:val="none"/>
        </w:rPr>
        <w:t>王友华（财政局）</w:t>
      </w:r>
      <w:r>
        <w:rPr>
          <w:rFonts w:hint="eastAsia"/>
          <w:b w:val="0"/>
          <w:bCs w:val="0"/>
          <w:highlight w:val="none"/>
          <w:lang w:val="en-US" w:eastAsia="zh-CN"/>
        </w:rPr>
        <w:t xml:space="preserve">  </w:t>
      </w:r>
      <w:r>
        <w:rPr>
          <w:rFonts w:hint="eastAsia"/>
          <w:b w:val="0"/>
          <w:bCs w:val="0"/>
          <w:highlight w:val="none"/>
        </w:rPr>
        <w:t>陈仁麟（农业局）</w:t>
      </w:r>
    </w:p>
    <w:p w14:paraId="69B8C0E3">
      <w:pPr>
        <w:ind w:firstLine="1470" w:firstLineChars="700"/>
        <w:rPr>
          <w:rFonts w:hint="default" w:eastAsia="宋体"/>
          <w:b w:val="0"/>
          <w:bCs w:val="0"/>
          <w:highlight w:val="none"/>
          <w:lang w:val="en-US" w:eastAsia="zh-CN"/>
        </w:rPr>
      </w:pPr>
      <w:r>
        <w:rPr>
          <w:rFonts w:hint="eastAsia"/>
          <w:b w:val="0"/>
          <w:bCs w:val="0"/>
          <w:highlight w:val="none"/>
        </w:rPr>
        <w:t>刘宏星（统计局）</w:t>
      </w:r>
      <w:r>
        <w:rPr>
          <w:rFonts w:hint="eastAsia"/>
          <w:b w:val="0"/>
          <w:bCs w:val="0"/>
          <w:highlight w:val="none"/>
          <w:lang w:val="en-US" w:eastAsia="zh-CN"/>
        </w:rPr>
        <w:t xml:space="preserve">  </w:t>
      </w:r>
      <w:r>
        <w:rPr>
          <w:rFonts w:hint="eastAsia"/>
          <w:b w:val="0"/>
          <w:bCs w:val="0"/>
          <w:highlight w:val="none"/>
        </w:rPr>
        <w:t>邱万茹（卫计局）</w:t>
      </w:r>
    </w:p>
    <w:p w14:paraId="0A5503CA">
      <w:pPr>
        <w:ind w:firstLine="1470" w:firstLineChars="700"/>
        <w:rPr>
          <w:rFonts w:hint="default" w:eastAsia="宋体"/>
          <w:b w:val="0"/>
          <w:bCs w:val="0"/>
          <w:highlight w:val="none"/>
          <w:lang w:val="en-US" w:eastAsia="zh-CN"/>
        </w:rPr>
      </w:pPr>
      <w:r>
        <w:rPr>
          <w:rFonts w:hint="eastAsia"/>
          <w:b w:val="0"/>
          <w:bCs w:val="0"/>
          <w:highlight w:val="none"/>
        </w:rPr>
        <w:t>张英宏（林业局）</w:t>
      </w:r>
      <w:r>
        <w:rPr>
          <w:rFonts w:hint="eastAsia"/>
          <w:b w:val="0"/>
          <w:bCs w:val="0"/>
          <w:highlight w:val="none"/>
          <w:lang w:val="en-US" w:eastAsia="zh-CN"/>
        </w:rPr>
        <w:t xml:space="preserve">  </w:t>
      </w:r>
      <w:r>
        <w:rPr>
          <w:rFonts w:hint="eastAsia"/>
          <w:b w:val="0"/>
          <w:bCs w:val="0"/>
          <w:highlight w:val="none"/>
        </w:rPr>
        <w:t>严桂龙（水务局）</w:t>
      </w:r>
    </w:p>
    <w:p w14:paraId="0DB25AFA">
      <w:pPr>
        <w:ind w:firstLine="1470" w:firstLineChars="700"/>
        <w:rPr>
          <w:rFonts w:hint="eastAsia"/>
          <w:b w:val="0"/>
          <w:bCs w:val="0"/>
          <w:highlight w:val="none"/>
        </w:rPr>
      </w:pPr>
      <w:r>
        <w:rPr>
          <w:rFonts w:hint="eastAsia"/>
          <w:b w:val="0"/>
          <w:bCs w:val="0"/>
          <w:highlight w:val="none"/>
        </w:rPr>
        <w:t>肖丽琼（民政局）</w:t>
      </w:r>
      <w:r>
        <w:rPr>
          <w:rFonts w:hint="eastAsia"/>
          <w:b w:val="0"/>
          <w:bCs w:val="0"/>
          <w:highlight w:val="none"/>
          <w:lang w:val="en-US" w:eastAsia="zh-CN"/>
        </w:rPr>
        <w:t xml:space="preserve">  </w:t>
      </w:r>
      <w:r>
        <w:rPr>
          <w:rFonts w:hint="eastAsia"/>
          <w:b w:val="0"/>
          <w:bCs w:val="0"/>
          <w:highlight w:val="none"/>
        </w:rPr>
        <w:t>周宏忠（旅游局）</w:t>
      </w:r>
    </w:p>
    <w:p w14:paraId="43E808D7">
      <w:pPr>
        <w:ind w:firstLine="1470" w:firstLineChars="700"/>
        <w:rPr>
          <w:rFonts w:hint="default" w:eastAsia="宋体"/>
          <w:b w:val="0"/>
          <w:bCs w:val="0"/>
          <w:highlight w:val="none"/>
          <w:lang w:val="en-US" w:eastAsia="zh-CN"/>
        </w:rPr>
      </w:pPr>
      <w:r>
        <w:rPr>
          <w:rFonts w:hint="eastAsia"/>
          <w:b w:val="0"/>
          <w:bCs w:val="0"/>
          <w:highlight w:val="none"/>
        </w:rPr>
        <w:t>叶贤银（环保局）</w:t>
      </w:r>
      <w:r>
        <w:rPr>
          <w:rFonts w:hint="eastAsia"/>
          <w:b w:val="0"/>
          <w:bCs w:val="0"/>
          <w:highlight w:val="none"/>
          <w:lang w:val="en-US" w:eastAsia="zh-CN"/>
        </w:rPr>
        <w:t xml:space="preserve">  </w:t>
      </w:r>
      <w:r>
        <w:rPr>
          <w:rFonts w:hint="eastAsia"/>
          <w:b w:val="0"/>
          <w:bCs w:val="0"/>
          <w:highlight w:val="none"/>
        </w:rPr>
        <w:t>李卫兰（文广新局）</w:t>
      </w:r>
    </w:p>
    <w:p w14:paraId="7E754613">
      <w:pPr>
        <w:ind w:firstLine="1470" w:firstLineChars="700"/>
        <w:rPr>
          <w:rFonts w:hint="eastAsia"/>
          <w:b w:val="0"/>
          <w:bCs w:val="0"/>
          <w:highlight w:val="none"/>
        </w:rPr>
      </w:pPr>
      <w:r>
        <w:rPr>
          <w:rFonts w:hint="eastAsia"/>
          <w:b w:val="0"/>
          <w:bCs w:val="0"/>
          <w:highlight w:val="none"/>
        </w:rPr>
        <w:t>卢德政（广播电视台）</w:t>
      </w:r>
    </w:p>
    <w:p w14:paraId="1EB326E5">
      <w:pPr>
        <w:pStyle w:val="2"/>
        <w:bidi w:val="0"/>
        <w:rPr>
          <w:rFonts w:hint="eastAsia"/>
          <w:highlight w:val="none"/>
        </w:rPr>
      </w:pPr>
      <w:r>
        <w:rPr>
          <w:rFonts w:hint="eastAsia"/>
          <w:highlight w:val="none"/>
        </w:rPr>
        <w:t>《南雄年鉴》（2016）编辑部</w:t>
      </w:r>
    </w:p>
    <w:p w14:paraId="2CA7704C">
      <w:pPr>
        <w:rPr>
          <w:rFonts w:hint="eastAsia"/>
          <w:b w:val="0"/>
          <w:bCs/>
          <w:highlight w:val="none"/>
        </w:rPr>
      </w:pPr>
      <w:r>
        <w:rPr>
          <w:rFonts w:hint="eastAsia"/>
          <w:b w:val="0"/>
          <w:bCs/>
          <w:highlight w:val="none"/>
          <w:lang w:eastAsia="zh-CN"/>
        </w:rPr>
        <w:t>主</w:t>
      </w:r>
      <w:r>
        <w:rPr>
          <w:rFonts w:hint="eastAsia"/>
          <w:b w:val="0"/>
          <w:bCs/>
          <w:highlight w:val="none"/>
          <w:lang w:val="en-US" w:eastAsia="zh-CN"/>
        </w:rPr>
        <w:t xml:space="preserve">   </w:t>
      </w:r>
      <w:r>
        <w:rPr>
          <w:rFonts w:hint="eastAsia"/>
          <w:b w:val="0"/>
          <w:bCs/>
          <w:highlight w:val="none"/>
        </w:rPr>
        <w:t xml:space="preserve"> 编：孔永明</w:t>
      </w:r>
    </w:p>
    <w:p w14:paraId="02B2DF50">
      <w:pPr>
        <w:rPr>
          <w:rFonts w:hint="eastAsia"/>
          <w:b w:val="0"/>
          <w:bCs/>
          <w:highlight w:val="none"/>
        </w:rPr>
      </w:pPr>
      <w:r>
        <w:rPr>
          <w:rFonts w:hint="eastAsia"/>
          <w:b w:val="0"/>
          <w:bCs/>
          <w:highlight w:val="none"/>
        </w:rPr>
        <w:t>执行主编：谢</w:t>
      </w:r>
      <w:r>
        <w:rPr>
          <w:rFonts w:hint="eastAsia"/>
          <w:b w:val="0"/>
          <w:bCs/>
          <w:highlight w:val="none"/>
          <w:lang w:val="en-US" w:eastAsia="zh-CN"/>
        </w:rPr>
        <w:t xml:space="preserve">  </w:t>
      </w:r>
      <w:r>
        <w:rPr>
          <w:rFonts w:hint="eastAsia"/>
          <w:b w:val="0"/>
          <w:bCs/>
          <w:highlight w:val="none"/>
        </w:rPr>
        <w:t>平</w:t>
      </w:r>
    </w:p>
    <w:p w14:paraId="503B23F7">
      <w:pPr>
        <w:rPr>
          <w:b w:val="0"/>
          <w:bCs/>
          <w:highlight w:val="none"/>
        </w:rPr>
      </w:pPr>
      <w:r>
        <w:rPr>
          <w:rFonts w:hint="eastAsia"/>
          <w:b w:val="0"/>
          <w:bCs/>
          <w:highlight w:val="none"/>
        </w:rPr>
        <w:t xml:space="preserve">编 </w:t>
      </w:r>
      <w:r>
        <w:rPr>
          <w:rFonts w:hint="eastAsia"/>
          <w:b w:val="0"/>
          <w:bCs/>
          <w:highlight w:val="none"/>
          <w:lang w:val="en-US" w:eastAsia="zh-CN"/>
        </w:rPr>
        <w:t xml:space="preserve">   </w:t>
      </w:r>
      <w:r>
        <w:rPr>
          <w:rFonts w:hint="eastAsia"/>
          <w:b w:val="0"/>
          <w:bCs/>
          <w:highlight w:val="none"/>
        </w:rPr>
        <w:t>辑：孔永明</w:t>
      </w:r>
      <w:r>
        <w:rPr>
          <w:rFonts w:hint="eastAsia"/>
          <w:b w:val="0"/>
          <w:bCs/>
          <w:highlight w:val="none"/>
          <w:lang w:val="en-US" w:eastAsia="zh-CN"/>
        </w:rPr>
        <w:t xml:space="preserve"> </w:t>
      </w:r>
      <w:r>
        <w:rPr>
          <w:rFonts w:hint="eastAsia"/>
          <w:b w:val="0"/>
          <w:bCs/>
          <w:highlight w:val="none"/>
        </w:rPr>
        <w:t xml:space="preserve"> 谢</w:t>
      </w:r>
      <w:r>
        <w:rPr>
          <w:rFonts w:hint="eastAsia"/>
          <w:b w:val="0"/>
          <w:bCs/>
          <w:highlight w:val="none"/>
          <w:lang w:val="en-US" w:eastAsia="zh-CN"/>
        </w:rPr>
        <w:t xml:space="preserve">  </w:t>
      </w:r>
      <w:r>
        <w:rPr>
          <w:rFonts w:hint="eastAsia"/>
          <w:b w:val="0"/>
          <w:bCs/>
          <w:highlight w:val="none"/>
        </w:rPr>
        <w:t xml:space="preserve">平 </w:t>
      </w:r>
      <w:r>
        <w:rPr>
          <w:rFonts w:hint="eastAsia"/>
          <w:b w:val="0"/>
          <w:bCs/>
          <w:highlight w:val="none"/>
          <w:lang w:val="en-US" w:eastAsia="zh-CN"/>
        </w:rPr>
        <w:t xml:space="preserve"> </w:t>
      </w:r>
      <w:r>
        <w:rPr>
          <w:rFonts w:hint="eastAsia"/>
          <w:b w:val="0"/>
          <w:bCs/>
          <w:highlight w:val="none"/>
        </w:rPr>
        <w:t xml:space="preserve">周晓飞 </w:t>
      </w:r>
      <w:r>
        <w:rPr>
          <w:rFonts w:hint="eastAsia"/>
          <w:b w:val="0"/>
          <w:bCs/>
          <w:highlight w:val="none"/>
          <w:lang w:val="en-US" w:eastAsia="zh-CN"/>
        </w:rPr>
        <w:t xml:space="preserve"> </w:t>
      </w:r>
      <w:r>
        <w:rPr>
          <w:rFonts w:hint="eastAsia"/>
          <w:b w:val="0"/>
          <w:bCs/>
          <w:highlight w:val="none"/>
        </w:rPr>
        <w:t xml:space="preserve">刘球凤 </w:t>
      </w:r>
      <w:r>
        <w:rPr>
          <w:rFonts w:hint="eastAsia"/>
          <w:b w:val="0"/>
          <w:bCs/>
          <w:highlight w:val="none"/>
          <w:lang w:val="en-US" w:eastAsia="zh-CN"/>
        </w:rPr>
        <w:t xml:space="preserve"> </w:t>
      </w:r>
      <w:r>
        <w:rPr>
          <w:rFonts w:hint="eastAsia"/>
          <w:b w:val="0"/>
          <w:bCs/>
          <w:highlight w:val="none"/>
        </w:rPr>
        <w:t>杨洪标</w:t>
      </w:r>
      <w:r>
        <w:rPr>
          <w:rFonts w:hint="eastAsia"/>
          <w:b w:val="0"/>
          <w:bCs/>
          <w:highlight w:val="none"/>
          <w:lang w:val="en-US" w:eastAsia="zh-CN"/>
        </w:rPr>
        <w:t xml:space="preserve"> </w:t>
      </w:r>
      <w:r>
        <w:rPr>
          <w:rFonts w:hint="eastAsia"/>
          <w:b w:val="0"/>
          <w:bCs/>
          <w:highlight w:val="none"/>
        </w:rPr>
        <w:t xml:space="preserve"> 谢庆花</w:t>
      </w:r>
    </w:p>
    <w:p w14:paraId="416BBDDE">
      <w:pPr>
        <w:pStyle w:val="2"/>
        <w:bidi w:val="0"/>
        <w:rPr>
          <w:rFonts w:hint="eastAsia"/>
          <w:highlight w:val="none"/>
          <w:lang w:eastAsia="zh-CN"/>
        </w:rPr>
        <w:sectPr>
          <w:pgSz w:w="11906" w:h="16838"/>
          <w:pgMar w:top="1440" w:right="1753" w:bottom="1440" w:left="1753" w:header="851" w:footer="992" w:gutter="0"/>
          <w:cols w:space="720" w:num="1"/>
          <w:docGrid w:type="lines" w:linePitch="312" w:charSpace="0"/>
        </w:sectPr>
      </w:pPr>
      <w:r>
        <w:rPr>
          <w:rFonts w:hint="eastAsia"/>
          <w:highlight w:val="none"/>
          <w:lang w:eastAsia="zh-CN"/>
        </w:rPr>
        <w:t>彩页</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173E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6B1B0B1">
            <w:pPr>
              <w:bidi w:val="0"/>
              <w:ind w:left="0" w:leftChars="0" w:firstLine="0" w:firstLineChars="0"/>
              <w:jc w:val="center"/>
              <w:rPr>
                <w:highlight w:val="none"/>
                <w:vertAlign w:val="baseline"/>
              </w:rPr>
            </w:pPr>
            <w:r>
              <w:rPr>
                <w:highlight w:val="none"/>
              </w:rPr>
              <w:drawing>
                <wp:inline distT="0" distB="0" distL="114300" distR="114300">
                  <wp:extent cx="5330825" cy="3562350"/>
                  <wp:effectExtent l="0" t="0" r="3175" b="0"/>
                  <wp:docPr id="5"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0"/>
                          <pic:cNvPicPr>
                            <a:picLocks noChangeAspect="1"/>
                          </pic:cNvPicPr>
                        </pic:nvPicPr>
                        <pic:blipFill>
                          <a:blip r:embed="rId10"/>
                          <a:stretch>
                            <a:fillRect/>
                          </a:stretch>
                        </pic:blipFill>
                        <pic:spPr>
                          <a:xfrm>
                            <a:off x="0" y="0"/>
                            <a:ext cx="5330825" cy="3562350"/>
                          </a:xfrm>
                          <a:prstGeom prst="rect">
                            <a:avLst/>
                          </a:prstGeom>
                          <a:noFill/>
                          <a:ln>
                            <a:noFill/>
                          </a:ln>
                        </pic:spPr>
                      </pic:pic>
                    </a:graphicData>
                  </a:graphic>
                </wp:inline>
              </w:drawing>
            </w:r>
          </w:p>
        </w:tc>
      </w:tr>
      <w:tr w14:paraId="0C276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7781062">
            <w:pPr>
              <w:bidi w:val="0"/>
              <w:jc w:val="center"/>
              <w:rPr>
                <w:highlight w:val="none"/>
              </w:rPr>
            </w:pPr>
            <w:r>
              <w:rPr>
                <w:rFonts w:hint="eastAsia"/>
                <w:highlight w:val="none"/>
              </w:rPr>
              <w:t>1月28日，召开中共南雄市委十二届四次全会</w:t>
            </w:r>
          </w:p>
        </w:tc>
      </w:tr>
      <w:tr w14:paraId="2724A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8E6BFF0">
            <w:pPr>
              <w:bidi w:val="0"/>
              <w:ind w:left="0" w:leftChars="0" w:firstLine="0" w:firstLineChars="0"/>
              <w:jc w:val="center"/>
              <w:rPr>
                <w:highlight w:val="none"/>
                <w:vertAlign w:val="baseline"/>
              </w:rPr>
            </w:pPr>
            <w:r>
              <w:rPr>
                <w:highlight w:val="none"/>
              </w:rPr>
              <w:drawing>
                <wp:inline distT="0" distB="0" distL="114300" distR="114300">
                  <wp:extent cx="5330190" cy="3328035"/>
                  <wp:effectExtent l="0" t="0" r="3810" b="5715"/>
                  <wp:docPr id="6"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1"/>
                          <pic:cNvPicPr>
                            <a:picLocks noChangeAspect="1"/>
                          </pic:cNvPicPr>
                        </pic:nvPicPr>
                        <pic:blipFill>
                          <a:blip r:embed="rId11"/>
                          <a:stretch>
                            <a:fillRect/>
                          </a:stretch>
                        </pic:blipFill>
                        <pic:spPr>
                          <a:xfrm>
                            <a:off x="0" y="0"/>
                            <a:ext cx="5330190" cy="3328035"/>
                          </a:xfrm>
                          <a:prstGeom prst="rect">
                            <a:avLst/>
                          </a:prstGeom>
                          <a:noFill/>
                          <a:ln>
                            <a:noFill/>
                          </a:ln>
                        </pic:spPr>
                      </pic:pic>
                    </a:graphicData>
                  </a:graphic>
                </wp:inline>
              </w:drawing>
            </w:r>
          </w:p>
        </w:tc>
      </w:tr>
      <w:tr w14:paraId="078EA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036E5D7">
            <w:pPr>
              <w:bidi w:val="0"/>
              <w:jc w:val="center"/>
              <w:rPr>
                <w:highlight w:val="none"/>
                <w:vertAlign w:val="baseline"/>
              </w:rPr>
            </w:pPr>
            <w:r>
              <w:rPr>
                <w:rFonts w:hint="eastAsia"/>
                <w:highlight w:val="none"/>
                <w:vertAlign w:val="baseline"/>
              </w:rPr>
              <w:t>3月17</w:t>
            </w:r>
            <w:r>
              <w:rPr>
                <w:rFonts w:hint="eastAsia"/>
                <w:highlight w:val="none"/>
                <w:vertAlign w:val="baseline"/>
                <w:lang w:eastAsia="zh-CN"/>
              </w:rPr>
              <w:t>日，</w:t>
            </w:r>
            <w:r>
              <w:rPr>
                <w:rFonts w:hint="eastAsia"/>
                <w:highlight w:val="none"/>
                <w:vertAlign w:val="baseline"/>
              </w:rPr>
              <w:t>南雄市第十四届人民代表大会第五次会议召开</w:t>
            </w:r>
          </w:p>
        </w:tc>
      </w:tr>
    </w:tbl>
    <w:p w14:paraId="02BD47A8">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EC63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18969EB">
            <w:pPr>
              <w:bidi w:val="0"/>
              <w:ind w:left="0" w:leftChars="0" w:firstLine="0" w:firstLineChars="0"/>
              <w:jc w:val="center"/>
              <w:rPr>
                <w:highlight w:val="none"/>
                <w:vertAlign w:val="baseline"/>
              </w:rPr>
            </w:pPr>
            <w:r>
              <w:rPr>
                <w:highlight w:val="none"/>
              </w:rPr>
              <w:drawing>
                <wp:inline distT="0" distB="0" distL="114300" distR="114300">
                  <wp:extent cx="5332730" cy="3590290"/>
                  <wp:effectExtent l="0" t="0" r="1270" b="10160"/>
                  <wp:docPr id="7"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2"/>
                          <pic:cNvPicPr>
                            <a:picLocks noChangeAspect="1"/>
                          </pic:cNvPicPr>
                        </pic:nvPicPr>
                        <pic:blipFill>
                          <a:blip r:embed="rId12"/>
                          <a:stretch>
                            <a:fillRect/>
                          </a:stretch>
                        </pic:blipFill>
                        <pic:spPr>
                          <a:xfrm>
                            <a:off x="0" y="0"/>
                            <a:ext cx="5332730" cy="3590290"/>
                          </a:xfrm>
                          <a:prstGeom prst="rect">
                            <a:avLst/>
                          </a:prstGeom>
                          <a:noFill/>
                          <a:ln>
                            <a:noFill/>
                          </a:ln>
                        </pic:spPr>
                      </pic:pic>
                    </a:graphicData>
                  </a:graphic>
                </wp:inline>
              </w:drawing>
            </w:r>
          </w:p>
        </w:tc>
      </w:tr>
      <w:tr w14:paraId="08C1B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3109186">
            <w:pPr>
              <w:bidi w:val="0"/>
              <w:jc w:val="center"/>
              <w:rPr>
                <w:highlight w:val="none"/>
                <w:vertAlign w:val="baseline"/>
              </w:rPr>
            </w:pPr>
            <w:r>
              <w:rPr>
                <w:rFonts w:hint="eastAsia"/>
                <w:highlight w:val="none"/>
              </w:rPr>
              <w:t>3月16</w:t>
            </w:r>
            <w:r>
              <w:rPr>
                <w:rFonts w:hint="eastAsia"/>
                <w:highlight w:val="none"/>
                <w:lang w:eastAsia="zh-CN"/>
              </w:rPr>
              <w:t>日，</w:t>
            </w:r>
            <w:r>
              <w:rPr>
                <w:rFonts w:hint="eastAsia"/>
                <w:highlight w:val="none"/>
              </w:rPr>
              <w:t>政协南雄市第九届五次全会召开</w:t>
            </w:r>
          </w:p>
        </w:tc>
      </w:tr>
      <w:tr w14:paraId="7E3F4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78BB08B">
            <w:pPr>
              <w:bidi w:val="0"/>
              <w:ind w:left="0" w:leftChars="0" w:firstLine="0" w:firstLineChars="0"/>
              <w:jc w:val="center"/>
              <w:rPr>
                <w:highlight w:val="none"/>
                <w:vertAlign w:val="baseline"/>
              </w:rPr>
            </w:pPr>
            <w:r>
              <w:rPr>
                <w:highlight w:val="none"/>
              </w:rPr>
              <w:drawing>
                <wp:inline distT="0" distB="0" distL="114300" distR="114300">
                  <wp:extent cx="5333365" cy="3550285"/>
                  <wp:effectExtent l="0" t="0" r="635" b="12065"/>
                  <wp:docPr id="8"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3"/>
                          <pic:cNvPicPr>
                            <a:picLocks noChangeAspect="1"/>
                          </pic:cNvPicPr>
                        </pic:nvPicPr>
                        <pic:blipFill>
                          <a:blip r:embed="rId13"/>
                          <a:stretch>
                            <a:fillRect/>
                          </a:stretch>
                        </pic:blipFill>
                        <pic:spPr>
                          <a:xfrm>
                            <a:off x="0" y="0"/>
                            <a:ext cx="5333365" cy="3550285"/>
                          </a:xfrm>
                          <a:prstGeom prst="rect">
                            <a:avLst/>
                          </a:prstGeom>
                          <a:noFill/>
                          <a:ln>
                            <a:noFill/>
                          </a:ln>
                        </pic:spPr>
                      </pic:pic>
                    </a:graphicData>
                  </a:graphic>
                </wp:inline>
              </w:drawing>
            </w:r>
          </w:p>
        </w:tc>
      </w:tr>
      <w:tr w14:paraId="38B00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DBFABFB">
            <w:pPr>
              <w:bidi w:val="0"/>
              <w:jc w:val="center"/>
              <w:rPr>
                <w:highlight w:val="none"/>
                <w:vertAlign w:val="baseline"/>
              </w:rPr>
            </w:pPr>
            <w:r>
              <w:rPr>
                <w:rFonts w:hint="eastAsia"/>
                <w:highlight w:val="none"/>
                <w:vertAlign w:val="baseline"/>
              </w:rPr>
              <w:t>2月27日，南雄市召开2015年四级干部开春动员大会</w:t>
            </w:r>
          </w:p>
        </w:tc>
      </w:tr>
    </w:tbl>
    <w:p w14:paraId="45BBF02A">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2F0D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FFE118C">
            <w:pPr>
              <w:bidi w:val="0"/>
              <w:ind w:left="0" w:leftChars="0" w:firstLine="0" w:firstLineChars="0"/>
              <w:jc w:val="center"/>
              <w:rPr>
                <w:highlight w:val="none"/>
                <w:vertAlign w:val="baseline"/>
              </w:rPr>
            </w:pPr>
            <w:r>
              <w:rPr>
                <w:highlight w:val="none"/>
              </w:rPr>
              <w:drawing>
                <wp:inline distT="0" distB="0" distL="114300" distR="114300">
                  <wp:extent cx="5328920" cy="3525520"/>
                  <wp:effectExtent l="0" t="0" r="5080" b="17780"/>
                  <wp:docPr id="9"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4"/>
                          <pic:cNvPicPr>
                            <a:picLocks noChangeAspect="1"/>
                          </pic:cNvPicPr>
                        </pic:nvPicPr>
                        <pic:blipFill>
                          <a:blip r:embed="rId14"/>
                          <a:stretch>
                            <a:fillRect/>
                          </a:stretch>
                        </pic:blipFill>
                        <pic:spPr>
                          <a:xfrm>
                            <a:off x="0" y="0"/>
                            <a:ext cx="5328920" cy="3525520"/>
                          </a:xfrm>
                          <a:prstGeom prst="rect">
                            <a:avLst/>
                          </a:prstGeom>
                          <a:noFill/>
                          <a:ln>
                            <a:noFill/>
                          </a:ln>
                        </pic:spPr>
                      </pic:pic>
                    </a:graphicData>
                  </a:graphic>
                </wp:inline>
              </w:drawing>
            </w:r>
          </w:p>
        </w:tc>
      </w:tr>
      <w:tr w14:paraId="705BE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AD08253">
            <w:pPr>
              <w:bidi w:val="0"/>
              <w:jc w:val="center"/>
              <w:rPr>
                <w:highlight w:val="none"/>
                <w:vertAlign w:val="baseline"/>
              </w:rPr>
            </w:pPr>
            <w:r>
              <w:rPr>
                <w:rFonts w:hint="eastAsia"/>
                <w:highlight w:val="none"/>
                <w:vertAlign w:val="baseline"/>
              </w:rPr>
              <w:t>5月26日，召开南雄市“三严三实”专题教育工作会议</w:t>
            </w:r>
          </w:p>
        </w:tc>
      </w:tr>
      <w:tr w14:paraId="72580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61A0B2D">
            <w:pPr>
              <w:bidi w:val="0"/>
              <w:ind w:left="0" w:leftChars="0" w:firstLine="0" w:firstLineChars="0"/>
              <w:jc w:val="center"/>
              <w:rPr>
                <w:highlight w:val="none"/>
                <w:vertAlign w:val="baseline"/>
              </w:rPr>
            </w:pPr>
            <w:r>
              <w:rPr>
                <w:highlight w:val="none"/>
              </w:rPr>
              <w:drawing>
                <wp:inline distT="0" distB="0" distL="114300" distR="114300">
                  <wp:extent cx="5328920" cy="3542030"/>
                  <wp:effectExtent l="0" t="0" r="5080" b="1270"/>
                  <wp:docPr id="10"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5"/>
                          <pic:cNvPicPr>
                            <a:picLocks noChangeAspect="1"/>
                          </pic:cNvPicPr>
                        </pic:nvPicPr>
                        <pic:blipFill>
                          <a:blip r:embed="rId15"/>
                          <a:stretch>
                            <a:fillRect/>
                          </a:stretch>
                        </pic:blipFill>
                        <pic:spPr>
                          <a:xfrm>
                            <a:off x="0" y="0"/>
                            <a:ext cx="5328920" cy="3542030"/>
                          </a:xfrm>
                          <a:prstGeom prst="rect">
                            <a:avLst/>
                          </a:prstGeom>
                          <a:noFill/>
                          <a:ln>
                            <a:noFill/>
                          </a:ln>
                        </pic:spPr>
                      </pic:pic>
                    </a:graphicData>
                  </a:graphic>
                </wp:inline>
              </w:drawing>
            </w:r>
          </w:p>
        </w:tc>
      </w:tr>
      <w:tr w14:paraId="19A6D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87928F3">
            <w:pPr>
              <w:bidi w:val="0"/>
              <w:jc w:val="center"/>
              <w:rPr>
                <w:highlight w:val="none"/>
              </w:rPr>
            </w:pPr>
            <w:r>
              <w:rPr>
                <w:rFonts w:hint="eastAsia"/>
                <w:highlight w:val="none"/>
              </w:rPr>
              <w:t>8月26日，南雄市委理论学习中心组召开“严守党的政治纪律和政治规矩”主题学习研讨会</w:t>
            </w:r>
          </w:p>
        </w:tc>
      </w:tr>
    </w:tbl>
    <w:p w14:paraId="65024CAD">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BC4F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8F9EF7F">
            <w:pPr>
              <w:bidi w:val="0"/>
              <w:ind w:left="0" w:leftChars="0" w:firstLine="0" w:firstLineChars="0"/>
              <w:jc w:val="center"/>
              <w:rPr>
                <w:highlight w:val="none"/>
                <w:vertAlign w:val="baseline"/>
              </w:rPr>
            </w:pPr>
            <w:r>
              <w:rPr>
                <w:highlight w:val="none"/>
              </w:rPr>
              <w:drawing>
                <wp:inline distT="0" distB="0" distL="114300" distR="114300">
                  <wp:extent cx="5333365" cy="3534410"/>
                  <wp:effectExtent l="0" t="0" r="635" b="8890"/>
                  <wp:docPr id="11"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6"/>
                          <pic:cNvPicPr>
                            <a:picLocks noChangeAspect="1"/>
                          </pic:cNvPicPr>
                        </pic:nvPicPr>
                        <pic:blipFill>
                          <a:blip r:embed="rId16"/>
                          <a:stretch>
                            <a:fillRect/>
                          </a:stretch>
                        </pic:blipFill>
                        <pic:spPr>
                          <a:xfrm>
                            <a:off x="0" y="0"/>
                            <a:ext cx="5333365" cy="3534410"/>
                          </a:xfrm>
                          <a:prstGeom prst="rect">
                            <a:avLst/>
                          </a:prstGeom>
                          <a:noFill/>
                          <a:ln>
                            <a:noFill/>
                          </a:ln>
                        </pic:spPr>
                      </pic:pic>
                    </a:graphicData>
                  </a:graphic>
                </wp:inline>
              </w:drawing>
            </w:r>
          </w:p>
        </w:tc>
      </w:tr>
      <w:tr w14:paraId="4C823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45E985C">
            <w:pPr>
              <w:bidi w:val="0"/>
              <w:jc w:val="center"/>
              <w:rPr>
                <w:highlight w:val="none"/>
                <w:vertAlign w:val="baseline"/>
              </w:rPr>
            </w:pPr>
            <w:r>
              <w:rPr>
                <w:rFonts w:hint="eastAsia"/>
                <w:highlight w:val="none"/>
                <w:vertAlign w:val="baseline"/>
              </w:rPr>
              <w:t>9月28日，南雄市党政领导班子“三严三实”专题民主生活会召开</w:t>
            </w:r>
          </w:p>
        </w:tc>
      </w:tr>
      <w:tr w14:paraId="2EF53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FFD6085">
            <w:pPr>
              <w:bidi w:val="0"/>
              <w:ind w:left="0" w:leftChars="0" w:firstLine="0" w:firstLineChars="0"/>
              <w:jc w:val="center"/>
              <w:rPr>
                <w:highlight w:val="none"/>
                <w:vertAlign w:val="baseline"/>
              </w:rPr>
            </w:pPr>
            <w:r>
              <w:rPr>
                <w:highlight w:val="none"/>
              </w:rPr>
              <w:drawing>
                <wp:inline distT="0" distB="0" distL="114300" distR="114300">
                  <wp:extent cx="5332730" cy="3557905"/>
                  <wp:effectExtent l="0" t="0" r="1270" b="4445"/>
                  <wp:docPr id="12"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7"/>
                          <pic:cNvPicPr>
                            <a:picLocks noChangeAspect="1"/>
                          </pic:cNvPicPr>
                        </pic:nvPicPr>
                        <pic:blipFill>
                          <a:blip r:embed="rId17"/>
                          <a:stretch>
                            <a:fillRect/>
                          </a:stretch>
                        </pic:blipFill>
                        <pic:spPr>
                          <a:xfrm>
                            <a:off x="0" y="0"/>
                            <a:ext cx="5332730" cy="3557905"/>
                          </a:xfrm>
                          <a:prstGeom prst="rect">
                            <a:avLst/>
                          </a:prstGeom>
                          <a:noFill/>
                          <a:ln>
                            <a:noFill/>
                          </a:ln>
                        </pic:spPr>
                      </pic:pic>
                    </a:graphicData>
                  </a:graphic>
                </wp:inline>
              </w:drawing>
            </w:r>
          </w:p>
        </w:tc>
      </w:tr>
      <w:tr w14:paraId="4ABCA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B36EE78">
            <w:pPr>
              <w:bidi w:val="0"/>
              <w:jc w:val="center"/>
              <w:rPr>
                <w:highlight w:val="none"/>
                <w:vertAlign w:val="baseline"/>
              </w:rPr>
            </w:pPr>
            <w:r>
              <w:rPr>
                <w:rFonts w:hint="eastAsia"/>
                <w:highlight w:val="none"/>
                <w:vertAlign w:val="baseline"/>
              </w:rPr>
              <w:t>9月28日，举办南雄市党规党纪知识竞赛决赛</w:t>
            </w:r>
          </w:p>
        </w:tc>
      </w:tr>
    </w:tbl>
    <w:p w14:paraId="5592D307">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FB12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749FA31">
            <w:pPr>
              <w:bidi w:val="0"/>
              <w:ind w:left="0" w:leftChars="0" w:firstLine="0" w:firstLineChars="0"/>
              <w:jc w:val="center"/>
              <w:rPr>
                <w:highlight w:val="none"/>
                <w:vertAlign w:val="baseline"/>
              </w:rPr>
            </w:pPr>
            <w:r>
              <w:rPr>
                <w:highlight w:val="none"/>
              </w:rPr>
              <w:drawing>
                <wp:inline distT="0" distB="0" distL="114300" distR="114300">
                  <wp:extent cx="5333365" cy="3453130"/>
                  <wp:effectExtent l="0" t="0" r="635" b="13970"/>
                  <wp:docPr id="13"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17"/>
                          <pic:cNvPicPr>
                            <a:picLocks noChangeAspect="1"/>
                          </pic:cNvPicPr>
                        </pic:nvPicPr>
                        <pic:blipFill>
                          <a:blip r:embed="rId18"/>
                          <a:stretch>
                            <a:fillRect/>
                          </a:stretch>
                        </pic:blipFill>
                        <pic:spPr>
                          <a:xfrm>
                            <a:off x="0" y="0"/>
                            <a:ext cx="5333365" cy="3453130"/>
                          </a:xfrm>
                          <a:prstGeom prst="rect">
                            <a:avLst/>
                          </a:prstGeom>
                          <a:noFill/>
                          <a:ln>
                            <a:noFill/>
                          </a:ln>
                        </pic:spPr>
                      </pic:pic>
                    </a:graphicData>
                  </a:graphic>
                </wp:inline>
              </w:drawing>
            </w:r>
          </w:p>
        </w:tc>
      </w:tr>
      <w:tr w14:paraId="5C592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0F18A68F">
            <w:pPr>
              <w:bidi w:val="0"/>
              <w:jc w:val="center"/>
              <w:rPr>
                <w:highlight w:val="none"/>
                <w:vertAlign w:val="baseline"/>
              </w:rPr>
            </w:pPr>
            <w:r>
              <w:rPr>
                <w:rFonts w:hint="eastAsia"/>
                <w:highlight w:val="none"/>
                <w:vertAlign w:val="baseline"/>
              </w:rPr>
              <w:t>4月17</w:t>
            </w:r>
            <w:r>
              <w:rPr>
                <w:rFonts w:hint="eastAsia"/>
                <w:highlight w:val="none"/>
                <w:vertAlign w:val="baseline"/>
                <w:lang w:eastAsia="zh-CN"/>
              </w:rPr>
              <w:t>日，</w:t>
            </w:r>
            <w:r>
              <w:rPr>
                <w:rFonts w:hint="eastAsia"/>
                <w:highlight w:val="none"/>
                <w:vertAlign w:val="baseline"/>
              </w:rPr>
              <w:t>韶关市委书记蓝佛安（前排中）视察南雄市第一小学</w:t>
            </w:r>
          </w:p>
        </w:tc>
      </w:tr>
      <w:tr w14:paraId="397BF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9F5A6DD">
            <w:pPr>
              <w:bidi w:val="0"/>
              <w:ind w:left="0" w:leftChars="0" w:firstLine="0" w:firstLineChars="0"/>
              <w:jc w:val="center"/>
              <w:rPr>
                <w:highlight w:val="none"/>
                <w:vertAlign w:val="baseline"/>
              </w:rPr>
            </w:pPr>
            <w:r>
              <w:rPr>
                <w:highlight w:val="none"/>
              </w:rPr>
              <w:drawing>
                <wp:inline distT="0" distB="0" distL="114300" distR="114300">
                  <wp:extent cx="5331460" cy="3814445"/>
                  <wp:effectExtent l="0" t="0" r="2540" b="14605"/>
                  <wp:docPr id="14"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9"/>
                          <pic:cNvPicPr>
                            <a:picLocks noChangeAspect="1"/>
                          </pic:cNvPicPr>
                        </pic:nvPicPr>
                        <pic:blipFill>
                          <a:blip r:embed="rId19"/>
                          <a:stretch>
                            <a:fillRect/>
                          </a:stretch>
                        </pic:blipFill>
                        <pic:spPr>
                          <a:xfrm>
                            <a:off x="0" y="0"/>
                            <a:ext cx="5331460" cy="3814445"/>
                          </a:xfrm>
                          <a:prstGeom prst="rect">
                            <a:avLst/>
                          </a:prstGeom>
                          <a:noFill/>
                          <a:ln>
                            <a:noFill/>
                          </a:ln>
                        </pic:spPr>
                      </pic:pic>
                    </a:graphicData>
                  </a:graphic>
                </wp:inline>
              </w:drawing>
            </w:r>
          </w:p>
        </w:tc>
      </w:tr>
      <w:tr w14:paraId="6CB1E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6DF69DB8">
            <w:pPr>
              <w:bidi w:val="0"/>
              <w:jc w:val="center"/>
              <w:rPr>
                <w:highlight w:val="none"/>
                <w:vertAlign w:val="baseline"/>
              </w:rPr>
            </w:pPr>
            <w:r>
              <w:rPr>
                <w:rFonts w:hint="eastAsia"/>
                <w:highlight w:val="none"/>
                <w:vertAlign w:val="baseline"/>
              </w:rPr>
              <w:t>6月17</w:t>
            </w:r>
            <w:r>
              <w:rPr>
                <w:rFonts w:hint="eastAsia"/>
                <w:highlight w:val="none"/>
                <w:vertAlign w:val="baseline"/>
                <w:lang w:eastAsia="zh-CN"/>
              </w:rPr>
              <w:t>日，</w:t>
            </w:r>
            <w:r>
              <w:rPr>
                <w:rFonts w:hint="eastAsia"/>
                <w:highlight w:val="none"/>
                <w:vertAlign w:val="baseline"/>
              </w:rPr>
              <w:t>韶关市委副书记、代市长骆蔚峰（前排中）在广东金友集团公司调研</w:t>
            </w:r>
          </w:p>
        </w:tc>
      </w:tr>
    </w:tbl>
    <w:p w14:paraId="52783288">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6C70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CA6FAFE">
            <w:pPr>
              <w:bidi w:val="0"/>
              <w:ind w:left="0" w:leftChars="0" w:firstLine="0" w:firstLineChars="0"/>
              <w:jc w:val="center"/>
              <w:rPr>
                <w:highlight w:val="none"/>
                <w:vertAlign w:val="baseline"/>
              </w:rPr>
            </w:pPr>
            <w:r>
              <w:rPr>
                <w:highlight w:val="none"/>
              </w:rPr>
              <w:drawing>
                <wp:inline distT="0" distB="0" distL="114300" distR="114300">
                  <wp:extent cx="5333365" cy="3485515"/>
                  <wp:effectExtent l="0" t="0" r="635" b="635"/>
                  <wp:docPr id="15"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0"/>
                          <pic:cNvPicPr>
                            <a:picLocks noChangeAspect="1"/>
                          </pic:cNvPicPr>
                        </pic:nvPicPr>
                        <pic:blipFill>
                          <a:blip r:embed="rId20"/>
                          <a:stretch>
                            <a:fillRect/>
                          </a:stretch>
                        </pic:blipFill>
                        <pic:spPr>
                          <a:xfrm>
                            <a:off x="0" y="0"/>
                            <a:ext cx="5333365" cy="3485515"/>
                          </a:xfrm>
                          <a:prstGeom prst="rect">
                            <a:avLst/>
                          </a:prstGeom>
                          <a:noFill/>
                          <a:ln>
                            <a:noFill/>
                          </a:ln>
                        </pic:spPr>
                      </pic:pic>
                    </a:graphicData>
                  </a:graphic>
                </wp:inline>
              </w:drawing>
            </w:r>
          </w:p>
        </w:tc>
      </w:tr>
      <w:tr w14:paraId="15FE9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ED2B947">
            <w:pPr>
              <w:bidi w:val="0"/>
              <w:jc w:val="center"/>
              <w:rPr>
                <w:highlight w:val="none"/>
                <w:vertAlign w:val="baseline"/>
              </w:rPr>
            </w:pPr>
            <w:r>
              <w:rPr>
                <w:rFonts w:hint="eastAsia"/>
                <w:highlight w:val="none"/>
                <w:vertAlign w:val="baseline"/>
              </w:rPr>
              <w:t>5月26日，韶关市委常委、常务副市长陈波（中）调研珠巩镇新型城镇化建设</w:t>
            </w:r>
          </w:p>
        </w:tc>
      </w:tr>
      <w:tr w14:paraId="4DAB3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14B81A0">
            <w:pPr>
              <w:bidi w:val="0"/>
              <w:ind w:left="0" w:leftChars="0" w:firstLine="0" w:firstLineChars="0"/>
              <w:jc w:val="center"/>
              <w:rPr>
                <w:highlight w:val="none"/>
                <w:vertAlign w:val="baseline"/>
              </w:rPr>
            </w:pPr>
            <w:r>
              <w:rPr>
                <w:highlight w:val="none"/>
              </w:rPr>
              <w:drawing>
                <wp:inline distT="0" distB="0" distL="114300" distR="114300">
                  <wp:extent cx="5330825" cy="3893185"/>
                  <wp:effectExtent l="0" t="0" r="3175" b="12065"/>
                  <wp:docPr id="16"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2"/>
                          <pic:cNvPicPr>
                            <a:picLocks noChangeAspect="1"/>
                          </pic:cNvPicPr>
                        </pic:nvPicPr>
                        <pic:blipFill>
                          <a:blip r:embed="rId21"/>
                          <a:stretch>
                            <a:fillRect/>
                          </a:stretch>
                        </pic:blipFill>
                        <pic:spPr>
                          <a:xfrm>
                            <a:off x="0" y="0"/>
                            <a:ext cx="5330825" cy="3893185"/>
                          </a:xfrm>
                          <a:prstGeom prst="rect">
                            <a:avLst/>
                          </a:prstGeom>
                          <a:noFill/>
                          <a:ln>
                            <a:noFill/>
                          </a:ln>
                        </pic:spPr>
                      </pic:pic>
                    </a:graphicData>
                  </a:graphic>
                </wp:inline>
              </w:drawing>
            </w:r>
          </w:p>
        </w:tc>
      </w:tr>
      <w:tr w14:paraId="1E37A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32D8867">
            <w:pPr>
              <w:bidi w:val="0"/>
              <w:jc w:val="center"/>
              <w:rPr>
                <w:highlight w:val="none"/>
                <w:vertAlign w:val="baseline"/>
              </w:rPr>
            </w:pPr>
            <w:r>
              <w:rPr>
                <w:rFonts w:hint="eastAsia"/>
                <w:highlight w:val="none"/>
                <w:vertAlign w:val="baseline"/>
              </w:rPr>
              <w:t>7月7日，省委农办主任陈祖煌（右一）调研南雄新农村建设工</w:t>
            </w:r>
          </w:p>
        </w:tc>
      </w:tr>
    </w:tbl>
    <w:p w14:paraId="252029E5">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2358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6B82575">
            <w:pPr>
              <w:bidi w:val="0"/>
              <w:ind w:left="0" w:leftChars="0" w:firstLine="0" w:firstLineChars="0"/>
              <w:jc w:val="center"/>
              <w:rPr>
                <w:highlight w:val="none"/>
                <w:vertAlign w:val="baseline"/>
              </w:rPr>
            </w:pPr>
            <w:r>
              <w:rPr>
                <w:highlight w:val="none"/>
              </w:rPr>
              <w:drawing>
                <wp:inline distT="0" distB="0" distL="114300" distR="114300">
                  <wp:extent cx="5328920" cy="3574415"/>
                  <wp:effectExtent l="0" t="0" r="5080" b="6985"/>
                  <wp:docPr id="17"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18"/>
                          <pic:cNvPicPr>
                            <a:picLocks noChangeAspect="1"/>
                          </pic:cNvPicPr>
                        </pic:nvPicPr>
                        <pic:blipFill>
                          <a:blip r:embed="rId22"/>
                          <a:stretch>
                            <a:fillRect/>
                          </a:stretch>
                        </pic:blipFill>
                        <pic:spPr>
                          <a:xfrm>
                            <a:off x="0" y="0"/>
                            <a:ext cx="5328920" cy="3574415"/>
                          </a:xfrm>
                          <a:prstGeom prst="rect">
                            <a:avLst/>
                          </a:prstGeom>
                          <a:noFill/>
                          <a:ln>
                            <a:noFill/>
                          </a:ln>
                        </pic:spPr>
                      </pic:pic>
                    </a:graphicData>
                  </a:graphic>
                </wp:inline>
              </w:drawing>
            </w:r>
          </w:p>
        </w:tc>
      </w:tr>
      <w:tr w14:paraId="55F8A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FDCD7D0">
            <w:pPr>
              <w:bidi w:val="0"/>
              <w:jc w:val="center"/>
              <w:rPr>
                <w:highlight w:val="none"/>
                <w:vertAlign w:val="baseline"/>
              </w:rPr>
            </w:pPr>
            <w:r>
              <w:rPr>
                <w:rFonts w:hint="eastAsia"/>
                <w:highlight w:val="none"/>
                <w:vertAlign w:val="baseline"/>
              </w:rPr>
              <w:t>7月29日，省委第三巡视组组长王传金（左二）调研南雄工业园区</w:t>
            </w:r>
          </w:p>
        </w:tc>
      </w:tr>
      <w:tr w14:paraId="4A536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3DE436E">
            <w:pPr>
              <w:bidi w:val="0"/>
              <w:ind w:left="0" w:leftChars="0" w:firstLine="0" w:firstLineChars="0"/>
              <w:jc w:val="center"/>
              <w:rPr>
                <w:highlight w:val="none"/>
                <w:vertAlign w:val="baseline"/>
              </w:rPr>
            </w:pPr>
            <w:r>
              <w:rPr>
                <w:highlight w:val="none"/>
              </w:rPr>
              <w:drawing>
                <wp:inline distT="0" distB="0" distL="114300" distR="114300">
                  <wp:extent cx="5328285" cy="3782695"/>
                  <wp:effectExtent l="0" t="0" r="5715" b="8255"/>
                  <wp:docPr id="18"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4"/>
                          <pic:cNvPicPr>
                            <a:picLocks noChangeAspect="1"/>
                          </pic:cNvPicPr>
                        </pic:nvPicPr>
                        <pic:blipFill>
                          <a:blip r:embed="rId23"/>
                          <a:stretch>
                            <a:fillRect/>
                          </a:stretch>
                        </pic:blipFill>
                        <pic:spPr>
                          <a:xfrm>
                            <a:off x="0" y="0"/>
                            <a:ext cx="5328285" cy="3782695"/>
                          </a:xfrm>
                          <a:prstGeom prst="rect">
                            <a:avLst/>
                          </a:prstGeom>
                          <a:noFill/>
                          <a:ln>
                            <a:noFill/>
                          </a:ln>
                        </pic:spPr>
                      </pic:pic>
                    </a:graphicData>
                  </a:graphic>
                </wp:inline>
              </w:drawing>
            </w:r>
          </w:p>
        </w:tc>
      </w:tr>
      <w:tr w14:paraId="53CB9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299CF135">
            <w:pPr>
              <w:bidi w:val="0"/>
              <w:jc w:val="center"/>
              <w:rPr>
                <w:highlight w:val="none"/>
                <w:vertAlign w:val="baseline"/>
              </w:rPr>
            </w:pPr>
            <w:r>
              <w:rPr>
                <w:rFonts w:hint="eastAsia"/>
                <w:highlight w:val="none"/>
                <w:vertAlign w:val="baseline"/>
                <w:lang w:val="en-US" w:eastAsia="zh-CN"/>
              </w:rPr>
              <w:t>11</w:t>
            </w:r>
            <w:r>
              <w:rPr>
                <w:rFonts w:hint="eastAsia"/>
                <w:highlight w:val="none"/>
                <w:vertAlign w:val="baseline"/>
              </w:rPr>
              <w:t>月3日，韶关市副市长许志新（右二）调研邓坊马战村计生工作</w:t>
            </w:r>
          </w:p>
        </w:tc>
      </w:tr>
    </w:tbl>
    <w:p w14:paraId="3F2A808B">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AB61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A1F0653">
            <w:pPr>
              <w:bidi w:val="0"/>
              <w:ind w:left="0" w:leftChars="0" w:firstLine="0" w:firstLineChars="0"/>
              <w:jc w:val="center"/>
              <w:rPr>
                <w:highlight w:val="none"/>
                <w:vertAlign w:val="baseline"/>
              </w:rPr>
            </w:pPr>
            <w:r>
              <w:rPr>
                <w:highlight w:val="none"/>
              </w:rPr>
              <w:drawing>
                <wp:inline distT="0" distB="0" distL="114300" distR="114300">
                  <wp:extent cx="5328920" cy="3574415"/>
                  <wp:effectExtent l="0" t="0" r="5080" b="6985"/>
                  <wp:docPr id="1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5"/>
                          <pic:cNvPicPr>
                            <a:picLocks noChangeAspect="1"/>
                          </pic:cNvPicPr>
                        </pic:nvPicPr>
                        <pic:blipFill>
                          <a:blip r:embed="rId24"/>
                          <a:stretch>
                            <a:fillRect/>
                          </a:stretch>
                        </pic:blipFill>
                        <pic:spPr>
                          <a:xfrm>
                            <a:off x="0" y="0"/>
                            <a:ext cx="5328920" cy="3574415"/>
                          </a:xfrm>
                          <a:prstGeom prst="rect">
                            <a:avLst/>
                          </a:prstGeom>
                          <a:noFill/>
                          <a:ln>
                            <a:noFill/>
                          </a:ln>
                        </pic:spPr>
                      </pic:pic>
                    </a:graphicData>
                  </a:graphic>
                </wp:inline>
              </w:drawing>
            </w:r>
          </w:p>
        </w:tc>
      </w:tr>
      <w:tr w14:paraId="2FCBC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9DC60D2">
            <w:pPr>
              <w:bidi w:val="0"/>
              <w:jc w:val="center"/>
              <w:rPr>
                <w:highlight w:val="none"/>
                <w:vertAlign w:val="baseline"/>
              </w:rPr>
            </w:pPr>
            <w:r>
              <w:rPr>
                <w:rFonts w:hint="eastAsia"/>
                <w:highlight w:val="none"/>
                <w:vertAlign w:val="baseline"/>
                <w:lang w:val="en-US" w:eastAsia="zh-CN"/>
              </w:rPr>
              <w:t>11</w:t>
            </w:r>
            <w:r>
              <w:rPr>
                <w:rFonts w:hint="eastAsia"/>
                <w:highlight w:val="none"/>
                <w:vertAlign w:val="baseline"/>
              </w:rPr>
              <w:t>月4日，韶关市委常委、组织部部长华旭初（左三）调研全安镇王亭石村基层党建工作</w:t>
            </w:r>
          </w:p>
        </w:tc>
      </w:tr>
      <w:tr w14:paraId="46800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07382A0">
            <w:pPr>
              <w:bidi w:val="0"/>
              <w:ind w:left="0" w:leftChars="0" w:firstLine="0" w:firstLineChars="0"/>
              <w:rPr>
                <w:highlight w:val="none"/>
                <w:vertAlign w:val="baseline"/>
              </w:rPr>
            </w:pPr>
            <w:r>
              <w:rPr>
                <w:highlight w:val="none"/>
              </w:rPr>
              <w:drawing>
                <wp:inline distT="0" distB="0" distL="114300" distR="114300">
                  <wp:extent cx="5333365" cy="3712210"/>
                  <wp:effectExtent l="0" t="0" r="635" b="2540"/>
                  <wp:docPr id="20"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6"/>
                          <pic:cNvPicPr>
                            <a:picLocks noChangeAspect="1"/>
                          </pic:cNvPicPr>
                        </pic:nvPicPr>
                        <pic:blipFill>
                          <a:blip r:embed="rId25"/>
                          <a:stretch>
                            <a:fillRect/>
                          </a:stretch>
                        </pic:blipFill>
                        <pic:spPr>
                          <a:xfrm>
                            <a:off x="0" y="0"/>
                            <a:ext cx="5333365" cy="3712210"/>
                          </a:xfrm>
                          <a:prstGeom prst="rect">
                            <a:avLst/>
                          </a:prstGeom>
                          <a:noFill/>
                          <a:ln>
                            <a:noFill/>
                          </a:ln>
                        </pic:spPr>
                      </pic:pic>
                    </a:graphicData>
                  </a:graphic>
                </wp:inline>
              </w:drawing>
            </w:r>
          </w:p>
        </w:tc>
      </w:tr>
      <w:tr w14:paraId="10751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F2D5C09">
            <w:pPr>
              <w:bidi w:val="0"/>
              <w:jc w:val="center"/>
              <w:rPr>
                <w:highlight w:val="none"/>
                <w:vertAlign w:val="baseline"/>
              </w:rPr>
            </w:pPr>
            <w:r>
              <w:rPr>
                <w:rFonts w:hint="eastAsia"/>
                <w:highlight w:val="none"/>
                <w:lang w:val="en-US" w:eastAsia="zh-CN"/>
              </w:rPr>
              <w:t>11</w:t>
            </w:r>
            <w:r>
              <w:rPr>
                <w:highlight w:val="none"/>
                <w:lang w:val="en-US" w:eastAsia="zh-CN"/>
              </w:rPr>
              <w:t>月23</w:t>
            </w:r>
            <w:r>
              <w:rPr>
                <w:rFonts w:hint="eastAsia"/>
                <w:highlight w:val="none"/>
                <w:lang w:val="en-US" w:eastAsia="zh-CN"/>
              </w:rPr>
              <w:t>日，全国政协副主席何厚铮（右一）到南雄珠巩古巷调研姓氏文化</w:t>
            </w:r>
          </w:p>
        </w:tc>
      </w:tr>
    </w:tbl>
    <w:p w14:paraId="3A60A2BF">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D5CE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91903AD">
            <w:pPr>
              <w:bidi w:val="0"/>
              <w:ind w:left="0" w:leftChars="0" w:firstLine="0" w:firstLineChars="0"/>
              <w:jc w:val="center"/>
              <w:rPr>
                <w:highlight w:val="none"/>
                <w:vertAlign w:val="baseline"/>
              </w:rPr>
            </w:pPr>
            <w:r>
              <w:rPr>
                <w:highlight w:val="none"/>
              </w:rPr>
              <w:drawing>
                <wp:inline distT="0" distB="0" distL="114300" distR="114300">
                  <wp:extent cx="5333365" cy="3582670"/>
                  <wp:effectExtent l="0" t="0" r="635" b="17780"/>
                  <wp:docPr id="21"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7"/>
                          <pic:cNvPicPr>
                            <a:picLocks noChangeAspect="1"/>
                          </pic:cNvPicPr>
                        </pic:nvPicPr>
                        <pic:blipFill>
                          <a:blip r:embed="rId26"/>
                          <a:stretch>
                            <a:fillRect/>
                          </a:stretch>
                        </pic:blipFill>
                        <pic:spPr>
                          <a:xfrm>
                            <a:off x="0" y="0"/>
                            <a:ext cx="5333365" cy="3582670"/>
                          </a:xfrm>
                          <a:prstGeom prst="rect">
                            <a:avLst/>
                          </a:prstGeom>
                          <a:noFill/>
                          <a:ln>
                            <a:noFill/>
                          </a:ln>
                        </pic:spPr>
                      </pic:pic>
                    </a:graphicData>
                  </a:graphic>
                </wp:inline>
              </w:drawing>
            </w:r>
          </w:p>
        </w:tc>
      </w:tr>
      <w:tr w14:paraId="11DB2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7F13A338">
            <w:pPr>
              <w:bidi w:val="0"/>
              <w:jc w:val="center"/>
              <w:rPr>
                <w:highlight w:val="none"/>
              </w:rPr>
            </w:pPr>
            <w:r>
              <w:rPr>
                <w:rFonts w:hint="eastAsia"/>
                <w:highlight w:val="none"/>
              </w:rPr>
              <w:t>12月14</w:t>
            </w:r>
            <w:r>
              <w:rPr>
                <w:rFonts w:hint="eastAsia"/>
                <w:highlight w:val="none"/>
                <w:lang w:eastAsia="zh-CN"/>
              </w:rPr>
              <w:t>日，</w:t>
            </w:r>
            <w:r>
              <w:rPr>
                <w:rFonts w:hint="eastAsia"/>
                <w:highlight w:val="none"/>
              </w:rPr>
              <w:t>省文化厅厅长方健宏（左三）调研南雄基层文化建设</w:t>
            </w:r>
          </w:p>
        </w:tc>
      </w:tr>
      <w:tr w14:paraId="5F6A5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522685A">
            <w:pPr>
              <w:bidi w:val="0"/>
              <w:ind w:left="0" w:leftChars="0" w:firstLine="0" w:firstLineChars="0"/>
              <w:jc w:val="center"/>
              <w:rPr>
                <w:highlight w:val="none"/>
                <w:vertAlign w:val="baseline"/>
              </w:rPr>
            </w:pPr>
            <w:r>
              <w:rPr>
                <w:highlight w:val="none"/>
              </w:rPr>
              <w:drawing>
                <wp:inline distT="0" distB="0" distL="114300" distR="114300">
                  <wp:extent cx="5328920" cy="3557905"/>
                  <wp:effectExtent l="0" t="0" r="5080" b="4445"/>
                  <wp:docPr id="22"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8"/>
                          <pic:cNvPicPr>
                            <a:picLocks noChangeAspect="1"/>
                          </pic:cNvPicPr>
                        </pic:nvPicPr>
                        <pic:blipFill>
                          <a:blip r:embed="rId27"/>
                          <a:stretch>
                            <a:fillRect/>
                          </a:stretch>
                        </pic:blipFill>
                        <pic:spPr>
                          <a:xfrm>
                            <a:off x="0" y="0"/>
                            <a:ext cx="5328920" cy="3557905"/>
                          </a:xfrm>
                          <a:prstGeom prst="rect">
                            <a:avLst/>
                          </a:prstGeom>
                          <a:noFill/>
                          <a:ln>
                            <a:noFill/>
                          </a:ln>
                        </pic:spPr>
                      </pic:pic>
                    </a:graphicData>
                  </a:graphic>
                </wp:inline>
              </w:drawing>
            </w:r>
          </w:p>
        </w:tc>
      </w:tr>
      <w:tr w14:paraId="04DED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9556703">
            <w:pPr>
              <w:bidi w:val="0"/>
              <w:jc w:val="center"/>
              <w:rPr>
                <w:highlight w:val="none"/>
              </w:rPr>
            </w:pPr>
            <w:r>
              <w:rPr>
                <w:highlight w:val="none"/>
                <w:lang w:val="en-US" w:eastAsia="zh-CN"/>
              </w:rPr>
              <w:t>6月</w:t>
            </w:r>
            <w:r>
              <w:rPr>
                <w:rFonts w:hint="default"/>
                <w:highlight w:val="none"/>
                <w:lang w:val="en-US" w:eastAsia="zh-CN"/>
              </w:rPr>
              <w:t>16</w:t>
            </w:r>
            <w:r>
              <w:rPr>
                <w:rFonts w:hint="eastAsia"/>
                <w:highlight w:val="none"/>
                <w:lang w:val="en-US" w:eastAsia="zh-CN"/>
              </w:rPr>
              <w:t>日，市委书记曾风保（左一）开展“三严三实”体察活动</w:t>
            </w:r>
          </w:p>
        </w:tc>
      </w:tr>
    </w:tbl>
    <w:p w14:paraId="23F58179">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F387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2F3C3DF">
            <w:pPr>
              <w:bidi w:val="0"/>
              <w:ind w:left="0" w:leftChars="0" w:firstLine="0" w:firstLineChars="0"/>
              <w:jc w:val="both"/>
              <w:rPr>
                <w:highlight w:val="none"/>
                <w:vertAlign w:val="baseline"/>
              </w:rPr>
            </w:pPr>
            <w:r>
              <w:rPr>
                <w:highlight w:val="none"/>
              </w:rPr>
              <w:drawing>
                <wp:inline distT="0" distB="0" distL="114300" distR="114300">
                  <wp:extent cx="5331460" cy="3432810"/>
                  <wp:effectExtent l="0" t="0" r="2540" b="15240"/>
                  <wp:docPr id="23"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9"/>
                          <pic:cNvPicPr>
                            <a:picLocks noChangeAspect="1"/>
                          </pic:cNvPicPr>
                        </pic:nvPicPr>
                        <pic:blipFill>
                          <a:blip r:embed="rId28"/>
                          <a:stretch>
                            <a:fillRect/>
                          </a:stretch>
                        </pic:blipFill>
                        <pic:spPr>
                          <a:xfrm>
                            <a:off x="0" y="0"/>
                            <a:ext cx="5331460" cy="3432810"/>
                          </a:xfrm>
                          <a:prstGeom prst="rect">
                            <a:avLst/>
                          </a:prstGeom>
                          <a:noFill/>
                          <a:ln>
                            <a:noFill/>
                          </a:ln>
                        </pic:spPr>
                      </pic:pic>
                    </a:graphicData>
                  </a:graphic>
                </wp:inline>
              </w:drawing>
            </w:r>
          </w:p>
        </w:tc>
      </w:tr>
      <w:tr w14:paraId="77B1F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574AEA6">
            <w:pPr>
              <w:bidi w:val="0"/>
              <w:jc w:val="center"/>
              <w:rPr>
                <w:highlight w:val="none"/>
                <w:vertAlign w:val="baseline"/>
              </w:rPr>
            </w:pPr>
            <w:r>
              <w:rPr>
                <w:rFonts w:hint="eastAsia"/>
                <w:highlight w:val="none"/>
                <w:vertAlign w:val="baseline"/>
              </w:rPr>
              <w:t>7月13日，市委书记曾风保（右三）、市长王碧安（右二）、市政协主席何万飞（右一）等检查烟叶收购情况</w:t>
            </w:r>
          </w:p>
        </w:tc>
      </w:tr>
      <w:tr w14:paraId="3DDA6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CFCB888">
            <w:pPr>
              <w:bidi w:val="0"/>
              <w:ind w:left="0" w:leftChars="0" w:firstLine="0" w:firstLineChars="0"/>
              <w:jc w:val="center"/>
              <w:rPr>
                <w:highlight w:val="none"/>
                <w:vertAlign w:val="baseline"/>
              </w:rPr>
            </w:pPr>
            <w:r>
              <w:rPr>
                <w:highlight w:val="none"/>
              </w:rPr>
              <w:drawing>
                <wp:inline distT="0" distB="0" distL="114300" distR="114300">
                  <wp:extent cx="5330825" cy="3691255"/>
                  <wp:effectExtent l="0" t="0" r="3175" b="4445"/>
                  <wp:docPr id="24"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1"/>
                          <pic:cNvPicPr>
                            <a:picLocks noChangeAspect="1"/>
                          </pic:cNvPicPr>
                        </pic:nvPicPr>
                        <pic:blipFill>
                          <a:blip r:embed="rId29"/>
                          <a:stretch>
                            <a:fillRect/>
                          </a:stretch>
                        </pic:blipFill>
                        <pic:spPr>
                          <a:xfrm>
                            <a:off x="0" y="0"/>
                            <a:ext cx="5330825" cy="3691255"/>
                          </a:xfrm>
                          <a:prstGeom prst="rect">
                            <a:avLst/>
                          </a:prstGeom>
                          <a:noFill/>
                          <a:ln>
                            <a:noFill/>
                          </a:ln>
                        </pic:spPr>
                      </pic:pic>
                    </a:graphicData>
                  </a:graphic>
                </wp:inline>
              </w:drawing>
            </w:r>
          </w:p>
        </w:tc>
      </w:tr>
      <w:tr w14:paraId="70313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1E7DB41">
            <w:pPr>
              <w:bidi w:val="0"/>
              <w:jc w:val="center"/>
              <w:rPr>
                <w:rFonts w:hint="eastAsia"/>
                <w:highlight w:val="none"/>
              </w:rPr>
            </w:pPr>
            <w:r>
              <w:rPr>
                <w:rFonts w:hint="eastAsia"/>
                <w:highlight w:val="none"/>
                <w:lang w:val="en-US" w:eastAsia="zh-CN"/>
              </w:rPr>
              <w:t>11</w:t>
            </w:r>
            <w:r>
              <w:rPr>
                <w:rFonts w:hint="eastAsia"/>
                <w:highlight w:val="none"/>
              </w:rPr>
              <w:t>月15</w:t>
            </w:r>
            <w:r>
              <w:rPr>
                <w:rFonts w:hint="eastAsia"/>
                <w:highlight w:val="none"/>
                <w:lang w:eastAsia="zh-CN"/>
              </w:rPr>
              <w:t>日，</w:t>
            </w:r>
            <w:r>
              <w:rPr>
                <w:rFonts w:hint="eastAsia"/>
                <w:highlight w:val="none"/>
              </w:rPr>
              <w:t>市委书记、市人大常委会主任曾风保（前排右二）等深入坪田银杏景</w:t>
            </w:r>
          </w:p>
          <w:p w14:paraId="7C93C47B">
            <w:pPr>
              <w:bidi w:val="0"/>
              <w:jc w:val="center"/>
              <w:rPr>
                <w:highlight w:val="none"/>
                <w:vertAlign w:val="baseline"/>
              </w:rPr>
            </w:pPr>
            <w:r>
              <w:rPr>
                <w:rFonts w:hint="eastAsia"/>
                <w:highlight w:val="none"/>
              </w:rPr>
              <w:t>区检查工作</w:t>
            </w:r>
          </w:p>
        </w:tc>
      </w:tr>
    </w:tbl>
    <w:p w14:paraId="47D20A5F">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E008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D160D1A">
            <w:pPr>
              <w:bidi w:val="0"/>
              <w:ind w:left="0" w:leftChars="0" w:firstLine="0" w:firstLineChars="0"/>
              <w:jc w:val="center"/>
              <w:rPr>
                <w:highlight w:val="none"/>
                <w:vertAlign w:val="baseline"/>
              </w:rPr>
            </w:pPr>
            <w:r>
              <w:rPr>
                <w:highlight w:val="none"/>
              </w:rPr>
              <w:drawing>
                <wp:inline distT="0" distB="0" distL="114300" distR="114300">
                  <wp:extent cx="5331460" cy="3489325"/>
                  <wp:effectExtent l="0" t="0" r="2540" b="15875"/>
                  <wp:docPr id="25"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2"/>
                          <pic:cNvPicPr>
                            <a:picLocks noChangeAspect="1"/>
                          </pic:cNvPicPr>
                        </pic:nvPicPr>
                        <pic:blipFill>
                          <a:blip r:embed="rId30"/>
                          <a:stretch>
                            <a:fillRect/>
                          </a:stretch>
                        </pic:blipFill>
                        <pic:spPr>
                          <a:xfrm>
                            <a:off x="0" y="0"/>
                            <a:ext cx="5331460" cy="3489325"/>
                          </a:xfrm>
                          <a:prstGeom prst="rect">
                            <a:avLst/>
                          </a:prstGeom>
                          <a:noFill/>
                          <a:ln>
                            <a:noFill/>
                          </a:ln>
                        </pic:spPr>
                      </pic:pic>
                    </a:graphicData>
                  </a:graphic>
                </wp:inline>
              </w:drawing>
            </w:r>
          </w:p>
        </w:tc>
      </w:tr>
      <w:tr w14:paraId="392F4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B799327">
            <w:pPr>
              <w:bidi w:val="0"/>
              <w:jc w:val="center"/>
              <w:rPr>
                <w:highlight w:val="none"/>
                <w:vertAlign w:val="baseline"/>
              </w:rPr>
            </w:pPr>
            <w:r>
              <w:rPr>
                <w:rFonts w:hint="eastAsia"/>
                <w:highlight w:val="none"/>
                <w:vertAlign w:val="baseline"/>
              </w:rPr>
              <w:t>为实施“姓氏名都”战略，进一步推动文化事业发展，4月24日，市委书记、市长曾风保（右三）率队考察肇庆市文化建设</w:t>
            </w:r>
          </w:p>
        </w:tc>
      </w:tr>
      <w:tr w14:paraId="7A6A2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977EB9A">
            <w:pPr>
              <w:bidi w:val="0"/>
              <w:ind w:left="0" w:leftChars="0" w:firstLine="0" w:firstLineChars="0"/>
              <w:jc w:val="center"/>
              <w:rPr>
                <w:highlight w:val="none"/>
                <w:vertAlign w:val="baseline"/>
              </w:rPr>
            </w:pPr>
            <w:r>
              <w:rPr>
                <w:highlight w:val="none"/>
              </w:rPr>
              <w:drawing>
                <wp:inline distT="0" distB="0" distL="114300" distR="114300">
                  <wp:extent cx="5328920" cy="3784600"/>
                  <wp:effectExtent l="0" t="0" r="5080" b="6350"/>
                  <wp:docPr id="26"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3"/>
                          <pic:cNvPicPr>
                            <a:picLocks noChangeAspect="1"/>
                          </pic:cNvPicPr>
                        </pic:nvPicPr>
                        <pic:blipFill>
                          <a:blip r:embed="rId31"/>
                          <a:stretch>
                            <a:fillRect/>
                          </a:stretch>
                        </pic:blipFill>
                        <pic:spPr>
                          <a:xfrm>
                            <a:off x="0" y="0"/>
                            <a:ext cx="5328920" cy="3784600"/>
                          </a:xfrm>
                          <a:prstGeom prst="rect">
                            <a:avLst/>
                          </a:prstGeom>
                          <a:noFill/>
                          <a:ln>
                            <a:noFill/>
                          </a:ln>
                        </pic:spPr>
                      </pic:pic>
                    </a:graphicData>
                  </a:graphic>
                </wp:inline>
              </w:drawing>
            </w:r>
          </w:p>
        </w:tc>
      </w:tr>
      <w:tr w14:paraId="789F6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06261A2A">
            <w:pPr>
              <w:bidi w:val="0"/>
              <w:jc w:val="center"/>
              <w:rPr>
                <w:highlight w:val="none"/>
                <w:vertAlign w:val="baseline"/>
              </w:rPr>
            </w:pPr>
            <w:r>
              <w:rPr>
                <w:rFonts w:hint="eastAsia"/>
                <w:highlight w:val="none"/>
                <w:vertAlign w:val="baseline"/>
              </w:rPr>
              <w:t>7月29日，市长王碧安（前排右二）等深入火车站检查工作</w:t>
            </w:r>
          </w:p>
        </w:tc>
      </w:tr>
    </w:tbl>
    <w:p w14:paraId="4218F740">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3782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74E8596">
            <w:pPr>
              <w:bidi w:val="0"/>
              <w:ind w:left="0" w:leftChars="0" w:firstLine="0" w:firstLineChars="0"/>
              <w:jc w:val="center"/>
              <w:rPr>
                <w:highlight w:val="none"/>
                <w:vertAlign w:val="baseline"/>
              </w:rPr>
            </w:pPr>
            <w:r>
              <w:rPr>
                <w:highlight w:val="none"/>
              </w:rPr>
              <w:drawing>
                <wp:inline distT="0" distB="0" distL="114300" distR="114300">
                  <wp:extent cx="5333365" cy="3485515"/>
                  <wp:effectExtent l="0" t="0" r="635" b="635"/>
                  <wp:docPr id="27"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4"/>
                          <pic:cNvPicPr>
                            <a:picLocks noChangeAspect="1"/>
                          </pic:cNvPicPr>
                        </pic:nvPicPr>
                        <pic:blipFill>
                          <a:blip r:embed="rId32"/>
                          <a:stretch>
                            <a:fillRect/>
                          </a:stretch>
                        </pic:blipFill>
                        <pic:spPr>
                          <a:xfrm>
                            <a:off x="0" y="0"/>
                            <a:ext cx="5333365" cy="3485515"/>
                          </a:xfrm>
                          <a:prstGeom prst="rect">
                            <a:avLst/>
                          </a:prstGeom>
                          <a:noFill/>
                          <a:ln>
                            <a:noFill/>
                          </a:ln>
                        </pic:spPr>
                      </pic:pic>
                    </a:graphicData>
                  </a:graphic>
                </wp:inline>
              </w:drawing>
            </w:r>
          </w:p>
        </w:tc>
      </w:tr>
      <w:tr w14:paraId="2B727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C6EB64A">
            <w:pPr>
              <w:bidi w:val="0"/>
              <w:jc w:val="center"/>
              <w:rPr>
                <w:highlight w:val="none"/>
                <w:vertAlign w:val="baseline"/>
              </w:rPr>
            </w:pPr>
            <w:r>
              <w:rPr>
                <w:rFonts w:hint="eastAsia"/>
                <w:highlight w:val="none"/>
                <w:vertAlign w:val="baseline"/>
              </w:rPr>
              <w:t>7月29日，市长王碧安（前排右二）等深入雄州公园检查工作</w:t>
            </w:r>
          </w:p>
        </w:tc>
      </w:tr>
      <w:tr w14:paraId="1DA1B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5302F56">
            <w:pPr>
              <w:bidi w:val="0"/>
              <w:ind w:left="0" w:leftChars="0" w:firstLine="0" w:firstLineChars="0"/>
              <w:jc w:val="center"/>
              <w:rPr>
                <w:highlight w:val="none"/>
                <w:vertAlign w:val="baseline"/>
              </w:rPr>
            </w:pPr>
            <w:r>
              <w:rPr>
                <w:highlight w:val="none"/>
              </w:rPr>
              <w:drawing>
                <wp:inline distT="0" distB="0" distL="114300" distR="114300">
                  <wp:extent cx="5330825" cy="3562350"/>
                  <wp:effectExtent l="0" t="0" r="3175" b="0"/>
                  <wp:docPr id="28"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5"/>
                          <pic:cNvPicPr>
                            <a:picLocks noChangeAspect="1"/>
                          </pic:cNvPicPr>
                        </pic:nvPicPr>
                        <pic:blipFill>
                          <a:blip r:embed="rId33"/>
                          <a:stretch>
                            <a:fillRect/>
                          </a:stretch>
                        </pic:blipFill>
                        <pic:spPr>
                          <a:xfrm>
                            <a:off x="0" y="0"/>
                            <a:ext cx="5330825" cy="3562350"/>
                          </a:xfrm>
                          <a:prstGeom prst="rect">
                            <a:avLst/>
                          </a:prstGeom>
                          <a:noFill/>
                          <a:ln>
                            <a:noFill/>
                          </a:ln>
                        </pic:spPr>
                      </pic:pic>
                    </a:graphicData>
                  </a:graphic>
                </wp:inline>
              </w:drawing>
            </w:r>
          </w:p>
        </w:tc>
      </w:tr>
      <w:tr w14:paraId="5EFDA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4AD77C0">
            <w:pPr>
              <w:bidi w:val="0"/>
              <w:jc w:val="center"/>
              <w:rPr>
                <w:highlight w:val="none"/>
                <w:vertAlign w:val="baseline"/>
              </w:rPr>
            </w:pPr>
            <w:r>
              <w:rPr>
                <w:rFonts w:hint="eastAsia"/>
                <w:highlight w:val="none"/>
                <w:vertAlign w:val="baseline"/>
              </w:rPr>
              <w:t>7月30日，市长王碧安（前排左二）等检查安全生产</w:t>
            </w:r>
          </w:p>
        </w:tc>
      </w:tr>
    </w:tbl>
    <w:p w14:paraId="62FA509E">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AA8E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B60BD5E">
            <w:pPr>
              <w:bidi w:val="0"/>
              <w:ind w:left="0" w:leftChars="0" w:firstLine="0" w:firstLineChars="0"/>
              <w:jc w:val="center"/>
              <w:rPr>
                <w:highlight w:val="none"/>
                <w:vertAlign w:val="baseline"/>
              </w:rPr>
            </w:pPr>
            <w:r>
              <w:rPr>
                <w:highlight w:val="none"/>
              </w:rPr>
              <w:drawing>
                <wp:inline distT="0" distB="0" distL="114300" distR="114300">
                  <wp:extent cx="5330190" cy="3558540"/>
                  <wp:effectExtent l="0" t="0" r="3810" b="3810"/>
                  <wp:docPr id="29"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6"/>
                          <pic:cNvPicPr>
                            <a:picLocks noChangeAspect="1"/>
                          </pic:cNvPicPr>
                        </pic:nvPicPr>
                        <pic:blipFill>
                          <a:blip r:embed="rId34"/>
                          <a:stretch>
                            <a:fillRect/>
                          </a:stretch>
                        </pic:blipFill>
                        <pic:spPr>
                          <a:xfrm>
                            <a:off x="0" y="0"/>
                            <a:ext cx="5330190" cy="3558540"/>
                          </a:xfrm>
                          <a:prstGeom prst="rect">
                            <a:avLst/>
                          </a:prstGeom>
                          <a:noFill/>
                          <a:ln>
                            <a:noFill/>
                          </a:ln>
                        </pic:spPr>
                      </pic:pic>
                    </a:graphicData>
                  </a:graphic>
                </wp:inline>
              </w:drawing>
            </w:r>
          </w:p>
        </w:tc>
      </w:tr>
      <w:tr w14:paraId="699B9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130FCAA1">
            <w:pPr>
              <w:bidi w:val="0"/>
              <w:jc w:val="center"/>
              <w:rPr>
                <w:highlight w:val="none"/>
                <w:vertAlign w:val="baseline"/>
              </w:rPr>
            </w:pPr>
            <w:r>
              <w:rPr>
                <w:rFonts w:hint="eastAsia"/>
                <w:highlight w:val="none"/>
                <w:vertAlign w:val="baseline"/>
              </w:rPr>
              <w:t>5月15</w:t>
            </w:r>
            <w:r>
              <w:rPr>
                <w:rFonts w:hint="eastAsia"/>
                <w:highlight w:val="none"/>
                <w:vertAlign w:val="baseline"/>
                <w:lang w:eastAsia="zh-CN"/>
              </w:rPr>
              <w:t>日，</w:t>
            </w:r>
            <w:r>
              <w:rPr>
                <w:rFonts w:hint="eastAsia"/>
                <w:highlight w:val="none"/>
                <w:vertAlign w:val="baseline"/>
              </w:rPr>
              <w:t>邓坊泉水谷漂流度假村开业暨“康绿宝杯•醉美南雄”摄影大赛开镜仪式举行</w:t>
            </w:r>
          </w:p>
        </w:tc>
      </w:tr>
      <w:tr w14:paraId="583EF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4CD0833">
            <w:pPr>
              <w:bidi w:val="0"/>
              <w:ind w:left="0" w:leftChars="0" w:firstLine="0" w:firstLineChars="0"/>
              <w:jc w:val="center"/>
              <w:rPr>
                <w:highlight w:val="none"/>
                <w:vertAlign w:val="baseline"/>
              </w:rPr>
            </w:pPr>
            <w:r>
              <w:rPr>
                <w:highlight w:val="none"/>
              </w:rPr>
              <w:drawing>
                <wp:inline distT="0" distB="0" distL="114300" distR="114300">
                  <wp:extent cx="5331460" cy="3570605"/>
                  <wp:effectExtent l="0" t="0" r="2540" b="10795"/>
                  <wp:docPr id="30"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7"/>
                          <pic:cNvPicPr>
                            <a:picLocks noChangeAspect="1"/>
                          </pic:cNvPicPr>
                        </pic:nvPicPr>
                        <pic:blipFill>
                          <a:blip r:embed="rId35"/>
                          <a:stretch>
                            <a:fillRect/>
                          </a:stretch>
                        </pic:blipFill>
                        <pic:spPr>
                          <a:xfrm>
                            <a:off x="0" y="0"/>
                            <a:ext cx="5331460" cy="3570605"/>
                          </a:xfrm>
                          <a:prstGeom prst="rect">
                            <a:avLst/>
                          </a:prstGeom>
                          <a:noFill/>
                          <a:ln>
                            <a:noFill/>
                          </a:ln>
                        </pic:spPr>
                      </pic:pic>
                    </a:graphicData>
                  </a:graphic>
                </wp:inline>
              </w:drawing>
            </w:r>
          </w:p>
        </w:tc>
      </w:tr>
      <w:tr w14:paraId="05A04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8A62BA3">
            <w:pPr>
              <w:bidi w:val="0"/>
              <w:jc w:val="center"/>
              <w:rPr>
                <w:highlight w:val="none"/>
                <w:vertAlign w:val="baseline"/>
              </w:rPr>
            </w:pPr>
            <w:r>
              <w:rPr>
                <w:rFonts w:hint="eastAsia"/>
                <w:highlight w:val="none"/>
                <w:vertAlign w:val="baseline"/>
              </w:rPr>
              <w:t>6月12日，珠巩巷联谊会成立大会召开</w:t>
            </w:r>
          </w:p>
        </w:tc>
      </w:tr>
    </w:tbl>
    <w:p w14:paraId="0CA54D17">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F5E1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2E0AC3B">
            <w:pPr>
              <w:bidi w:val="0"/>
              <w:ind w:left="0" w:leftChars="0" w:firstLine="0" w:firstLineChars="0"/>
              <w:jc w:val="center"/>
              <w:rPr>
                <w:highlight w:val="none"/>
                <w:vertAlign w:val="baseline"/>
              </w:rPr>
            </w:pPr>
            <w:r>
              <w:rPr>
                <w:highlight w:val="none"/>
              </w:rPr>
              <w:drawing>
                <wp:inline distT="0" distB="0" distL="114300" distR="114300">
                  <wp:extent cx="5333365" cy="3534410"/>
                  <wp:effectExtent l="0" t="0" r="635" b="8890"/>
                  <wp:docPr id="31"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9"/>
                          <pic:cNvPicPr>
                            <a:picLocks noChangeAspect="1"/>
                          </pic:cNvPicPr>
                        </pic:nvPicPr>
                        <pic:blipFill>
                          <a:blip r:embed="rId36"/>
                          <a:stretch>
                            <a:fillRect/>
                          </a:stretch>
                        </pic:blipFill>
                        <pic:spPr>
                          <a:xfrm>
                            <a:off x="0" y="0"/>
                            <a:ext cx="5333365" cy="3534410"/>
                          </a:xfrm>
                          <a:prstGeom prst="rect">
                            <a:avLst/>
                          </a:prstGeom>
                          <a:noFill/>
                          <a:ln>
                            <a:noFill/>
                          </a:ln>
                        </pic:spPr>
                      </pic:pic>
                    </a:graphicData>
                  </a:graphic>
                </wp:inline>
              </w:drawing>
            </w:r>
          </w:p>
        </w:tc>
      </w:tr>
      <w:tr w14:paraId="23789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3C8FFFB">
            <w:pPr>
              <w:bidi w:val="0"/>
              <w:jc w:val="center"/>
              <w:rPr>
                <w:highlight w:val="none"/>
                <w:vertAlign w:val="baseline"/>
              </w:rPr>
            </w:pPr>
            <w:r>
              <w:rPr>
                <w:rFonts w:hint="eastAsia"/>
                <w:highlight w:val="none"/>
                <w:vertAlign w:val="baseline"/>
              </w:rPr>
              <w:t>7月6日，南雄时代广场正式落成启用</w:t>
            </w:r>
          </w:p>
        </w:tc>
      </w:tr>
      <w:tr w14:paraId="02A46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CF1CA5F">
            <w:pPr>
              <w:bidi w:val="0"/>
              <w:ind w:left="0" w:leftChars="0" w:firstLine="0" w:firstLineChars="0"/>
              <w:jc w:val="center"/>
              <w:rPr>
                <w:highlight w:val="none"/>
                <w:vertAlign w:val="baseline"/>
              </w:rPr>
            </w:pPr>
            <w:r>
              <w:rPr>
                <w:highlight w:val="none"/>
              </w:rPr>
              <w:drawing>
                <wp:inline distT="0" distB="0" distL="114300" distR="114300">
                  <wp:extent cx="5328920" cy="3557905"/>
                  <wp:effectExtent l="0" t="0" r="5080" b="4445"/>
                  <wp:docPr id="32"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0"/>
                          <pic:cNvPicPr>
                            <a:picLocks noChangeAspect="1"/>
                          </pic:cNvPicPr>
                        </pic:nvPicPr>
                        <pic:blipFill>
                          <a:blip r:embed="rId37"/>
                          <a:stretch>
                            <a:fillRect/>
                          </a:stretch>
                        </pic:blipFill>
                        <pic:spPr>
                          <a:xfrm>
                            <a:off x="0" y="0"/>
                            <a:ext cx="5328920" cy="3557905"/>
                          </a:xfrm>
                          <a:prstGeom prst="rect">
                            <a:avLst/>
                          </a:prstGeom>
                          <a:noFill/>
                          <a:ln>
                            <a:noFill/>
                          </a:ln>
                        </pic:spPr>
                      </pic:pic>
                    </a:graphicData>
                  </a:graphic>
                </wp:inline>
              </w:drawing>
            </w:r>
          </w:p>
        </w:tc>
      </w:tr>
      <w:tr w14:paraId="282AD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4330CF0">
            <w:pPr>
              <w:bidi w:val="0"/>
              <w:jc w:val="center"/>
              <w:rPr>
                <w:highlight w:val="none"/>
                <w:vertAlign w:val="baseline"/>
              </w:rPr>
            </w:pPr>
            <w:r>
              <w:rPr>
                <w:rFonts w:hint="eastAsia"/>
                <w:highlight w:val="none"/>
                <w:vertAlign w:val="baseline"/>
              </w:rPr>
              <w:t>10月17</w:t>
            </w:r>
            <w:r>
              <w:rPr>
                <w:rFonts w:hint="eastAsia"/>
                <w:highlight w:val="none"/>
                <w:vertAlign w:val="baseline"/>
                <w:lang w:eastAsia="zh-CN"/>
              </w:rPr>
              <w:t>日，</w:t>
            </w:r>
            <w:r>
              <w:rPr>
                <w:rFonts w:hint="eastAsia"/>
                <w:highlight w:val="none"/>
                <w:vertAlign w:val="baseline"/>
              </w:rPr>
              <w:t>在第二届姓氏文化旅游节大会上，南雄民俗表演大型情景歌舞剧《永远的乡愁》</w:t>
            </w:r>
          </w:p>
        </w:tc>
      </w:tr>
    </w:tbl>
    <w:p w14:paraId="13C3479F">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B448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9C6384D">
            <w:pPr>
              <w:bidi w:val="0"/>
              <w:ind w:left="0" w:leftChars="0" w:firstLine="0" w:firstLineChars="0"/>
              <w:jc w:val="center"/>
              <w:rPr>
                <w:highlight w:val="none"/>
                <w:vertAlign w:val="baseline"/>
              </w:rPr>
            </w:pPr>
            <w:r>
              <w:rPr>
                <w:highlight w:val="none"/>
              </w:rPr>
              <w:drawing>
                <wp:inline distT="0" distB="0" distL="114300" distR="114300">
                  <wp:extent cx="5330190" cy="3558540"/>
                  <wp:effectExtent l="0" t="0" r="3810" b="3810"/>
                  <wp:docPr id="33"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1"/>
                          <pic:cNvPicPr>
                            <a:picLocks noChangeAspect="1"/>
                          </pic:cNvPicPr>
                        </pic:nvPicPr>
                        <pic:blipFill>
                          <a:blip r:embed="rId38"/>
                          <a:stretch>
                            <a:fillRect/>
                          </a:stretch>
                        </pic:blipFill>
                        <pic:spPr>
                          <a:xfrm>
                            <a:off x="0" y="0"/>
                            <a:ext cx="5330190" cy="3558540"/>
                          </a:xfrm>
                          <a:prstGeom prst="rect">
                            <a:avLst/>
                          </a:prstGeom>
                          <a:noFill/>
                          <a:ln>
                            <a:noFill/>
                          </a:ln>
                        </pic:spPr>
                      </pic:pic>
                    </a:graphicData>
                  </a:graphic>
                </wp:inline>
              </w:drawing>
            </w:r>
          </w:p>
        </w:tc>
      </w:tr>
      <w:tr w14:paraId="51839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2BD2849F">
            <w:pPr>
              <w:bidi w:val="0"/>
              <w:jc w:val="center"/>
              <w:rPr>
                <w:highlight w:val="none"/>
                <w:vertAlign w:val="baseline"/>
              </w:rPr>
            </w:pPr>
            <w:r>
              <w:rPr>
                <w:rFonts w:hint="eastAsia"/>
                <w:highlight w:val="none"/>
                <w:lang w:val="en-US" w:eastAsia="zh-CN"/>
              </w:rPr>
              <w:t>11</w:t>
            </w:r>
            <w:r>
              <w:rPr>
                <w:highlight w:val="none"/>
                <w:lang w:val="en-US" w:eastAsia="zh-CN"/>
              </w:rPr>
              <w:t>月3</w:t>
            </w:r>
            <w:r>
              <w:rPr>
                <w:rFonts w:hint="eastAsia"/>
                <w:highlight w:val="none"/>
                <w:lang w:val="en-US" w:eastAsia="zh-CN"/>
              </w:rPr>
              <w:t>日，南雄犁牛坪风电场项目奠基</w:t>
            </w:r>
          </w:p>
        </w:tc>
      </w:tr>
      <w:tr w14:paraId="1FA86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B54F1D1">
            <w:pPr>
              <w:bidi w:val="0"/>
              <w:ind w:left="0" w:leftChars="0" w:firstLine="0" w:firstLineChars="0"/>
              <w:jc w:val="center"/>
              <w:rPr>
                <w:highlight w:val="none"/>
                <w:vertAlign w:val="baseline"/>
              </w:rPr>
            </w:pPr>
            <w:r>
              <w:rPr>
                <w:highlight w:val="none"/>
              </w:rPr>
              <w:drawing>
                <wp:inline distT="0" distB="0" distL="114300" distR="114300">
                  <wp:extent cx="5333365" cy="3542030"/>
                  <wp:effectExtent l="0" t="0" r="635" b="1270"/>
                  <wp:docPr id="3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3"/>
                          <pic:cNvPicPr>
                            <a:picLocks noChangeAspect="1"/>
                          </pic:cNvPicPr>
                        </pic:nvPicPr>
                        <pic:blipFill>
                          <a:blip r:embed="rId39"/>
                          <a:stretch>
                            <a:fillRect/>
                          </a:stretch>
                        </pic:blipFill>
                        <pic:spPr>
                          <a:xfrm>
                            <a:off x="0" y="0"/>
                            <a:ext cx="5333365" cy="3542030"/>
                          </a:xfrm>
                          <a:prstGeom prst="rect">
                            <a:avLst/>
                          </a:prstGeom>
                          <a:noFill/>
                          <a:ln>
                            <a:noFill/>
                          </a:ln>
                        </pic:spPr>
                      </pic:pic>
                    </a:graphicData>
                  </a:graphic>
                </wp:inline>
              </w:drawing>
            </w:r>
          </w:p>
        </w:tc>
      </w:tr>
      <w:tr w14:paraId="1151A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78EA173">
            <w:pPr>
              <w:bidi w:val="0"/>
              <w:jc w:val="center"/>
              <w:rPr>
                <w:highlight w:val="none"/>
                <w:vertAlign w:val="baseline"/>
              </w:rPr>
            </w:pPr>
            <w:r>
              <w:rPr>
                <w:rFonts w:hint="eastAsia"/>
                <w:highlight w:val="none"/>
                <w:vertAlign w:val="baseline"/>
              </w:rPr>
              <w:t>12月8日，华电南雄热电联产工程奠基暨南雄市重点项目签约动工投产仪式举行</w:t>
            </w:r>
          </w:p>
        </w:tc>
      </w:tr>
    </w:tbl>
    <w:p w14:paraId="7662E3B6">
      <w:pPr>
        <w:bidi w:val="0"/>
        <w:rPr>
          <w:highlight w:val="none"/>
        </w:rPr>
        <w:sectPr>
          <w:pgSz w:w="11906" w:h="16838"/>
          <w:pgMar w:top="1440" w:right="1753" w:bottom="1440" w:left="1753" w:header="851" w:footer="992" w:gutter="0"/>
          <w:cols w:space="720" w:num="1"/>
          <w:docGrid w:type="lines" w:linePitch="312" w:charSpace="0"/>
        </w:sect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2D76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51A3C2B">
            <w:pPr>
              <w:bidi w:val="0"/>
              <w:ind w:left="0" w:leftChars="0" w:firstLine="0" w:firstLineChars="0"/>
              <w:jc w:val="center"/>
              <w:rPr>
                <w:highlight w:val="none"/>
                <w:vertAlign w:val="baseline"/>
              </w:rPr>
            </w:pPr>
            <w:r>
              <w:rPr>
                <w:highlight w:val="none"/>
              </w:rPr>
              <w:drawing>
                <wp:inline distT="0" distB="0" distL="114300" distR="114300">
                  <wp:extent cx="5331460" cy="3481705"/>
                  <wp:effectExtent l="0" t="0" r="2540" b="4445"/>
                  <wp:docPr id="35"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4"/>
                          <pic:cNvPicPr>
                            <a:picLocks noChangeAspect="1"/>
                          </pic:cNvPicPr>
                        </pic:nvPicPr>
                        <pic:blipFill>
                          <a:blip r:embed="rId40"/>
                          <a:stretch>
                            <a:fillRect/>
                          </a:stretch>
                        </pic:blipFill>
                        <pic:spPr>
                          <a:xfrm>
                            <a:off x="0" y="0"/>
                            <a:ext cx="5331460" cy="3481705"/>
                          </a:xfrm>
                          <a:prstGeom prst="rect">
                            <a:avLst/>
                          </a:prstGeom>
                          <a:noFill/>
                          <a:ln>
                            <a:noFill/>
                          </a:ln>
                        </pic:spPr>
                      </pic:pic>
                    </a:graphicData>
                  </a:graphic>
                </wp:inline>
              </w:drawing>
            </w:r>
          </w:p>
        </w:tc>
      </w:tr>
      <w:tr w14:paraId="6E2DD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E326339">
            <w:pPr>
              <w:bidi w:val="0"/>
              <w:jc w:val="center"/>
              <w:rPr>
                <w:highlight w:val="none"/>
                <w:vertAlign w:val="baseline"/>
              </w:rPr>
            </w:pPr>
            <w:r>
              <w:rPr>
                <w:rFonts w:hint="eastAsia"/>
                <w:highlight w:val="none"/>
                <w:vertAlign w:val="baseline"/>
              </w:rPr>
              <w:t>12月8日，南雄图书馆、档案馆奠基</w:t>
            </w:r>
          </w:p>
        </w:tc>
      </w:tr>
      <w:tr w14:paraId="45FBE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274B25B">
            <w:pPr>
              <w:bidi w:val="0"/>
              <w:ind w:left="0" w:leftChars="0" w:firstLine="0" w:firstLineChars="0"/>
              <w:jc w:val="center"/>
              <w:rPr>
                <w:highlight w:val="none"/>
                <w:vertAlign w:val="baseline"/>
              </w:rPr>
            </w:pPr>
            <w:r>
              <w:rPr>
                <w:highlight w:val="none"/>
              </w:rPr>
              <w:drawing>
                <wp:inline distT="0" distB="0" distL="114300" distR="114300">
                  <wp:extent cx="5330190" cy="3810635"/>
                  <wp:effectExtent l="0" t="0" r="3810" b="18415"/>
                  <wp:docPr id="36"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5"/>
                          <pic:cNvPicPr>
                            <a:picLocks noChangeAspect="1"/>
                          </pic:cNvPicPr>
                        </pic:nvPicPr>
                        <pic:blipFill>
                          <a:blip r:embed="rId41"/>
                          <a:stretch>
                            <a:fillRect/>
                          </a:stretch>
                        </pic:blipFill>
                        <pic:spPr>
                          <a:xfrm>
                            <a:off x="0" y="0"/>
                            <a:ext cx="5330190" cy="3810635"/>
                          </a:xfrm>
                          <a:prstGeom prst="rect">
                            <a:avLst/>
                          </a:prstGeom>
                          <a:noFill/>
                          <a:ln>
                            <a:noFill/>
                          </a:ln>
                        </pic:spPr>
                      </pic:pic>
                    </a:graphicData>
                  </a:graphic>
                </wp:inline>
              </w:drawing>
            </w:r>
          </w:p>
        </w:tc>
      </w:tr>
      <w:tr w14:paraId="72CE8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99C9E1D">
            <w:pPr>
              <w:bidi w:val="0"/>
              <w:jc w:val="center"/>
              <w:rPr>
                <w:highlight w:val="none"/>
                <w:vertAlign w:val="baseline"/>
              </w:rPr>
            </w:pPr>
            <w:r>
              <w:rPr>
                <w:rFonts w:hint="eastAsia"/>
                <w:highlight w:val="none"/>
                <w:vertAlign w:val="baseline"/>
              </w:rPr>
              <w:t>广东书法家协会主席张桂光</w:t>
            </w:r>
            <w:r>
              <w:rPr>
                <w:rFonts w:hint="eastAsia"/>
                <w:highlight w:val="none"/>
                <w:vertAlign w:val="baseline"/>
                <w:lang w:eastAsia="zh-CN"/>
              </w:rPr>
              <w:t>（</w:t>
            </w:r>
            <w:r>
              <w:rPr>
                <w:rFonts w:hint="eastAsia"/>
                <w:highlight w:val="none"/>
                <w:vertAlign w:val="baseline"/>
              </w:rPr>
              <w:t>中</w:t>
            </w:r>
            <w:r>
              <w:rPr>
                <w:rFonts w:hint="eastAsia"/>
                <w:highlight w:val="none"/>
                <w:vertAlign w:val="baseline"/>
                <w:lang w:eastAsia="zh-CN"/>
              </w:rPr>
              <w:t>）</w:t>
            </w:r>
            <w:r>
              <w:rPr>
                <w:rFonts w:hint="eastAsia"/>
                <w:highlight w:val="none"/>
                <w:vertAlign w:val="baseline"/>
              </w:rPr>
              <w:t>为广东百名书家古雄州诗词书法晋京展题字</w:t>
            </w:r>
          </w:p>
        </w:tc>
      </w:tr>
    </w:tbl>
    <w:p w14:paraId="320CA383">
      <w:pPr>
        <w:bidi w:val="0"/>
        <w:rPr>
          <w:highlight w:val="none"/>
        </w:rPr>
        <w:sectPr>
          <w:pgSz w:w="11906" w:h="16838"/>
          <w:pgMar w:top="1440" w:right="1753" w:bottom="1440" w:left="1753" w:header="851" w:footer="992" w:gutter="0"/>
          <w:cols w:space="720" w:num="1"/>
          <w:docGrid w:type="lines" w:linePitch="312" w:charSpace="0"/>
        </w:sectPr>
      </w:pPr>
    </w:p>
    <w:p w14:paraId="1D4FCCA4">
      <w:pPr>
        <w:pStyle w:val="2"/>
        <w:bidi w:val="0"/>
        <w:rPr>
          <w:highlight w:val="none"/>
          <w:lang w:val="en-US" w:eastAsia="zh-CN"/>
        </w:rPr>
      </w:pPr>
      <w:r>
        <w:rPr>
          <w:rFonts w:hint="eastAsia"/>
          <w:highlight w:val="none"/>
          <w:lang w:val="en-US" w:eastAsia="zh-CN"/>
        </w:rPr>
        <w:t>南雄名片</w:t>
      </w:r>
    </w:p>
    <w:p w14:paraId="07B487E4">
      <w:pPr>
        <w:rPr>
          <w:rFonts w:hint="default"/>
          <w:highlight w:val="none"/>
          <w:lang w:val="en-US" w:eastAsia="zh-CN"/>
        </w:rPr>
      </w:pPr>
      <w:r>
        <w:rPr>
          <w:highlight w:val="none"/>
          <w:lang w:val="en-US" w:eastAsia="zh-CN"/>
        </w:rPr>
        <w:t>原中央苏区县</w:t>
      </w:r>
    </w:p>
    <w:p w14:paraId="07DA6C06">
      <w:pPr>
        <w:rPr>
          <w:rFonts w:hint="eastAsia"/>
          <w:highlight w:val="none"/>
          <w:lang w:val="en-US" w:eastAsia="zh-CN"/>
        </w:rPr>
      </w:pPr>
      <w:r>
        <w:rPr>
          <w:rFonts w:hint="eastAsia"/>
          <w:highlight w:val="none"/>
          <w:lang w:val="en-US" w:eastAsia="zh-CN"/>
        </w:rPr>
        <w:t>国家重点生态功能区</w:t>
      </w:r>
    </w:p>
    <w:p w14:paraId="0456F067">
      <w:pPr>
        <w:rPr>
          <w:rFonts w:hint="eastAsia"/>
          <w:highlight w:val="none"/>
          <w:lang w:val="en-US" w:eastAsia="zh-CN"/>
        </w:rPr>
      </w:pPr>
      <w:r>
        <w:rPr>
          <w:rFonts w:hint="eastAsia"/>
          <w:highlight w:val="none"/>
          <w:lang w:val="en-US" w:eastAsia="zh-CN"/>
        </w:rPr>
        <w:t>国家可持续发展实验区</w:t>
      </w:r>
    </w:p>
    <w:p w14:paraId="615DA050">
      <w:pPr>
        <w:rPr>
          <w:rFonts w:hint="eastAsia"/>
          <w:highlight w:val="none"/>
          <w:lang w:val="en-US" w:eastAsia="zh-CN"/>
        </w:rPr>
      </w:pPr>
      <w:r>
        <w:rPr>
          <w:rFonts w:hint="eastAsia"/>
          <w:highlight w:val="none"/>
          <w:lang w:val="en-US" w:eastAsia="zh-CN"/>
        </w:rPr>
        <w:t>中国“黄烟之乡”</w:t>
      </w:r>
    </w:p>
    <w:p w14:paraId="622D7D46">
      <w:pPr>
        <w:rPr>
          <w:rFonts w:hint="eastAsia"/>
          <w:highlight w:val="none"/>
          <w:lang w:val="en-US" w:eastAsia="zh-CN"/>
        </w:rPr>
      </w:pPr>
      <w:r>
        <w:rPr>
          <w:rFonts w:hint="eastAsia"/>
          <w:highlight w:val="none"/>
          <w:lang w:val="en-US" w:eastAsia="zh-CN"/>
        </w:rPr>
        <w:t>中国“银杏之乡”</w:t>
      </w:r>
    </w:p>
    <w:p w14:paraId="76FF45AC">
      <w:pPr>
        <w:rPr>
          <w:rFonts w:hint="eastAsia"/>
          <w:highlight w:val="none"/>
          <w:lang w:val="en-US" w:eastAsia="zh-CN"/>
        </w:rPr>
      </w:pPr>
      <w:r>
        <w:rPr>
          <w:rFonts w:hint="eastAsia"/>
          <w:highlight w:val="none"/>
          <w:lang w:val="en-US" w:eastAsia="zh-CN"/>
        </w:rPr>
        <w:t>中国“恐龙之乡”</w:t>
      </w:r>
    </w:p>
    <w:p w14:paraId="7DE75388">
      <w:pPr>
        <w:rPr>
          <w:rFonts w:hint="eastAsia"/>
          <w:highlight w:val="none"/>
          <w:lang w:val="en-US" w:eastAsia="zh-CN"/>
        </w:rPr>
      </w:pPr>
      <w:r>
        <w:rPr>
          <w:rFonts w:hint="eastAsia"/>
          <w:highlight w:val="none"/>
          <w:lang w:val="en-US" w:eastAsia="zh-CN"/>
        </w:rPr>
        <w:t>中国“特色竹乡”</w:t>
      </w:r>
    </w:p>
    <w:p w14:paraId="2B133B73">
      <w:pPr>
        <w:rPr>
          <w:rFonts w:hint="eastAsia"/>
          <w:highlight w:val="none"/>
          <w:lang w:val="en-US" w:eastAsia="zh-CN"/>
        </w:rPr>
      </w:pPr>
      <w:r>
        <w:rPr>
          <w:rFonts w:hint="eastAsia"/>
          <w:highlight w:val="none"/>
          <w:lang w:val="en-US" w:eastAsia="zh-CN"/>
        </w:rPr>
        <w:t>中国“姓氏文化名都”</w:t>
      </w:r>
    </w:p>
    <w:p w14:paraId="70839488">
      <w:pPr>
        <w:rPr>
          <w:rFonts w:hint="eastAsia"/>
          <w:highlight w:val="none"/>
          <w:lang w:val="en-US" w:eastAsia="zh-CN"/>
        </w:rPr>
      </w:pPr>
      <w:r>
        <w:rPr>
          <w:rFonts w:hint="eastAsia"/>
          <w:highlight w:val="none"/>
          <w:lang w:val="en-US" w:eastAsia="zh-CN"/>
        </w:rPr>
        <w:t>全国休闲农业与乡村旅游示范县</w:t>
      </w:r>
    </w:p>
    <w:p w14:paraId="08602E85">
      <w:pPr>
        <w:rPr>
          <w:rFonts w:hint="eastAsia"/>
          <w:highlight w:val="none"/>
          <w:lang w:val="en-US" w:eastAsia="zh-CN"/>
        </w:rPr>
      </w:pPr>
      <w:r>
        <w:rPr>
          <w:rFonts w:hint="eastAsia"/>
          <w:highlight w:val="none"/>
          <w:lang w:val="en-US" w:eastAsia="zh-CN"/>
        </w:rPr>
        <w:t>全国绿化模范单位</w:t>
      </w:r>
    </w:p>
    <w:p w14:paraId="48B25BE5">
      <w:pPr>
        <w:rPr>
          <w:rFonts w:hint="eastAsia"/>
          <w:highlight w:val="none"/>
          <w:lang w:val="en-US" w:eastAsia="zh-CN"/>
        </w:rPr>
      </w:pPr>
      <w:r>
        <w:rPr>
          <w:rFonts w:hint="eastAsia"/>
          <w:highlight w:val="none"/>
          <w:lang w:val="en-US" w:eastAsia="zh-CN"/>
        </w:rPr>
        <w:t>广东省“文明城市”</w:t>
      </w:r>
    </w:p>
    <w:p w14:paraId="5B76BBF7">
      <w:pPr>
        <w:rPr>
          <w:rFonts w:hint="eastAsia"/>
          <w:highlight w:val="none"/>
          <w:lang w:val="en-US" w:eastAsia="zh-CN"/>
        </w:rPr>
      </w:pPr>
      <w:r>
        <w:rPr>
          <w:rFonts w:hint="eastAsia"/>
          <w:highlight w:val="none"/>
          <w:lang w:val="en-US" w:eastAsia="zh-CN"/>
        </w:rPr>
        <w:t>广东省“卫生城市”</w:t>
      </w:r>
    </w:p>
    <w:p w14:paraId="648488C5">
      <w:pPr>
        <w:rPr>
          <w:rFonts w:hint="eastAsia"/>
          <w:highlight w:val="none"/>
          <w:lang w:val="en-US" w:eastAsia="zh-CN"/>
        </w:rPr>
      </w:pPr>
      <w:r>
        <w:rPr>
          <w:rFonts w:hint="eastAsia"/>
          <w:highlight w:val="none"/>
          <w:lang w:val="en-US" w:eastAsia="zh-CN"/>
        </w:rPr>
        <w:t>广东省“历史文化名城”</w:t>
      </w:r>
    </w:p>
    <w:p w14:paraId="7343F2E9">
      <w:pPr>
        <w:rPr>
          <w:highlight w:val="none"/>
        </w:rPr>
      </w:pPr>
      <w:r>
        <w:rPr>
          <w:rFonts w:hint="eastAsia"/>
          <w:highlight w:val="none"/>
          <w:lang w:val="en-US" w:eastAsia="zh-CN"/>
        </w:rPr>
        <w:t>广东省“林业生态县”</w:t>
      </w:r>
    </w:p>
    <w:p w14:paraId="14482D65">
      <w:pPr>
        <w:pStyle w:val="2"/>
        <w:bidi w:val="0"/>
        <w:rPr>
          <w:rFonts w:hint="eastAsia"/>
          <w:highlight w:val="none"/>
          <w:lang w:val="en-US" w:eastAsia="zh-CN"/>
        </w:rPr>
      </w:pPr>
      <w:r>
        <w:rPr>
          <w:rFonts w:hint="eastAsia"/>
          <w:highlight w:val="none"/>
          <w:lang w:val="en-US" w:eastAsia="zh-CN"/>
        </w:rPr>
        <w:t>2015年南雄数字</w:t>
      </w:r>
    </w:p>
    <w:p w14:paraId="2AAB7FD2">
      <w:pPr>
        <w:bidi w:val="0"/>
        <w:rPr>
          <w:rFonts w:hint="eastAsia"/>
          <w:highlight w:val="none"/>
        </w:rPr>
      </w:pPr>
      <w:r>
        <w:rPr>
          <w:rFonts w:hint="eastAsia"/>
          <w:highlight w:val="none"/>
        </w:rPr>
        <w:t>面积2326.18平方公里</w:t>
      </w:r>
    </w:p>
    <w:p w14:paraId="356E3B56">
      <w:pPr>
        <w:bidi w:val="0"/>
        <w:rPr>
          <w:rFonts w:hint="eastAsia"/>
          <w:highlight w:val="none"/>
        </w:rPr>
      </w:pPr>
      <w:r>
        <w:rPr>
          <w:rFonts w:hint="eastAsia"/>
          <w:highlight w:val="none"/>
        </w:rPr>
        <w:t>18个镇（街道）</w:t>
      </w:r>
    </w:p>
    <w:p w14:paraId="0DE60130">
      <w:pPr>
        <w:bidi w:val="0"/>
        <w:rPr>
          <w:rFonts w:hint="eastAsia"/>
          <w:highlight w:val="none"/>
        </w:rPr>
      </w:pPr>
      <w:r>
        <w:rPr>
          <w:rFonts w:hint="eastAsia"/>
          <w:highlight w:val="none"/>
        </w:rPr>
        <w:t>232个村（居）委会</w:t>
      </w:r>
    </w:p>
    <w:p w14:paraId="54119BDB">
      <w:pPr>
        <w:bidi w:val="0"/>
        <w:rPr>
          <w:rFonts w:hint="eastAsia"/>
          <w:highlight w:val="none"/>
        </w:rPr>
      </w:pPr>
      <w:r>
        <w:rPr>
          <w:rFonts w:hint="eastAsia"/>
          <w:highlight w:val="none"/>
        </w:rPr>
        <w:t>户籍人口48万</w:t>
      </w:r>
    </w:p>
    <w:p w14:paraId="722C3613">
      <w:pPr>
        <w:bidi w:val="0"/>
        <w:rPr>
          <w:rFonts w:hint="eastAsia"/>
          <w:highlight w:val="none"/>
        </w:rPr>
      </w:pPr>
      <w:r>
        <w:rPr>
          <w:rFonts w:hint="eastAsia"/>
          <w:highlight w:val="none"/>
        </w:rPr>
        <w:t>地区生产总值PGDP）125亿元</w:t>
      </w:r>
    </w:p>
    <w:p w14:paraId="07B9E6AC">
      <w:pPr>
        <w:bidi w:val="0"/>
        <w:rPr>
          <w:rFonts w:hint="eastAsia"/>
          <w:highlight w:val="none"/>
        </w:rPr>
      </w:pPr>
      <w:r>
        <w:rPr>
          <w:rFonts w:hint="eastAsia"/>
          <w:highlight w:val="none"/>
        </w:rPr>
        <w:t>固定资产投资106.9亿元</w:t>
      </w:r>
    </w:p>
    <w:p w14:paraId="7AE1AA6E">
      <w:pPr>
        <w:bidi w:val="0"/>
        <w:rPr>
          <w:rFonts w:hint="eastAsia"/>
          <w:highlight w:val="none"/>
        </w:rPr>
      </w:pPr>
      <w:r>
        <w:rPr>
          <w:rFonts w:hint="eastAsia"/>
          <w:highlight w:val="none"/>
        </w:rPr>
        <w:t>公共财政预算收入6亿元</w:t>
      </w:r>
    </w:p>
    <w:p w14:paraId="170AACA1">
      <w:pPr>
        <w:bidi w:val="0"/>
        <w:rPr>
          <w:rFonts w:hint="eastAsia"/>
          <w:highlight w:val="none"/>
        </w:rPr>
        <w:sectPr>
          <w:pgSz w:w="11906" w:h="16838"/>
          <w:pgMar w:top="1440" w:right="1753" w:bottom="1440" w:left="1753" w:header="851" w:footer="992" w:gutter="0"/>
          <w:cols w:space="720" w:num="1"/>
          <w:docGrid w:type="lines" w:linePitch="312" w:charSpace="0"/>
        </w:sectPr>
      </w:pPr>
      <w:r>
        <w:rPr>
          <w:rFonts w:hint="eastAsia"/>
          <w:highlight w:val="none"/>
        </w:rPr>
        <w:t>经济综合发展力位列全省28个山区县（市）第四</w:t>
      </w:r>
    </w:p>
    <w:p w14:paraId="0349ACC5">
      <w:pPr>
        <w:pStyle w:val="2"/>
        <w:bidi w:val="0"/>
        <w:rPr>
          <w:rFonts w:hint="eastAsia"/>
          <w:highlight w:val="none"/>
        </w:rPr>
      </w:pPr>
      <w:r>
        <w:rPr>
          <w:rFonts w:hint="eastAsia"/>
          <w:highlight w:val="none"/>
        </w:rPr>
        <w:t>2015年南雄成功</w:t>
      </w:r>
      <w:r>
        <w:rPr>
          <w:rFonts w:hint="eastAsia"/>
          <w:highlight w:val="none"/>
          <w:lang w:val="en-US" w:eastAsia="zh-CN"/>
        </w:rPr>
        <w:t>拿到</w:t>
      </w:r>
      <w:r>
        <w:rPr>
          <w:rFonts w:hint="eastAsia"/>
          <w:highlight w:val="none"/>
        </w:rPr>
        <w:t>项目</w:t>
      </w:r>
    </w:p>
    <w:p w14:paraId="734C6A20">
      <w:pPr>
        <w:rPr>
          <w:rFonts w:hint="eastAsia"/>
          <w:highlight w:val="none"/>
        </w:rPr>
      </w:pPr>
      <w:r>
        <w:rPr>
          <w:rFonts w:hint="eastAsia"/>
          <w:highlight w:val="none"/>
        </w:rPr>
        <w:t>国家电子商务进农村综合小范县</w:t>
      </w:r>
    </w:p>
    <w:p w14:paraId="7599B4C8">
      <w:pPr>
        <w:rPr>
          <w:rFonts w:hint="eastAsia"/>
          <w:highlight w:val="none"/>
        </w:rPr>
      </w:pPr>
      <w:r>
        <w:rPr>
          <w:rFonts w:hint="eastAsia"/>
          <w:highlight w:val="none"/>
        </w:rPr>
        <w:t>全国休闲农业与乡村旅游示范县</w:t>
      </w:r>
    </w:p>
    <w:p w14:paraId="4E0A9100">
      <w:pPr>
        <w:rPr>
          <w:rFonts w:hint="eastAsia"/>
          <w:highlight w:val="none"/>
        </w:rPr>
      </w:pPr>
      <w:r>
        <w:rPr>
          <w:rFonts w:hint="eastAsia"/>
          <w:highlight w:val="none"/>
        </w:rPr>
        <w:t>省新型城镇化“2511”综合试点县</w:t>
      </w:r>
    </w:p>
    <w:p w14:paraId="1D41238D">
      <w:pPr>
        <w:rPr>
          <w:rFonts w:hint="eastAsia"/>
          <w:highlight w:val="none"/>
        </w:rPr>
      </w:pPr>
      <w:r>
        <w:rPr>
          <w:rFonts w:hint="eastAsia"/>
          <w:highlight w:val="none"/>
        </w:rPr>
        <w:t>省级新农村示范片建设项目</w:t>
      </w:r>
    </w:p>
    <w:p w14:paraId="12F4CD3F">
      <w:pPr>
        <w:pStyle w:val="2"/>
        <w:bidi w:val="0"/>
        <w:rPr>
          <w:rFonts w:hint="eastAsia"/>
          <w:highlight w:val="none"/>
        </w:rPr>
      </w:pPr>
      <w:r>
        <w:rPr>
          <w:rFonts w:hint="eastAsia"/>
          <w:highlight w:val="none"/>
        </w:rPr>
        <w:t>南雄主要经济发展指标在韶关排位</w:t>
      </w:r>
    </w:p>
    <w:p w14:paraId="6E4C6C57">
      <w:pPr>
        <w:bidi w:val="0"/>
        <w:rPr>
          <w:highlight w:val="none"/>
        </w:rPr>
      </w:pPr>
      <w:r>
        <w:rPr>
          <w:highlight w:val="none"/>
          <w:lang w:val="en-US" w:eastAsia="zh-CN"/>
        </w:rPr>
        <w:t>2015年主要经济发展指标有</w:t>
      </w:r>
      <w:r>
        <w:rPr>
          <w:rFonts w:hint="default"/>
          <w:highlight w:val="none"/>
          <w:lang w:val="en-US" w:eastAsia="zh-CN"/>
        </w:rPr>
        <w:t>5</w:t>
      </w:r>
      <w:r>
        <w:rPr>
          <w:rFonts w:hint="eastAsia"/>
          <w:highlight w:val="none"/>
          <w:lang w:val="en-US" w:eastAsia="zh-CN"/>
        </w:rPr>
        <w:t>项在韶关各县（市）</w:t>
      </w:r>
    </w:p>
    <w:p w14:paraId="6F09AF76">
      <w:pPr>
        <w:bidi w:val="0"/>
        <w:rPr>
          <w:highlight w:val="none"/>
        </w:rPr>
      </w:pPr>
      <w:r>
        <w:rPr>
          <w:rFonts w:hint="eastAsia"/>
          <w:highlight w:val="none"/>
          <w:lang w:val="en-US" w:eastAsia="zh-CN"/>
        </w:rPr>
        <w:t>排名第一：</w:t>
      </w:r>
    </w:p>
    <w:p w14:paraId="19B6B34C">
      <w:pPr>
        <w:bidi w:val="0"/>
        <w:rPr>
          <w:highlight w:val="none"/>
        </w:rPr>
      </w:pPr>
      <w:r>
        <w:rPr>
          <w:rFonts w:hint="eastAsia"/>
          <w:highlight w:val="none"/>
          <w:lang w:val="en-US" w:eastAsia="zh-CN"/>
        </w:rPr>
        <w:t>地区生产总值P</w:t>
      </w:r>
      <w:r>
        <w:rPr>
          <w:rFonts w:hint="default"/>
          <w:highlight w:val="none"/>
          <w:lang w:val="en-US" w:eastAsia="zh-CN"/>
        </w:rPr>
        <w:t>GDP）</w:t>
      </w:r>
    </w:p>
    <w:p w14:paraId="47D3BA04">
      <w:pPr>
        <w:bidi w:val="0"/>
        <w:rPr>
          <w:highlight w:val="none"/>
        </w:rPr>
      </w:pPr>
      <w:r>
        <w:rPr>
          <w:rFonts w:hint="eastAsia"/>
          <w:highlight w:val="none"/>
          <w:lang w:val="en-US" w:eastAsia="zh-CN"/>
        </w:rPr>
        <w:t>规上工业增加值增速</w:t>
      </w:r>
    </w:p>
    <w:p w14:paraId="5CE9E7DD">
      <w:pPr>
        <w:bidi w:val="0"/>
        <w:rPr>
          <w:highlight w:val="none"/>
        </w:rPr>
      </w:pPr>
      <w:r>
        <w:rPr>
          <w:rFonts w:hint="eastAsia"/>
          <w:highlight w:val="none"/>
          <w:lang w:val="en-US" w:eastAsia="zh-CN"/>
        </w:rPr>
        <w:t>国税国内税收收入增速</w:t>
      </w:r>
    </w:p>
    <w:p w14:paraId="3CA9F15B">
      <w:pPr>
        <w:bidi w:val="0"/>
        <w:rPr>
          <w:highlight w:val="none"/>
        </w:rPr>
      </w:pPr>
      <w:r>
        <w:rPr>
          <w:rFonts w:hint="eastAsia"/>
          <w:highlight w:val="none"/>
          <w:lang w:val="en-US" w:eastAsia="zh-CN"/>
        </w:rPr>
        <w:t>省市共享“四税”收入增速</w:t>
      </w:r>
    </w:p>
    <w:p w14:paraId="428D0756">
      <w:pPr>
        <w:bidi w:val="0"/>
        <w:rPr>
          <w:highlight w:val="none"/>
        </w:rPr>
      </w:pPr>
      <w:r>
        <w:rPr>
          <w:rFonts w:hint="eastAsia"/>
          <w:highlight w:val="none"/>
          <w:lang w:val="en-US" w:eastAsia="zh-CN"/>
        </w:rPr>
        <w:t>一般公共预算支出</w:t>
      </w:r>
    </w:p>
    <w:p w14:paraId="15950058">
      <w:pPr>
        <w:bidi w:val="0"/>
        <w:rPr>
          <w:rFonts w:hint="eastAsia"/>
          <w:highlight w:val="none"/>
        </w:rPr>
        <w:sectPr>
          <w:pgSz w:w="11906" w:h="16838"/>
          <w:pgMar w:top="1440" w:right="1753" w:bottom="1440" w:left="1753" w:header="851" w:footer="992" w:gutter="0"/>
          <w:cols w:space="720" w:num="1"/>
          <w:docGrid w:type="lines" w:linePitch="312" w:charSpace="0"/>
        </w:sectPr>
      </w:pPr>
    </w:p>
    <w:p w14:paraId="48078F83">
      <w:pPr>
        <w:pStyle w:val="2"/>
        <w:bidi w:val="0"/>
        <w:rPr>
          <w:rFonts w:hint="eastAsia"/>
          <w:highlight w:val="none"/>
        </w:rPr>
      </w:pPr>
      <w:r>
        <w:rPr>
          <w:rFonts w:hint="eastAsia"/>
          <w:highlight w:val="none"/>
        </w:rPr>
        <w:t>特载</w:t>
      </w:r>
    </w:p>
    <w:p w14:paraId="3B9F6C84">
      <w:pPr>
        <w:pStyle w:val="3"/>
        <w:bidi w:val="0"/>
        <w:rPr>
          <w:rFonts w:hint="eastAsia"/>
          <w:highlight w:val="none"/>
        </w:rPr>
      </w:pPr>
      <w:r>
        <w:rPr>
          <w:rFonts w:hint="eastAsia"/>
          <w:highlight w:val="none"/>
        </w:rPr>
        <w:t>主动融入珠三角</w:t>
      </w:r>
      <w:r>
        <w:rPr>
          <w:rFonts w:hint="eastAsia"/>
          <w:highlight w:val="none"/>
        </w:rPr>
        <w:br w:type="textWrapping"/>
      </w:r>
      <w:r>
        <w:rPr>
          <w:rFonts w:hint="eastAsia"/>
          <w:highlight w:val="none"/>
        </w:rPr>
        <w:t>加快建设粤北门户城市</w:t>
      </w:r>
      <w:r>
        <w:rPr>
          <w:rFonts w:hint="eastAsia"/>
          <w:highlight w:val="none"/>
        </w:rPr>
        <w:br w:type="textWrapping"/>
      </w:r>
      <w:r>
        <w:rPr>
          <w:rFonts w:hint="eastAsia"/>
          <w:highlight w:val="none"/>
        </w:rPr>
        <w:t>（在市委十二届五次全会上的讲话）</w:t>
      </w:r>
      <w:r>
        <w:rPr>
          <w:rFonts w:hint="eastAsia"/>
          <w:highlight w:val="none"/>
        </w:rPr>
        <w:br w:type="textWrapping"/>
      </w:r>
      <w:r>
        <w:rPr>
          <w:rFonts w:hint="eastAsia"/>
          <w:highlight w:val="none"/>
        </w:rPr>
        <w:t>市委书记  曾风保</w:t>
      </w:r>
    </w:p>
    <w:p w14:paraId="618E4DBD">
      <w:pPr>
        <w:rPr>
          <w:rFonts w:hint="eastAsia" w:hAnsi="宋体" w:cs="宋体"/>
          <w:highlight w:val="none"/>
        </w:rPr>
      </w:pPr>
      <w:r>
        <w:rPr>
          <w:rFonts w:hint="eastAsia" w:hAnsi="宋体" w:cs="宋体"/>
          <w:highlight w:val="none"/>
        </w:rPr>
        <w:t>同志们：</w:t>
      </w:r>
    </w:p>
    <w:p w14:paraId="6CD89BFC">
      <w:pPr>
        <w:rPr>
          <w:rFonts w:hint="eastAsia" w:hAnsi="宋体" w:cs="宋体"/>
          <w:highlight w:val="none"/>
        </w:rPr>
      </w:pPr>
      <w:r>
        <w:rPr>
          <w:rFonts w:hint="eastAsia" w:hAnsi="宋体" w:cs="宋体"/>
          <w:highlight w:val="none"/>
        </w:rPr>
        <w:t>这次全会的主要任务是，深入贯彻党的十八届五中全会、省委十一届六次全会、韶关市委十一届八次全会和韶关市委工作会议精神，总结“十二五”时期尤其是2015年以来的工作，部署2016年的工作，并研究提出《中共南雄市委关于制定国民经济和社会发展第十三个五年规划的建议》。市委高度重视我市“十三五”规划《建议》的起草工作。去年初，市委、市政府按照省和韶关市有关精神作了安排部署，组织专门力量开展规划《建议》的起草工作，经过广泛征求意见并经市委常委会同意，形成了提交这次市委全会的讨论稿。碧安同志将对规划《建议（讨论稿）》作说明，希望大家高度重视，认真审议，提出意见。这次全会审议通过后，市政府将根据规划《建议》编制“十三五”《规划纲要》，各级各单位要认真贯彻落实，做好规划纲要和专项规划的编制工作。</w:t>
      </w:r>
    </w:p>
    <w:p w14:paraId="41E69AE0">
      <w:pPr>
        <w:rPr>
          <w:rFonts w:hint="eastAsia" w:hAnsi="宋体" w:cs="宋体"/>
          <w:highlight w:val="none"/>
        </w:rPr>
      </w:pPr>
      <w:r>
        <w:rPr>
          <w:rFonts w:hint="eastAsia" w:hAnsi="宋体" w:cs="宋体"/>
          <w:highlight w:val="none"/>
        </w:rPr>
        <w:t>下面，我代表市委常委会向全会作报告，请予审议。</w:t>
      </w:r>
    </w:p>
    <w:p w14:paraId="7365F6A0">
      <w:pPr>
        <w:pStyle w:val="4"/>
        <w:bidi w:val="0"/>
        <w:rPr>
          <w:rFonts w:hint="eastAsia"/>
          <w:highlight w:val="none"/>
        </w:rPr>
      </w:pPr>
      <w:r>
        <w:rPr>
          <w:rFonts w:hint="eastAsia"/>
          <w:highlight w:val="none"/>
        </w:rPr>
        <w:t>一、攻坚克难，锐意进取，全面完成“十二五”经济社会各项任务目标</w:t>
      </w:r>
    </w:p>
    <w:p w14:paraId="3DB78518">
      <w:pPr>
        <w:rPr>
          <w:rFonts w:hint="eastAsia" w:hAnsi="宋体" w:cs="宋体"/>
          <w:highlight w:val="none"/>
        </w:rPr>
      </w:pPr>
      <w:r>
        <w:rPr>
          <w:rFonts w:hint="eastAsia" w:hAnsi="宋体" w:cs="宋体"/>
          <w:highlight w:val="none"/>
        </w:rPr>
        <w:t>“十二五”时期是我市经济社会发展最快的五年。五年来，全市上下深入贯彻落实党的十八大以及历次全会和习近平总书记系列重要讲话精神，坚持以科学发展为主题，以加快转变发展方式为主线，按照“打苏区牌、走生态路”的工作思路，大力实施“六大战略”，统筹推进经济、政治、文化、社会、生态文明建设和党的建设，顺利完成“十二五”各项目标任务，为“十三五”加快发展奠定了坚实基础。2015年，完成生产总值125亿元，增长10</w:t>
      </w:r>
      <w:r>
        <w:rPr>
          <w:rFonts w:hint="eastAsia" w:ascii="MingLiU_HKSCS" w:hAnsi="MingLiU_HKSCS" w:eastAsia="MingLiU_HKSCS" w:cs="MingLiU_HKSCS"/>
          <w:highlight w:val="none"/>
        </w:rPr>
        <w:t>.</w:t>
      </w:r>
      <w:r>
        <w:rPr>
          <w:rFonts w:hint="eastAsia" w:hAnsi="宋体" w:cs="宋体"/>
          <w:highlight w:val="none"/>
        </w:rPr>
        <w:t>2%，五年年均增长13%，提前实现翻番目标；地方财政一般预算收入6亿元，增长7</w:t>
      </w:r>
      <w:r>
        <w:rPr>
          <w:rFonts w:hint="eastAsia" w:ascii="MingLiU_HKSCS" w:hAnsi="MingLiU_HKSCS" w:eastAsia="MingLiU_HKSCS" w:cs="MingLiU_HKSCS"/>
          <w:highlight w:val="none"/>
        </w:rPr>
        <w:t>.</w:t>
      </w:r>
      <w:r>
        <w:rPr>
          <w:rFonts w:hint="eastAsia" w:hAnsi="宋体" w:cs="宋体"/>
          <w:highlight w:val="none"/>
        </w:rPr>
        <w:t>6%，五年年均增长16</w:t>
      </w:r>
      <w:r>
        <w:rPr>
          <w:rFonts w:hint="eastAsia" w:ascii="MingLiU_HKSCS" w:hAnsi="MingLiU_HKSCS" w:eastAsia="MingLiU_HKSCS" w:cs="MingLiU_HKSCS"/>
          <w:highlight w:val="none"/>
        </w:rPr>
        <w:t>.</w:t>
      </w:r>
      <w:r>
        <w:rPr>
          <w:rFonts w:hint="eastAsia" w:hAnsi="宋体" w:cs="宋体"/>
          <w:highlight w:val="none"/>
        </w:rPr>
        <w:t>2%；三次产业比重由五年前的27</w:t>
      </w:r>
      <w:r>
        <w:rPr>
          <w:rFonts w:hint="eastAsia" w:ascii="MingLiU_HKSCS" w:hAnsi="MingLiU_HKSCS" w:eastAsia="MingLiU_HKSCS" w:cs="MingLiU_HKSCS"/>
          <w:highlight w:val="none"/>
        </w:rPr>
        <w:t>.</w:t>
      </w:r>
      <w:r>
        <w:rPr>
          <w:rFonts w:hint="eastAsia" w:hAnsi="宋体" w:cs="宋体"/>
          <w:highlight w:val="none"/>
        </w:rPr>
        <w:t>2 ∶28</w:t>
      </w:r>
      <w:r>
        <w:rPr>
          <w:rFonts w:hint="eastAsia" w:ascii="MingLiU_HKSCS" w:hAnsi="MingLiU_HKSCS" w:eastAsia="MingLiU_HKSCS" w:cs="MingLiU_HKSCS"/>
          <w:highlight w:val="none"/>
        </w:rPr>
        <w:t>.</w:t>
      </w:r>
      <w:r>
        <w:rPr>
          <w:rFonts w:hint="eastAsia" w:hAnsi="宋体" w:cs="宋体"/>
          <w:highlight w:val="none"/>
        </w:rPr>
        <w:t>4 ∶44</w:t>
      </w:r>
      <w:r>
        <w:rPr>
          <w:rFonts w:hint="eastAsia" w:ascii="MingLiU_HKSCS" w:hAnsi="MingLiU_HKSCS" w:eastAsia="MingLiU_HKSCS" w:cs="MingLiU_HKSCS"/>
          <w:highlight w:val="none"/>
        </w:rPr>
        <w:t>.</w:t>
      </w:r>
      <w:r>
        <w:rPr>
          <w:rFonts w:hint="eastAsia" w:hAnsi="宋体" w:cs="宋体"/>
          <w:highlight w:val="none"/>
        </w:rPr>
        <w:t>4调整为20</w:t>
      </w:r>
      <w:r>
        <w:rPr>
          <w:rFonts w:hint="eastAsia" w:ascii="MingLiU_HKSCS" w:hAnsi="MingLiU_HKSCS" w:eastAsia="MingLiU_HKSCS" w:cs="MingLiU_HKSCS"/>
          <w:highlight w:val="none"/>
        </w:rPr>
        <w:t>.</w:t>
      </w:r>
      <w:r>
        <w:rPr>
          <w:rFonts w:hint="eastAsia" w:hAnsi="宋体" w:cs="宋体"/>
          <w:highlight w:val="none"/>
        </w:rPr>
        <w:t>7 ∶40</w:t>
      </w:r>
      <w:r>
        <w:rPr>
          <w:rFonts w:hint="eastAsia" w:ascii="MingLiU_HKSCS" w:hAnsi="MingLiU_HKSCS" w:eastAsia="MingLiU_HKSCS" w:cs="MingLiU_HKSCS"/>
          <w:highlight w:val="none"/>
        </w:rPr>
        <w:t>.</w:t>
      </w:r>
      <w:r>
        <w:rPr>
          <w:rFonts w:hint="eastAsia" w:hAnsi="宋体" w:cs="宋体"/>
          <w:highlight w:val="none"/>
        </w:rPr>
        <w:t>1 ∶39</w:t>
      </w:r>
      <w:r>
        <w:rPr>
          <w:rFonts w:hint="eastAsia" w:ascii="MingLiU_HKSCS" w:hAnsi="MingLiU_HKSCS" w:eastAsia="MingLiU_HKSCS" w:cs="MingLiU_HKSCS"/>
          <w:highlight w:val="none"/>
        </w:rPr>
        <w:t>.</w:t>
      </w:r>
      <w:r>
        <w:rPr>
          <w:rFonts w:hint="eastAsia" w:hAnsi="宋体" w:cs="宋体"/>
          <w:highlight w:val="none"/>
        </w:rPr>
        <w:t>2。</w:t>
      </w:r>
    </w:p>
    <w:p w14:paraId="278B0311">
      <w:pPr>
        <w:bidi w:val="0"/>
        <w:rPr>
          <w:rFonts w:hint="eastAsia"/>
          <w:highlight w:val="none"/>
        </w:rPr>
      </w:pPr>
      <w:r>
        <w:rPr>
          <w:rFonts w:hint="eastAsia"/>
          <w:b/>
          <w:bCs/>
          <w:highlight w:val="none"/>
        </w:rPr>
        <w:t>（一）突出项目建设，工业经济主导地位更加凸</w:t>
      </w:r>
      <w:r>
        <w:rPr>
          <w:rFonts w:hint="eastAsia"/>
          <w:b/>
          <w:highlight w:val="none"/>
        </w:rPr>
        <w:t>显</w:t>
      </w:r>
      <w:r>
        <w:rPr>
          <w:rFonts w:hint="eastAsia"/>
          <w:b/>
          <w:highlight w:val="none"/>
          <w:lang w:val="en-US" w:eastAsia="zh-CN"/>
        </w:rPr>
        <w:t xml:space="preserve">  </w:t>
      </w:r>
      <w:r>
        <w:rPr>
          <w:rFonts w:hint="eastAsia"/>
          <w:highlight w:val="none"/>
        </w:rPr>
        <w:t>深入实施“项目落实年”活动，以项目大建设推动经济大发展。2015年全市共安排重点项目39个，累计完成投资40亿元。园区一期发展势头良好，实现工业总产值123亿元，增长26.6%；二期园区基础设施日益完善，并争取到省政府支持园区建设光伏发电项目。成功举行华电南雄热电联产工程奠基暨重点项目签约动工投产仪式，共有28个重点项目，总投资约145亿元。2015年，全市工业总产值达163.4亿元，增长18.9%，五年年均增长29.8%。工业占GDP的比重由“十一五”期末的19.2%提高到32.8%，工业主导地位更加凸显。</w:t>
      </w:r>
    </w:p>
    <w:p w14:paraId="706F3C2A">
      <w:pPr>
        <w:bidi w:val="0"/>
        <w:rPr>
          <w:rFonts w:hint="eastAsia"/>
          <w:highlight w:val="none"/>
        </w:rPr>
      </w:pPr>
      <w:r>
        <w:rPr>
          <w:rFonts w:hint="eastAsia"/>
          <w:b/>
          <w:bCs/>
          <w:highlight w:val="none"/>
        </w:rPr>
        <w:t>（二）突出龙头培育，农业产业化水平不断</w:t>
      </w:r>
      <w:r>
        <w:rPr>
          <w:rFonts w:hint="eastAsia"/>
          <w:b/>
          <w:highlight w:val="none"/>
        </w:rPr>
        <w:t>提高</w:t>
      </w:r>
      <w:r>
        <w:rPr>
          <w:rFonts w:hint="eastAsia"/>
          <w:b/>
          <w:highlight w:val="none"/>
          <w:lang w:val="en-US" w:eastAsia="zh-CN"/>
        </w:rPr>
        <w:t xml:space="preserve">  </w:t>
      </w:r>
      <w:r>
        <w:rPr>
          <w:rFonts w:hint="eastAsia"/>
          <w:highlight w:val="none"/>
        </w:rPr>
        <w:t>坚持以培育壮大农业龙头企业和提高农业组织化水平为抓手，逐步构建集约化、专业化、组织化、社会化相结合的新型农业经营体系。目前，全市共有7家省、市级农业龙头企业和487家农民专业合作社，已申请农业商标和“三品”认证共79个，现代烟草、优质稻、中草药、油茶和农土特加工等特色农业基地不断壮大。大力推广“公司＋基地+农户”模式，年均带动农户种植烟叶10万亩、优质稻40万亩，农业综合效应不断显现。灌区改造、中小河流专项治理、高标准基本农田项目顺利推进，农业基础设施不断完善。成为韶关首个获批2015年国家电子商务进农村综合示范县；成功竞得2016年省新农村示范片建设项目，获省财政1亿元资金补助。2015年，完成农业总产值42亿元，增长4%，五年年均增长8.5%。</w:t>
      </w:r>
    </w:p>
    <w:p w14:paraId="2466E5CF">
      <w:pPr>
        <w:bidi w:val="0"/>
        <w:rPr>
          <w:rFonts w:hint="eastAsia"/>
          <w:highlight w:val="none"/>
        </w:rPr>
      </w:pPr>
      <w:r>
        <w:rPr>
          <w:rFonts w:hint="eastAsia"/>
          <w:b/>
          <w:bCs/>
          <w:highlight w:val="none"/>
        </w:rPr>
        <w:t>（三）突出旅游发展，第三产业活力不断</w:t>
      </w:r>
      <w:r>
        <w:rPr>
          <w:rFonts w:hint="eastAsia"/>
          <w:b/>
          <w:highlight w:val="none"/>
        </w:rPr>
        <w:t>增强</w:t>
      </w:r>
      <w:r>
        <w:rPr>
          <w:rFonts w:hint="eastAsia"/>
          <w:b/>
          <w:highlight w:val="none"/>
          <w:lang w:val="en-US" w:eastAsia="zh-CN"/>
        </w:rPr>
        <w:t xml:space="preserve">  </w:t>
      </w:r>
      <w:r>
        <w:rPr>
          <w:rFonts w:hint="eastAsia"/>
          <w:highlight w:val="none"/>
        </w:rPr>
        <w:t>大力实施“旅游旺市”战略，狠抓旅游项目建设，以旅游为主的第三产业快速发展。珠玑—梅岭文化旅游片区、主田—江头生态休闲旅游片区和帽子峰—坪田生态体验旅游片区加快建设，两岸花博生态园、邓坊泉水谷漂流度假村建成开业，清景农业生态休闲旅游项目和孔江国家湿地公园试点建设加快，旅游产品不断丰富；成功举办第二届姓氏文化旅游节，南雄“姓氏名都”“银杏染秋”旅游品牌影响力显著提升；珠玑古巷游客服务中心建成投入使用，帽子峰、坪田停车场和旅游公路扩建基本完工，旅游配套设施不断完善。获评全国休闲农业与乡村旅游示范县，为韶关市唯一一个获评单位。2015年，接待游客337万人次，增长21.7%；实现旅游总收入24亿元，增长24.7%。在旅游经济带动下，第三产业发展活力不断增强，全市完成社会消费品零售总额45.6亿元，增长11.1%，五年年均增长13.2%。</w:t>
      </w:r>
    </w:p>
    <w:p w14:paraId="205B6C41">
      <w:pPr>
        <w:bidi w:val="0"/>
        <w:rPr>
          <w:rFonts w:hint="eastAsia"/>
          <w:highlight w:val="none"/>
        </w:rPr>
      </w:pPr>
      <w:r>
        <w:rPr>
          <w:rFonts w:hint="eastAsia"/>
          <w:b/>
          <w:bCs/>
          <w:highlight w:val="none"/>
        </w:rPr>
        <w:t>（四）突出扩容提质，生态城乡建设不断推进</w:t>
      </w:r>
      <w:r>
        <w:rPr>
          <w:rFonts w:hint="eastAsia"/>
          <w:b/>
          <w:highlight w:val="none"/>
        </w:rPr>
        <w:t>重点推进</w:t>
      </w:r>
      <w:r>
        <w:rPr>
          <w:rFonts w:hint="eastAsia"/>
          <w:b/>
          <w:highlight w:val="none"/>
          <w:lang w:val="en-US" w:eastAsia="zh-CN"/>
        </w:rPr>
        <w:t xml:space="preserve">  </w:t>
      </w:r>
      <w:r>
        <w:rPr>
          <w:rFonts w:hint="eastAsia"/>
          <w:highlight w:val="none"/>
        </w:rPr>
        <w:t>“一园一区一副中心”建设，城镇化率由“十一五”期末的35.4%提高到45.5%。中心城区扩容提质成效明显，南雄大市场一期建成开业，时代广场完工启用，雄州公园、大福名城等重点项目快速推进。北城区建设正式启动，北城大道已经动工，陵园路扩建工程全面展开。乌迳镇加快完善道路管网等城镇配套功能，着力打造城市“副中心”。成功争取广东省新型城镇化“2511”综合试点县；珠玑镇成功申报全国建制镇示范试点。全年完成造林5.5万亩，森林覆盖率达66.9%，创建“全国绿化模范县”顺利通过全国绿化委员会验收；环保工作不断加强，节能减排效果显著，城市生活无害化填埋场基本建成，珠玑、乌迳、黄坑三个中心镇污水处理厂已经建成，城乡居住环境不断改善。</w:t>
      </w:r>
    </w:p>
    <w:p w14:paraId="2EA83DC5">
      <w:pPr>
        <w:bidi w:val="0"/>
        <w:rPr>
          <w:rFonts w:hint="eastAsia"/>
          <w:highlight w:val="none"/>
        </w:rPr>
      </w:pPr>
      <w:r>
        <w:rPr>
          <w:rFonts w:hint="eastAsia"/>
          <w:b/>
          <w:bCs/>
          <w:highlight w:val="none"/>
        </w:rPr>
        <w:t>（五）突出亮点工作，民生事业发展不断</w:t>
      </w:r>
      <w:r>
        <w:rPr>
          <w:rFonts w:hint="eastAsia"/>
          <w:b/>
          <w:highlight w:val="none"/>
        </w:rPr>
        <w:t>加快</w:t>
      </w:r>
      <w:r>
        <w:rPr>
          <w:rFonts w:hint="eastAsia"/>
          <w:b/>
          <w:highlight w:val="none"/>
          <w:lang w:val="en-US" w:eastAsia="zh-CN"/>
        </w:rPr>
        <w:t xml:space="preserve">  </w:t>
      </w:r>
      <w:r>
        <w:rPr>
          <w:rFonts w:hint="eastAsia"/>
          <w:highlight w:val="none"/>
        </w:rPr>
        <w:t>坚持民生优先发展战略，以便民惠民为落脚点，以亮点工作为抓手，持续加大公共服务投入。2015年民生支出达21.8亿元，占公共财政预算支出的78.6%。政府承诺的九件实事基本完成。镇（街道）“十个一”和村“四个一”工作亮点纷呈，18个镇（街道）全部完成“五小场所”建设，实现行政村路灯全覆盖，建成农村居家养老服务示范点11个，农村生活垃圾收集处理基本实现常态化。教育事业加快发展，投资1.5亿元的新教育“四大”民生工程基本完工，实现教育强镇全覆盖，“国家义务教育发展基本均衡县”创建通过评估认定。文化体育事业加快发展。广泛深入开展群众性精神文明创建活动，积极培育和践行社会主义核心价值观，省文明城市创建成果进一步巩固。全市现有省级文明创建单位4个，韶关市级文明创建单位12个，珠玑镇被评为全国文明村镇、广东省文明镇。社会保障体系不断完善，医疗卫生服务和人口计生管理服务水平不断提高。农村普惠金融试点工作成效显著，行政村助农取款点全覆盖。新一轮扶贫开发“双到”工作扎实推进，落实帮扶资金4.5亿元，贫困群众生产生活环境不断改善。</w:t>
      </w:r>
    </w:p>
    <w:p w14:paraId="5335AC2F">
      <w:pPr>
        <w:bidi w:val="0"/>
        <w:rPr>
          <w:rFonts w:hint="eastAsia"/>
          <w:highlight w:val="none"/>
        </w:rPr>
      </w:pPr>
      <w:r>
        <w:rPr>
          <w:rFonts w:hint="eastAsia"/>
          <w:b/>
          <w:bCs/>
          <w:highlight w:val="none"/>
        </w:rPr>
        <w:t>（六）突出作风建设，党的建设科学化水平不</w:t>
      </w:r>
      <w:r>
        <w:rPr>
          <w:rFonts w:hint="eastAsia"/>
          <w:b/>
          <w:highlight w:val="none"/>
        </w:rPr>
        <w:t>断提高</w:t>
      </w:r>
      <w:r>
        <w:rPr>
          <w:rFonts w:hint="eastAsia"/>
          <w:b/>
          <w:highlight w:val="none"/>
          <w:lang w:val="en-US" w:eastAsia="zh-CN"/>
        </w:rPr>
        <w:t xml:space="preserve">  </w:t>
      </w:r>
      <w:r>
        <w:rPr>
          <w:rFonts w:hint="eastAsia"/>
          <w:highlight w:val="none"/>
        </w:rPr>
        <w:t>以改进工作作风、提高执政能力为主线，坚持每年一主题开展好专题教育实践活动，统筹抓好干部队伍、党风廉政和基层组织建设等各项工作。2015年在全市开展“双学双比”主题实践活动，作为践行“三严三实”专题教育的具体举措，重点解决领导干部为官不为、不敢担当、不愿担当等“不严不实”问题，引导各级领导干部始终保持敬业奉献、敢于担当、真抓实干、攻坚克难的精神，涌现出了一批“南雄榜样”，全市党员干部作风持续向好。落实中央八项规定和党政机关厉行节约反对浪费条例扎实有效，深入推进反腐倡廉教育和“廉洁南雄”创建活动，党员干部廉洁自律意识不断提高。广泛开展领导干部普遍直接联系群众活动，软弱涣散党组织整顿和“两新”组织单独组建工作效果明显，在广州、佛山建立了外出乡贤党支部，基层党建基础进一步夯实。“法治南雄”建设取得新成效，获“广东省法治县创建活动先进单位”荣誉称号。</w:t>
      </w:r>
    </w:p>
    <w:p w14:paraId="6D056213">
      <w:pPr>
        <w:bidi w:val="0"/>
        <w:rPr>
          <w:rFonts w:hint="eastAsia"/>
          <w:highlight w:val="none"/>
        </w:rPr>
      </w:pPr>
      <w:r>
        <w:rPr>
          <w:rFonts w:hint="eastAsia"/>
          <w:highlight w:val="none"/>
        </w:rPr>
        <w:t>回首过去，我们深感成绩来之不易。这是韶关市委、市政府坚强领导、大力支持的结果，更是我市全体党员干部群众勤奋履职，人大代表和政协委员参政助力，工、青、妇等群团组织积极参与的结果。总结过去的工作，我们主要有以下几点体会：</w:t>
      </w:r>
    </w:p>
    <w:p w14:paraId="623439C5">
      <w:pPr>
        <w:bidi w:val="0"/>
        <w:rPr>
          <w:rFonts w:hint="eastAsia"/>
          <w:highlight w:val="none"/>
        </w:rPr>
      </w:pPr>
      <w:r>
        <w:rPr>
          <w:rFonts w:hint="eastAsia"/>
          <w:b/>
          <w:bCs/>
          <w:highlight w:val="none"/>
        </w:rPr>
        <w:t>（一）真学是实现加快发展的</w:t>
      </w:r>
      <w:r>
        <w:rPr>
          <w:rFonts w:hint="eastAsia"/>
          <w:b/>
          <w:highlight w:val="none"/>
        </w:rPr>
        <w:t>重要基础</w:t>
      </w:r>
      <w:r>
        <w:rPr>
          <w:rFonts w:hint="eastAsia"/>
          <w:b/>
          <w:highlight w:val="none"/>
          <w:lang w:val="en-US" w:eastAsia="zh-CN"/>
        </w:rPr>
        <w:t xml:space="preserve">  </w:t>
      </w:r>
      <w:r>
        <w:rPr>
          <w:rFonts w:hint="eastAsia"/>
          <w:highlight w:val="none"/>
        </w:rPr>
        <w:t>面对经济发展的新常态新要求，我们坚持加强政治、经济、科技、法律、历史等知识的学习，尤其是重点学习习近平总书记系列重要讲话精神，着力提高政治理论水平，增强干事创业能力。同时，我们还组织领导干部到增城、东莞、肇庆、海南等地学习他人在经济社会发展、城市建设管理、新农村建设和乡村旅游发展等方面的先进经验。通过学习，我们的思路更加清晰，《南方日报》充分肯定南雄的发展定位和发展方向，新华社《内参选编》专门总结和推广我市村级居家养老中心建设经验。实践证明，只有加强学习，才能正确认识和适应新常态，准确把握经济发展的新规律、民生需求的新变化、</w:t>
      </w:r>
      <w:r>
        <w:rPr>
          <w:rFonts w:hint="eastAsia"/>
          <w:highlight w:val="none"/>
          <w:lang w:val="en-US" w:eastAsia="zh-CN"/>
        </w:rPr>
        <w:t>全面</w:t>
      </w:r>
      <w:r>
        <w:rPr>
          <w:rFonts w:hint="eastAsia"/>
          <w:highlight w:val="none"/>
        </w:rPr>
        <w:t>从严治党的新要求，从而找准工作的着力点，因势利导、顺势而为，加快推动经济社会发展。</w:t>
      </w:r>
    </w:p>
    <w:p w14:paraId="2437B11F">
      <w:pPr>
        <w:bidi w:val="0"/>
        <w:rPr>
          <w:rFonts w:hint="eastAsia"/>
          <w:highlight w:val="none"/>
        </w:rPr>
      </w:pPr>
      <w:r>
        <w:rPr>
          <w:rFonts w:hint="eastAsia"/>
          <w:b/>
          <w:bCs/>
          <w:highlight w:val="none"/>
        </w:rPr>
        <w:t>（二）真信是实现加快发展的关</w:t>
      </w:r>
      <w:r>
        <w:rPr>
          <w:rFonts w:hint="eastAsia"/>
          <w:b/>
          <w:highlight w:val="none"/>
        </w:rPr>
        <w:t>键所在</w:t>
      </w:r>
      <w:r>
        <w:rPr>
          <w:rFonts w:hint="eastAsia"/>
          <w:b/>
          <w:highlight w:val="none"/>
          <w:lang w:val="en-US" w:eastAsia="zh-CN"/>
        </w:rPr>
        <w:t xml:space="preserve">  </w:t>
      </w:r>
      <w:r>
        <w:rPr>
          <w:rFonts w:hint="eastAsia"/>
          <w:highlight w:val="none"/>
        </w:rPr>
        <w:t>信心是战胜一切困难的精神支柱和力量源泉。面对加快发展和保障民生的艰巨任务，特别是在经历南雄史无前例的廉政风波之时，我们没有畏难，没有退缩，而是怀着必胜的信心，变压力为动力，化挑战为机遇，凝聚和团结全市上下，心往一处想，劲往一处使，全力以赴投入到工作中，圆满完成各项任务目标。实践证明，只要坚定信心，思路正确，狠抓落实，我们就一定能够战胜困难，实现加快发展。</w:t>
      </w:r>
    </w:p>
    <w:p w14:paraId="03EEE82F">
      <w:pPr>
        <w:bidi w:val="0"/>
        <w:rPr>
          <w:rFonts w:hint="eastAsia"/>
          <w:highlight w:val="none"/>
        </w:rPr>
      </w:pPr>
      <w:r>
        <w:rPr>
          <w:rFonts w:hint="eastAsia"/>
          <w:b/>
          <w:bCs/>
          <w:highlight w:val="none"/>
        </w:rPr>
        <w:t>（三）真抓是实现加快发展的基</w:t>
      </w:r>
      <w:r>
        <w:rPr>
          <w:rFonts w:hint="eastAsia"/>
          <w:b/>
          <w:highlight w:val="none"/>
        </w:rPr>
        <w:t>本要求</w:t>
      </w:r>
      <w:r>
        <w:rPr>
          <w:rFonts w:hint="eastAsia"/>
          <w:b/>
          <w:highlight w:val="none"/>
          <w:lang w:val="en-US" w:eastAsia="zh-CN"/>
        </w:rPr>
        <w:t xml:space="preserve">  </w:t>
      </w:r>
      <w:r>
        <w:rPr>
          <w:rFonts w:hint="eastAsia"/>
          <w:highlight w:val="none"/>
        </w:rPr>
        <w:t>一分部署九分落实，执行能力是我们一切工作的生命力。我们把抓落实放在更加突出的位置，健全目标责任制，完善奖惩机制，加强督查督办，引导广大党员干部以强烈的责任担当意识，深入践行习</w:t>
      </w:r>
      <w:r>
        <w:rPr>
          <w:rFonts w:hint="eastAsia"/>
          <w:highlight w:val="none"/>
          <w:lang w:val="en-US" w:eastAsia="zh-CN"/>
        </w:rPr>
        <w:t>近平</w:t>
      </w:r>
      <w:r>
        <w:rPr>
          <w:rFonts w:hint="eastAsia"/>
          <w:highlight w:val="none"/>
        </w:rPr>
        <w:t>总书记“马上就办、真抓实干”的工作理念，把心思用在工作上、身子扑在事业上，形成主动谋事、勇于担当、锲而不舍、真抓实干的干事创业氛围，有效确保了市委、市政府决策部署得到不折不扣的贯彻落实。尤其是在推进重点项目建设中，干部敢担当、愿担当的优良作风得到充分体现。</w:t>
      </w:r>
    </w:p>
    <w:p w14:paraId="7D5B6AEF">
      <w:pPr>
        <w:bidi w:val="0"/>
        <w:rPr>
          <w:rFonts w:hint="eastAsia"/>
          <w:highlight w:val="none"/>
        </w:rPr>
      </w:pPr>
      <w:r>
        <w:rPr>
          <w:rFonts w:hint="eastAsia"/>
          <w:b/>
          <w:bCs/>
          <w:highlight w:val="none"/>
        </w:rPr>
        <w:t>（四）真干是实现加快发展的根本</w:t>
      </w:r>
      <w:r>
        <w:rPr>
          <w:rFonts w:hint="eastAsia"/>
          <w:b/>
          <w:highlight w:val="none"/>
        </w:rPr>
        <w:t>途径</w:t>
      </w:r>
      <w:r>
        <w:rPr>
          <w:rFonts w:hint="eastAsia"/>
          <w:b/>
          <w:highlight w:val="none"/>
          <w:lang w:val="en-US" w:eastAsia="zh-CN"/>
        </w:rPr>
        <w:t xml:space="preserve">  </w:t>
      </w:r>
      <w:r>
        <w:rPr>
          <w:rFonts w:hint="eastAsia"/>
          <w:highlight w:val="none"/>
        </w:rPr>
        <w:t>说一千道一万，不如脚踏实地认真干。我们通过开展“双学双比”主题实践活动，引导各级党员干部和群众深入践行“三严三实”，围绕市委、市政府决策部署，找准工作重心，创新工作思路，不讲价、不推诿、不等靠，实干、巧干、马上干，推动各项工作取得新进展、实现新突破。我们的工作思路、举措，尤其是成效，《南方》杂志专门出增刊总结推广。实践证明，一切难题，只有在真干中才能破解；一切愿景，只有在真干中才能实现。</w:t>
      </w:r>
    </w:p>
    <w:p w14:paraId="448D9DED">
      <w:pPr>
        <w:bidi w:val="0"/>
        <w:rPr>
          <w:rFonts w:hint="eastAsia"/>
          <w:highlight w:val="none"/>
        </w:rPr>
      </w:pPr>
      <w:r>
        <w:rPr>
          <w:rFonts w:hint="eastAsia"/>
          <w:b/>
          <w:bCs/>
          <w:highlight w:val="none"/>
        </w:rPr>
        <w:t>（五）真成是实现加快发展的具体</w:t>
      </w:r>
      <w:r>
        <w:rPr>
          <w:rFonts w:hint="eastAsia"/>
          <w:b/>
          <w:highlight w:val="none"/>
        </w:rPr>
        <w:t>体现</w:t>
      </w:r>
      <w:r>
        <w:rPr>
          <w:rFonts w:hint="eastAsia"/>
          <w:b/>
          <w:highlight w:val="none"/>
          <w:lang w:val="en-US" w:eastAsia="zh-CN"/>
        </w:rPr>
        <w:t xml:space="preserve">  </w:t>
      </w:r>
      <w:r>
        <w:rPr>
          <w:rFonts w:hint="eastAsia"/>
          <w:highlight w:val="none"/>
        </w:rPr>
        <w:t>发展是解决一切问题的关键。我们坚持发展第一要务，通过真学、真信、真抓、真干，推动南雄经济社会发展取得了实实在在的成效，全市经济总量稳居韶关7个县域经济体第一，城乡基础实施不断完善，教育、文化、医疗、社会保障等民生事业加快发展，成功创建第十届省双拥模范县，广大干部群众享受到了实实在在的发展成果。今年，我市参加国家电子商务进农村综合示范县、省新型城镇化“2511”综合试点县、全国建制镇示范试点、省级新农村示范片等全国性和省级竞争性项目全部获得成功。实践证明，只有真正取得实效，才能检验干部、提升形象，才能取信于民、凝聚人心，最终形成全市上下一心、攻坚克难、推动发展的强大合力。</w:t>
      </w:r>
    </w:p>
    <w:p w14:paraId="1B406BF4">
      <w:pPr>
        <w:pStyle w:val="4"/>
        <w:bidi w:val="0"/>
        <w:rPr>
          <w:rFonts w:hint="eastAsia"/>
          <w:highlight w:val="none"/>
        </w:rPr>
      </w:pPr>
      <w:r>
        <w:rPr>
          <w:rFonts w:hint="eastAsia"/>
          <w:highlight w:val="none"/>
        </w:rPr>
        <w:t>二、审时度势，把握大局，科学谋划未来五年经济社会发展蓝图</w:t>
      </w:r>
    </w:p>
    <w:p w14:paraId="7226F476">
      <w:pPr>
        <w:bidi w:val="0"/>
        <w:rPr>
          <w:rFonts w:hint="eastAsia"/>
          <w:highlight w:val="none"/>
        </w:rPr>
      </w:pPr>
      <w:r>
        <w:rPr>
          <w:rFonts w:hint="eastAsia"/>
          <w:highlight w:val="none"/>
        </w:rPr>
        <w:t>“十三五”是全面建成小康社会决战决胜的五年，也是深入贯彻落实“四个全面”战略布局、实现我市经济社会发展新跨越的关键五年。科学谋划和制定“十三五”规划，事关长远，意义重大。各级各部门要高度重视，必须坚决贯彻中央、省委和韶关市委的决策部署，准确分析发展形势，把握发展定位，以“创新、协调、绿色、开放、共享”五大发展理念为引领，着眼于加快融入珠三角，科学系统谋划好未来五年经济社会发展蓝图。</w:t>
      </w:r>
    </w:p>
    <w:p w14:paraId="1FDDCD41">
      <w:pPr>
        <w:bidi w:val="0"/>
        <w:rPr>
          <w:rFonts w:hint="eastAsia"/>
          <w:highlight w:val="none"/>
        </w:rPr>
      </w:pPr>
      <w:r>
        <w:rPr>
          <w:rFonts w:hint="eastAsia"/>
          <w:highlight w:val="none"/>
        </w:rPr>
        <w:t>首先，要认真分析“十三五”经济社会发展形势。从国际上看，和平与发展仍是时代的主题，未来五年，新兴经济体国家仍将是全球经济的重要增长极，世界经济总体于我们有利。从国内看，经济发展长期向好的基本面没有变，新的经济增长点和新的经济增长动力正在加快形成并不断积蓄力量，我国经济发展前景十分广阔。从全省看，经济结构战略性调整和产业转型升级将进一步加快，珠三角对口帮扶粤东西北地区的力度不断加大，粤东西北振兴发展战略将在“十三五”期间得到彻底贯彻执行，我市将迎来前所未有的发展机遇。从韶关和我市实际来看，韶关确立了“主动融入珠三角”的总战略，我市拥有丰富的自然资源禀赋、较好的产业发展基础、良好的交通区位优势，特别是有7000多万广府人以及众多集中在珠三角的外出乡贤这一最突出的人文资源优势，融入珠三角具备非常好的基础和条件，发展潜力和发展后劲巨大。</w:t>
      </w:r>
    </w:p>
    <w:p w14:paraId="45DBC359">
      <w:pPr>
        <w:bidi w:val="0"/>
        <w:rPr>
          <w:rFonts w:hint="eastAsia"/>
          <w:highlight w:val="none"/>
        </w:rPr>
      </w:pPr>
      <w:r>
        <w:rPr>
          <w:rFonts w:hint="eastAsia"/>
          <w:highlight w:val="none"/>
        </w:rPr>
        <w:t>其次，要从宏观上把握好以下几个重要问题。</w:t>
      </w:r>
    </w:p>
    <w:p w14:paraId="31D5D0A4">
      <w:pPr>
        <w:bidi w:val="0"/>
        <w:rPr>
          <w:rFonts w:hint="eastAsia"/>
          <w:highlight w:val="none"/>
        </w:rPr>
      </w:pPr>
      <w:r>
        <w:rPr>
          <w:rFonts w:hint="eastAsia"/>
          <w:b/>
          <w:bCs/>
          <w:highlight w:val="none"/>
        </w:rPr>
        <w:t>（一）要牢牢把握全面建成小康社会的</w:t>
      </w:r>
      <w:r>
        <w:rPr>
          <w:rFonts w:hint="eastAsia"/>
          <w:b/>
          <w:highlight w:val="none"/>
        </w:rPr>
        <w:t>总目标</w:t>
      </w:r>
      <w:r>
        <w:rPr>
          <w:rFonts w:hint="eastAsia"/>
          <w:b/>
          <w:highlight w:val="none"/>
          <w:lang w:val="en-US" w:eastAsia="zh-CN"/>
        </w:rPr>
        <w:t xml:space="preserve">  </w:t>
      </w:r>
      <w:r>
        <w:rPr>
          <w:rFonts w:hint="eastAsia"/>
          <w:highlight w:val="none"/>
        </w:rPr>
        <w:t>党的十八大明确到2020年实现全面建成小康社会的宏伟目标，省委提出要在全国率先全面建成小康社会。我市作为粤北欠发达地区，近年来虽然经济始终保持较快增长，但经济规模仍然偏小，一些重要发展指标与全国相比仍有不小的差距。尤其是人均GDP水平与全国差距较大。按照测算，要如期实现全面建成小康社会的总目标，“十三五”时期我市GDP总量必须保持年均增长11%左右，任务非常艰巨。为此，全市上下要紧紧围绕全面建成小康社会总目标，切实把思想统一到加快发展上，把心思集中到加快发展上，把力量凝聚到加快发展上，坚定信心、攻坚克难，确保与全国同步全面建成小康社会。</w:t>
      </w:r>
    </w:p>
    <w:p w14:paraId="74471CFA">
      <w:pPr>
        <w:bidi w:val="0"/>
        <w:rPr>
          <w:rFonts w:hint="eastAsia"/>
          <w:highlight w:val="none"/>
        </w:rPr>
      </w:pPr>
      <w:r>
        <w:rPr>
          <w:rFonts w:hint="eastAsia"/>
          <w:b/>
          <w:bCs/>
          <w:highlight w:val="none"/>
        </w:rPr>
        <w:t>（二）要牢牢把握主动融入珠三</w:t>
      </w:r>
      <w:r>
        <w:rPr>
          <w:rFonts w:hint="eastAsia"/>
          <w:b/>
          <w:highlight w:val="none"/>
        </w:rPr>
        <w:t>角的总战略</w:t>
      </w:r>
      <w:r>
        <w:rPr>
          <w:rFonts w:hint="eastAsia"/>
          <w:b/>
          <w:highlight w:val="none"/>
          <w:lang w:val="en-US" w:eastAsia="zh-CN"/>
        </w:rPr>
        <w:t xml:space="preserve">  </w:t>
      </w:r>
      <w:r>
        <w:rPr>
          <w:rFonts w:hint="eastAsia"/>
          <w:highlight w:val="none"/>
        </w:rPr>
        <w:t>韶关市在“十三五”规划中提出了“主动融入珠三角”的总战略。“总战略”既契合省委、省政府振兴发展粤东西北战略的谋篇布局，又符合我市加快发展的实际。近年来，随着交通基础设施的不断完善、产业基础的不断夯实，南雄融入珠三角已具备了良好的基础和条件。全市各级各部门要主动树立融入珠三角的思维，增强融入珠三角的意识，努力在理念、交通、产业、市场、人才等方面与珠三角全方位对接。同时，立足资源特色，发挥乡贤、环境等突出比较优势，加大招商引资力度，积极参与珠三角地区产业、市场分工，促进与珠三角地区生产要素合理流动和资源优化配置，形成与珠三角地区优势互补、错位发展、互利共赢的新局面。</w:t>
      </w:r>
    </w:p>
    <w:p w14:paraId="6D8A52CD">
      <w:pPr>
        <w:bidi w:val="0"/>
        <w:rPr>
          <w:rFonts w:hint="eastAsia"/>
          <w:highlight w:val="none"/>
        </w:rPr>
      </w:pPr>
      <w:r>
        <w:rPr>
          <w:rFonts w:hint="eastAsia"/>
          <w:b/>
          <w:bCs/>
          <w:highlight w:val="none"/>
        </w:rPr>
        <w:t>（三）要牢牢把握新常态</w:t>
      </w:r>
      <w:r>
        <w:rPr>
          <w:rFonts w:hint="eastAsia"/>
          <w:b/>
          <w:highlight w:val="none"/>
        </w:rPr>
        <w:t>的内在要求</w:t>
      </w:r>
      <w:r>
        <w:rPr>
          <w:rFonts w:hint="eastAsia"/>
          <w:b/>
          <w:highlight w:val="none"/>
          <w:lang w:val="en-US" w:eastAsia="zh-CN"/>
        </w:rPr>
        <w:t xml:space="preserve">  </w:t>
      </w:r>
      <w:r>
        <w:rPr>
          <w:rFonts w:hint="eastAsia"/>
          <w:highlight w:val="none"/>
        </w:rPr>
        <w:t>当前和今后一个时期，新常态已经成为我国经济社会发展最明显最突出的特征。我们必须深刻领会和准确把握中央、省委和韶关市委对经济形势的科学判断，正确认识新常态，主动适应新常态，积极引领新常态。新常态不是要求我们停滞不前不发展，而是要求我们推进经济发展方式从规模速度型粗放增长转向质量效益型集约增长；新常态不是要求我们自我减压慢发展，而是要求我们推进经济结构从增量扩能为主转向调优存量、做大做强增量并存的深度调整。就我市现状来看，发展不足、发展不快、发展不充分仍然是最大的问题，发展仍然是我们的第一要务。在新常态下抓发展，更加需要我们各级领导干部敢于担当、主动作为，努力实现经济发展“加速不减速”，经济质量“提高不降低”。</w:t>
      </w:r>
    </w:p>
    <w:p w14:paraId="79D455FF">
      <w:pPr>
        <w:bidi w:val="0"/>
        <w:rPr>
          <w:rFonts w:hint="eastAsia"/>
          <w:highlight w:val="none"/>
        </w:rPr>
      </w:pPr>
      <w:r>
        <w:rPr>
          <w:rFonts w:hint="eastAsia"/>
          <w:b/>
          <w:bCs/>
          <w:highlight w:val="none"/>
        </w:rPr>
        <w:t>（四）要牢牢把握南雄发展面</w:t>
      </w:r>
      <w:r>
        <w:rPr>
          <w:rFonts w:hint="eastAsia"/>
          <w:b/>
          <w:highlight w:val="none"/>
        </w:rPr>
        <w:t>临的新机遇</w:t>
      </w:r>
      <w:r>
        <w:rPr>
          <w:rFonts w:hint="eastAsia"/>
          <w:b/>
          <w:highlight w:val="none"/>
          <w:lang w:val="en-US" w:eastAsia="zh-CN"/>
        </w:rPr>
        <w:t xml:space="preserve">  </w:t>
      </w:r>
      <w:r>
        <w:rPr>
          <w:rFonts w:hint="eastAsia"/>
          <w:highlight w:val="none"/>
        </w:rPr>
        <w:t>虽然我市加快发展的任务重、挑战多，但我们面临的机遇也多。首先是我们的发展势头很好。2015年，我市GDP总量在韶关县域经济体中排名第一，经济总量对比2010年已经提前实现了翻番目标。产业转移园区发展迅速，生态旅游产业日益兴旺，新型城镇化进程不断加快，以华电南雄热电联产、中能建投风电场、彤置富水泥为主的重点项目顺利推进，发展后劲和发展潜力不断增强。前期良好的发展基础必将为我市带来后发优势。其次，是众多政策红利带来的发展机遇。南雄享有原中央苏区县、国家重点生态功能区、振兴粤东西北、省级产业转移园等众多含金量高的优惠政策。各镇（街道）各单位要继续发扬不怕苦、不畏难的精神，积极主动向上级争项目、争资金、争政策，为推动南雄加快发展增添强大动力。再次，是自然生态环境优越带来的绿色发展机遇。优美的自然生态环境为我市发展生态旅游、生态农业、生态工业，尤其是以风电、光伏发电为主的新能源产业提供了巨大的战略机遇。更为重要的是，我们锻造了一支勇于担当、善于干事、作风过硬的干部队伍，这是我们攻坚克难、干事创业的最坚强保障。</w:t>
      </w:r>
    </w:p>
    <w:p w14:paraId="31467AE4">
      <w:pPr>
        <w:pStyle w:val="4"/>
        <w:bidi w:val="0"/>
        <w:rPr>
          <w:rFonts w:hint="eastAsia"/>
          <w:highlight w:val="none"/>
        </w:rPr>
      </w:pPr>
      <w:r>
        <w:rPr>
          <w:rFonts w:hint="eastAsia"/>
          <w:highlight w:val="none"/>
        </w:rPr>
        <w:t>三、聚精会神谋发展，凝心聚力抓落实，为确保实现与全国同步全面建成小康社会奠定坚实基础</w:t>
      </w:r>
    </w:p>
    <w:p w14:paraId="35081BFE">
      <w:pPr>
        <w:bidi w:val="0"/>
        <w:rPr>
          <w:rFonts w:hint="eastAsia"/>
          <w:highlight w:val="none"/>
        </w:rPr>
      </w:pPr>
      <w:r>
        <w:rPr>
          <w:rFonts w:hint="eastAsia"/>
          <w:highlight w:val="none"/>
        </w:rPr>
        <w:t>2016年是“十三五”规划的开局之年，也是全面深化改革、全面推进小康社会建设的关键之年。认真做好今年工作意义重大。今年工作的指导思想和任务目标是：以邓小平理论、“三个代表”重要思想、科学发展观为指导，全面贯彻党的十八大、十八届三中、四中、五中全会以及省委十一届六次全会、韶关市委十一届八次全会和韶关市委工作会议精神，深入贯彻习近平总书记系列重要讲话精神，坚持创新、协调、绿色、开放、共享五大发展理念，以全面建设小康社会为总目标，按照“打苏区牌、走生态路，主动融入珠三角，加快建设粤北门户城市”的总思路，大力实施“工业强市、旅游旺市、民生优先、生态城乡、姓氏名都、法治南雄”六大战略，加快经济发展速度，提高经济增长质量，实现南雄发展新跨越。今年力争完成生产总值增长10%以上，地方财政一般预算收入增长6%以上，固定资产投资增长10%以上的发展目标。</w:t>
      </w:r>
    </w:p>
    <w:p w14:paraId="59780B49">
      <w:pPr>
        <w:bidi w:val="0"/>
        <w:rPr>
          <w:rFonts w:hint="eastAsia"/>
          <w:highlight w:val="none"/>
        </w:rPr>
      </w:pPr>
      <w:r>
        <w:rPr>
          <w:rFonts w:hint="eastAsia"/>
          <w:highlight w:val="none"/>
        </w:rPr>
        <w:t>重点抓好以下六方面工作：</w:t>
      </w:r>
    </w:p>
    <w:p w14:paraId="4741249D">
      <w:pPr>
        <w:bidi w:val="0"/>
        <w:rPr>
          <w:rFonts w:hint="eastAsia"/>
          <w:b/>
          <w:bCs/>
          <w:highlight w:val="none"/>
        </w:rPr>
      </w:pPr>
      <w:r>
        <w:rPr>
          <w:rFonts w:hint="eastAsia"/>
          <w:b/>
          <w:bCs/>
          <w:highlight w:val="none"/>
        </w:rPr>
        <w:t>（一）坚持创新发展，着力培育新的经济增长点</w:t>
      </w:r>
    </w:p>
    <w:p w14:paraId="09B722CF">
      <w:pPr>
        <w:bidi w:val="0"/>
        <w:rPr>
          <w:rFonts w:hint="eastAsia"/>
          <w:highlight w:val="none"/>
        </w:rPr>
      </w:pPr>
      <w:r>
        <w:rPr>
          <w:rFonts w:hint="eastAsia"/>
          <w:highlight w:val="none"/>
        </w:rPr>
        <w:t>大力实施创新驱动发展战略，坚持把创新作为推动经济发展方式转变、优化调整经济结构、促进产业转型升级的重要手段，推动经济社会加快发展。</w:t>
      </w:r>
    </w:p>
    <w:p w14:paraId="07733A1D">
      <w:pPr>
        <w:bidi w:val="0"/>
        <w:rPr>
          <w:rFonts w:hint="eastAsia"/>
          <w:highlight w:val="none"/>
        </w:rPr>
      </w:pPr>
      <w:r>
        <w:rPr>
          <w:rFonts w:hint="eastAsia"/>
          <w:highlight w:val="none"/>
        </w:rPr>
        <w:t>一要突出产业创新，加快发展新兴支柱产业。我市是原中央苏区县、国家重点生态功能区，面对加快发展和环境保护带来的双重压力，我们必须坚持“打苏区牌、走生态路”不动摇，加快产业转型升级，推进经济结构优化调整，大力培育生态工业、生态旅游、电商产业等战略性新兴支柱产业，以产业创新推动经济加快发展。生态工业方面，围绕建设粤北新能源基地，重点发展能源电力产业，着重抓好华电南雄热电联产、犁牛坪风电、梓杉坳风电和光伏发电等几个重大能源项目建设，确保项目如期建成投产；大力支持韶能集团珠玑纸业技术升级改造，以技术改造为抓手向高端产业链延伸，为实现“工业强市”奠定坚实基础。生态旅游方面，以构建南雄大旅游产业为目标，继续发力打造好珠玑—梅岭、帽子峰—坪田、主田—江头“三大”旅游片区。加快完善重点景区交通道路、餐饮住宿等配套服务设施。以创建全国休闲农业与乡村旅游示范县为契机，做大做优乡村特色旅游品牌，推动实现“旅游旺市”。电商产业方面，以创建电子商务进农村综合示范县为契机，依托韶赣铁路、高速公路，对接我市化工产品、五金建材、农土特产品等专业市场，引进知名物流企业，打造“专业市场+电商+物流”的商业模式，推动现代服务业加快发展。</w:t>
      </w:r>
    </w:p>
    <w:p w14:paraId="147777ED">
      <w:pPr>
        <w:bidi w:val="0"/>
        <w:rPr>
          <w:rFonts w:hint="eastAsia"/>
          <w:highlight w:val="none"/>
        </w:rPr>
      </w:pPr>
      <w:r>
        <w:rPr>
          <w:rFonts w:hint="eastAsia"/>
          <w:highlight w:val="none"/>
        </w:rPr>
        <w:t>二要突出科技创新，促进传统产业转型升级。科技创新是提升企业竞争力的根本保障。当前，我市精细化工、能源建材、浆纸制造、农产品加工等传统行业普遍存在科技含量低、产品开发能力弱、加工程度浅等问题，导致市场竞争力不强、经济效益不理想。要想从根本上扭转这一不利局面，必须坚持科技创新。要积极争取省、市科技部门的支持，力争建设好有机新材料专业孵化器，推动创新发展。要强化企业创新主体作用，引导企业加强科技投入和技术创新，鼓励有条件的企业设立研发中心。要充分利用好中科院广化所技术创新与育成中心这一产业研发平台，着力开发新工艺、新技术、新产品，打造一批拥有自主知识产权的化工行业一线品牌，做大做强园区经济总量。要加强农业科技创新，突出抓好以金友集团为主实施的广东现代农业示范基地建设，重点引进一批精深加工能力强、产品附加值高的农业科技型企业。要坚持“互联网+农业”模式，推动农副产品销售、消费服务创新，促进农业增效、农民增收。</w:t>
      </w:r>
    </w:p>
    <w:p w14:paraId="1D1B5715">
      <w:pPr>
        <w:bidi w:val="0"/>
        <w:rPr>
          <w:rFonts w:hint="eastAsia"/>
          <w:highlight w:val="none"/>
        </w:rPr>
      </w:pPr>
      <w:r>
        <w:rPr>
          <w:rFonts w:hint="eastAsia"/>
          <w:highlight w:val="none"/>
        </w:rPr>
        <w:t>三要突出制度创新，不断激发市场主体活力。加快推动有利于社会资本参与、民营企业发展的体制机制创新，不断激发市场主体活力，营造“大众创业、万众创新”的浓厚氛围。要创新行政审批服务制度，最大限度减少前置审批环节，变事前审批为事中事后监管。要创新企业投资管理体制。全面推进商事登记制度改革，放宽企业登记和审批条件，降低市场准入门槛。要创新投融资机制。在基础设施、公共服务等重点领域，大力推广政府与社会资本合作（PPP）模式，最大限度激发市场主体活力和发展潜力。</w:t>
      </w:r>
    </w:p>
    <w:p w14:paraId="501B1238">
      <w:pPr>
        <w:bidi w:val="0"/>
        <w:rPr>
          <w:rFonts w:hint="eastAsia"/>
          <w:b/>
          <w:bCs/>
          <w:highlight w:val="none"/>
        </w:rPr>
      </w:pPr>
      <w:r>
        <w:rPr>
          <w:rFonts w:hint="eastAsia"/>
          <w:b/>
          <w:bCs/>
          <w:highlight w:val="none"/>
        </w:rPr>
        <w:t>（二）坚持协调发展，着力推进城乡基本公共服务均等化</w:t>
      </w:r>
    </w:p>
    <w:p w14:paraId="772F5D4D">
      <w:pPr>
        <w:bidi w:val="0"/>
        <w:rPr>
          <w:rFonts w:hint="eastAsia"/>
          <w:highlight w:val="none"/>
        </w:rPr>
      </w:pPr>
      <w:r>
        <w:rPr>
          <w:rFonts w:hint="eastAsia"/>
          <w:highlight w:val="none"/>
        </w:rPr>
        <w:t>协调发展，是注重系统性、整体性和公平性的发展。坚持协调发展，重点是优化城乡资源配置，完善城乡服务功能，扎实推进城乡基本公共服务均等化，努力缩小城乡差距。</w:t>
      </w:r>
    </w:p>
    <w:p w14:paraId="045F1E44">
      <w:pPr>
        <w:bidi w:val="0"/>
        <w:rPr>
          <w:rFonts w:hint="eastAsia"/>
          <w:highlight w:val="none"/>
        </w:rPr>
      </w:pPr>
      <w:r>
        <w:rPr>
          <w:rFonts w:hint="eastAsia"/>
          <w:highlight w:val="none"/>
        </w:rPr>
        <w:t>一要扎实推进以人为核心的新型城镇化建设。以省将南雄列入新型城镇化“2511”综合试点县和韶关把南雄列入“3+1+2”“城市经济圈”为契机，按照“一园一区一副中心”的总体思路，大力推进中心城区扩容提质。重点是加快北城区建设。北城大道已于去年12月动工，各有关职能部门要进一步强化责任，加强协调，及时解决工程建设中遇到的困难和问题，确保如期完工；要加快陵园路扩建、安居工程建设</w:t>
      </w:r>
      <w:r>
        <w:rPr>
          <w:rFonts w:hint="eastAsia"/>
          <w:highlight w:val="none"/>
          <w:lang w:eastAsia="zh-CN"/>
        </w:rPr>
        <w:t>，</w:t>
      </w:r>
      <w:r>
        <w:rPr>
          <w:rFonts w:hint="eastAsia"/>
          <w:highlight w:val="none"/>
        </w:rPr>
        <w:t>力争今年内动工建设北城小学、北城幼儿园，完善北城区功能配套设施。同时，要加快建设一批特色小城镇。珠玑镇要以建制镇示范试点为契机，加快推动与中心城区同城化。乌迳镇要围绕打造城市副中心，着力完善城镇服务功能，增强产业、人口吸纳能力和辐射带动能力。其他镇要认真学习借鉴珠玑、邓坊、坪田新型城镇化试点经验，按照提高质量、节约用地、体现特色的小城镇发展要求，着力完善公共服务设施，发展成为服务农村、带动周边的特色小城镇。</w:t>
      </w:r>
    </w:p>
    <w:p w14:paraId="54D7CE39">
      <w:pPr>
        <w:bidi w:val="0"/>
        <w:rPr>
          <w:rFonts w:hint="eastAsia"/>
          <w:highlight w:val="none"/>
        </w:rPr>
      </w:pPr>
      <w:r>
        <w:rPr>
          <w:rFonts w:hint="eastAsia"/>
          <w:highlight w:val="none"/>
        </w:rPr>
        <w:t>二要扎实推进城乡基础设施建设。要统筹推进城乡基础设施建设，加大对农业、农村、农民的支持力度，使城乡居民均等享受公共财政所提供的公共服务产品。要狠抓交通基础设施建设。加快旅游景区公路、农村公路硬底化建设，打通城乡旅游公路的“毛细血管”。力争南雄至江西信丰段高速列入省高速公路网规划或省重点预备建设项目，争取明年动工。要继续推进小公园、小广场、小菜市场、小运动场、小停车场等“五小场所”建设，进一步提升群众幸福指数。要加快燃气管道、污水排污管网等公共配套设施建设，不断增强城市综合承载能力。要着力抓好中小河流治理、农田水利、机耕道路等农业农村基础设施建设，增强农业抗灾减灾能力，为农业农村加快发展夯实基础。</w:t>
      </w:r>
    </w:p>
    <w:p w14:paraId="63343582">
      <w:pPr>
        <w:bidi w:val="0"/>
        <w:rPr>
          <w:rFonts w:hint="eastAsia"/>
          <w:highlight w:val="none"/>
        </w:rPr>
      </w:pPr>
      <w:r>
        <w:rPr>
          <w:rFonts w:hint="eastAsia"/>
          <w:highlight w:val="none"/>
        </w:rPr>
        <w:t>三要扎实推进社会主义新农村建设。按照“生产发展、生活宽裕、乡风文明、村容整洁、管理民主”的要求，采取土地增减挂钩、土坯房危旧房改造、新型城镇化建设和镇村财力可持续增长等“四个结合”模式，加快新农村建设，努力把一批村庄建设成为农民的家园、市民的公园、游客的乐园。重点推进以“千年驿道、广府原乡”为主题的珠玑聪辈村、里东村等连片省级新农村示范片建设，突出绿色生态、广府文化、驿道古街、红色文化四大特色，完善道路设施、环保设施、公益设施和文化设施，着力把新农村示范片打造成为民心工程、样板工程、廉洁工程。要抓好列入全国旅游扶贫试点村的珠玑梅关村、梅岭村、石塘村和乌迳庙前村、南亩芙蓉村的旅游规划和帮扶，推动新农村建设和乡村旅游发展。同时，结合我市旅游开发和扶贫“双到”工作，谋划启动畲族新村建设，高标准打造具有浓郁风情特色的少数民族村寨，既传承少数民族文化，又推动农村经济发展。</w:t>
      </w:r>
    </w:p>
    <w:p w14:paraId="2D59BAAD">
      <w:pPr>
        <w:bidi w:val="0"/>
        <w:rPr>
          <w:rFonts w:hint="eastAsia"/>
          <w:highlight w:val="none"/>
        </w:rPr>
      </w:pPr>
      <w:r>
        <w:rPr>
          <w:rFonts w:hint="eastAsia"/>
          <w:highlight w:val="none"/>
        </w:rPr>
        <w:t>四要扎实推进精神文明建设。坚持协调发展，必须注重物质文明与精神文明“两手抓、两手都要硬”。要加大培育和践行社会主义核心价值观的公益宣传力度，传播正能量。要提炼“南雄人精神”，全面开展宣传和践行“南雄人精神”活动。要围绕建设“文化强市”目标，加快完善城乡公共文化基础设施和服务网络，加快镇村文化广场、文化站电子阅览室等便民文化设施的规划建设，不断满足人民群众的精神文化需求。深入开展精神文明创建活动，扎实推进省、市文明单位、文明村镇、文明窗口、文明社区创建工作，不断提升城乡居民文明素质，巩固省文明城市创建成果。积极推进军民融合发展，深化全民国防教育，深入开展双拥共建活动，巩固创建省双拥模范县工作成果。</w:t>
      </w:r>
    </w:p>
    <w:p w14:paraId="5ECFEF8C">
      <w:pPr>
        <w:bidi w:val="0"/>
        <w:rPr>
          <w:rFonts w:hint="eastAsia"/>
          <w:b/>
          <w:bCs/>
          <w:highlight w:val="none"/>
        </w:rPr>
      </w:pPr>
      <w:r>
        <w:rPr>
          <w:rFonts w:hint="eastAsia"/>
          <w:b/>
          <w:bCs/>
          <w:highlight w:val="none"/>
        </w:rPr>
        <w:t>（三）坚持绿色发展，着力提高生态城乡建设水平</w:t>
      </w:r>
    </w:p>
    <w:p w14:paraId="274EE7D9">
      <w:pPr>
        <w:bidi w:val="0"/>
        <w:rPr>
          <w:rFonts w:hint="eastAsia"/>
          <w:highlight w:val="none"/>
        </w:rPr>
      </w:pPr>
      <w:r>
        <w:rPr>
          <w:rFonts w:hint="eastAsia"/>
          <w:highlight w:val="none"/>
        </w:rPr>
        <w:t>要牢固树立“绿水青山就是金山银山”的绿色发展理念，大力实施“生态城乡”战略，加快推动形成绿色发展方式和生活方式，努力建设天蓝、地绿、</w:t>
      </w:r>
      <w:r>
        <w:rPr>
          <w:rFonts w:hint="eastAsia"/>
          <w:highlight w:val="none"/>
          <w:shd w:val="clear"/>
        </w:rPr>
        <w:t>水净</w:t>
      </w:r>
      <w:r>
        <w:rPr>
          <w:rFonts w:hint="eastAsia"/>
          <w:highlight w:val="none"/>
        </w:rPr>
        <w:t>的美丽家园。</w:t>
      </w:r>
    </w:p>
    <w:p w14:paraId="41AFC884">
      <w:pPr>
        <w:bidi w:val="0"/>
        <w:rPr>
          <w:rFonts w:hint="eastAsia"/>
          <w:highlight w:val="none"/>
        </w:rPr>
      </w:pPr>
      <w:r>
        <w:rPr>
          <w:rFonts w:hint="eastAsia"/>
          <w:highlight w:val="none"/>
        </w:rPr>
        <w:t>一要全面实施生态保护和修复工程。坚持“多种树、少砍木、严管护”方针，大力推进森林碳汇、生态景观林带、森林进城围城、乡村绿化美化四大重点林业生态工程，持续改善自然生态功能。加快孔江国家湿地公园试点建设，确保今年6月顺利通过国家林业局验收。加快建设一批县级自然保护区和镇级森林公园，发动全社会的力量参与到植树造林行动中来，全面消灭宜林荒山。要强化林木采伐管理，压减林木采伐指标，确保森林资源实现稳定增长。要对森林资源严加管护，广泛宣传，着力提高广大群众保护森林资源的主动性、积极性，对破坏森林资源的违法犯罪行为要坚决打击，确保森林资源不受到任何破坏。</w:t>
      </w:r>
    </w:p>
    <w:p w14:paraId="0DD4B566">
      <w:pPr>
        <w:bidi w:val="0"/>
        <w:rPr>
          <w:rFonts w:hint="eastAsia"/>
          <w:highlight w:val="none"/>
        </w:rPr>
      </w:pPr>
      <w:r>
        <w:rPr>
          <w:rFonts w:hint="eastAsia"/>
          <w:highlight w:val="none"/>
        </w:rPr>
        <w:t>二要全面加大环境保护和治理力度。大力实施节能减排重点工程，强化城镇和园区污水处理厂日常监管，突出抓好珠玑纸业、涉重金属企业等重点耗能企业落实节能减排与污染防治措施，确保完成节能减排任务。加快工业、建筑、交通等领域的节能技术改造，坚决淘汰落后产能项目，限制高能耗企业发展。要节约集约利用水、土地等资源，大幅降低资源消耗强度。要加大种养业特别是规模化畜禽养殖污染防治力度。尤其要加大珠玑、坪田、主田、帽子峰等重点旅游景区和村庄周边禽畜养殖污染整治力度，努力创造良好的旅游卫生环境。</w:t>
      </w:r>
    </w:p>
    <w:p w14:paraId="6874E262">
      <w:pPr>
        <w:bidi w:val="0"/>
        <w:rPr>
          <w:rFonts w:hint="eastAsia"/>
          <w:highlight w:val="none"/>
        </w:rPr>
      </w:pPr>
      <w:r>
        <w:rPr>
          <w:rFonts w:hint="eastAsia"/>
          <w:highlight w:val="none"/>
        </w:rPr>
        <w:t>三要全面构建绿色产业体系。围绕向绿色要发展、向绿色要效益，协同推进新型工业化、农业现代化和旅游服务业，努力构建低碳循环的绿色工业体系、生态有机的绿色农业体系、集约高效的绿色服务业体系，努力将生态优势转化为经济优势。要坚守生态环保红线，走低碳、循环新型工业化发展道路。要依托南雄特色农业、森林资源，立足生态，注重特色，融入文化，大力发展特色休闲生态观光产业。</w:t>
      </w:r>
    </w:p>
    <w:p w14:paraId="54B93B67">
      <w:pPr>
        <w:bidi w:val="0"/>
        <w:rPr>
          <w:rFonts w:hint="eastAsia"/>
          <w:b/>
          <w:bCs/>
          <w:highlight w:val="none"/>
        </w:rPr>
      </w:pPr>
      <w:r>
        <w:rPr>
          <w:rFonts w:hint="eastAsia"/>
          <w:b/>
          <w:bCs/>
          <w:highlight w:val="none"/>
        </w:rPr>
        <w:t>（四）坚持开放发展，着力加快融入珠三角</w:t>
      </w:r>
    </w:p>
    <w:p w14:paraId="1797CCB3">
      <w:pPr>
        <w:bidi w:val="0"/>
        <w:rPr>
          <w:rFonts w:hint="eastAsia"/>
          <w:highlight w:val="none"/>
        </w:rPr>
      </w:pPr>
      <w:r>
        <w:rPr>
          <w:rFonts w:hint="eastAsia"/>
          <w:highlight w:val="none"/>
        </w:rPr>
        <w:t>要认真贯彻韶关市委关于主动融入珠三角加快发展的战略部署，以开放的思想、开放的心态，加快融入珠三角，加快建设粤北门户城市。</w:t>
      </w:r>
    </w:p>
    <w:p w14:paraId="7D329FA8">
      <w:pPr>
        <w:bidi w:val="0"/>
        <w:rPr>
          <w:rFonts w:hint="eastAsia"/>
          <w:highlight w:val="none"/>
        </w:rPr>
      </w:pPr>
      <w:r>
        <w:rPr>
          <w:rFonts w:hint="eastAsia"/>
          <w:highlight w:val="none"/>
        </w:rPr>
        <w:t>一要进一步解放思想，积极主动融入珠三角。近年来我市经济社会虽然保持较快增长，但总体水平仍然偏低，远远落后于珠三角地区。这里面有不少客观原因，但思想解放程度不够</w:t>
      </w:r>
      <w:r>
        <w:rPr>
          <w:rFonts w:hint="eastAsia"/>
          <w:highlight w:val="none"/>
          <w:lang w:eastAsia="zh-CN"/>
        </w:rPr>
        <w:t>，</w:t>
      </w:r>
      <w:r>
        <w:rPr>
          <w:rFonts w:hint="eastAsia"/>
          <w:highlight w:val="none"/>
        </w:rPr>
        <w:t>思想观念仍然落后是根本原因。要实现加快发展</w:t>
      </w:r>
      <w:r>
        <w:rPr>
          <w:rFonts w:hint="eastAsia"/>
          <w:highlight w:val="none"/>
          <w:lang w:eastAsia="zh-CN"/>
        </w:rPr>
        <w:t>，</w:t>
      </w:r>
      <w:r>
        <w:rPr>
          <w:rFonts w:hint="eastAsia"/>
          <w:highlight w:val="none"/>
        </w:rPr>
        <w:t>缩小与珠三角地区的发展差距</w:t>
      </w:r>
      <w:r>
        <w:rPr>
          <w:rFonts w:hint="eastAsia"/>
          <w:highlight w:val="none"/>
          <w:lang w:eastAsia="zh-CN"/>
        </w:rPr>
        <w:t>，</w:t>
      </w:r>
      <w:r>
        <w:rPr>
          <w:rFonts w:hint="eastAsia"/>
          <w:highlight w:val="none"/>
        </w:rPr>
        <w:t>就必须坚持解放思想</w:t>
      </w:r>
      <w:r>
        <w:rPr>
          <w:rFonts w:hint="eastAsia"/>
          <w:highlight w:val="none"/>
          <w:lang w:eastAsia="zh-CN"/>
        </w:rPr>
        <w:t>，</w:t>
      </w:r>
      <w:r>
        <w:rPr>
          <w:rFonts w:hint="eastAsia"/>
          <w:highlight w:val="none"/>
        </w:rPr>
        <w:t>认真学习珠三角地区的先进理念。具体要做到“四对接四破除”</w:t>
      </w:r>
      <w:r>
        <w:rPr>
          <w:rFonts w:hint="eastAsia"/>
          <w:highlight w:val="none"/>
          <w:lang w:eastAsia="zh-CN"/>
        </w:rPr>
        <w:t>：</w:t>
      </w:r>
      <w:r>
        <w:rPr>
          <w:rFonts w:hint="eastAsia"/>
          <w:highlight w:val="none"/>
        </w:rPr>
        <w:t>对接珠三角的市场理念</w:t>
      </w:r>
      <w:r>
        <w:rPr>
          <w:rFonts w:hint="eastAsia"/>
          <w:highlight w:val="none"/>
          <w:lang w:eastAsia="zh-CN"/>
        </w:rPr>
        <w:t>，</w:t>
      </w:r>
      <w:r>
        <w:rPr>
          <w:rFonts w:hint="eastAsia"/>
          <w:highlight w:val="none"/>
        </w:rPr>
        <w:t>破除故步自封的思想；对接珠三角的创新理念</w:t>
      </w:r>
      <w:r>
        <w:rPr>
          <w:rFonts w:hint="eastAsia"/>
          <w:highlight w:val="none"/>
          <w:lang w:eastAsia="zh-CN"/>
        </w:rPr>
        <w:t>，</w:t>
      </w:r>
      <w:r>
        <w:rPr>
          <w:rFonts w:hint="eastAsia"/>
          <w:highlight w:val="none"/>
        </w:rPr>
        <w:t>破除墨守成规的思想；对接珠三角的竞争理念</w:t>
      </w:r>
      <w:r>
        <w:rPr>
          <w:rFonts w:hint="eastAsia"/>
          <w:highlight w:val="none"/>
          <w:lang w:eastAsia="zh-CN"/>
        </w:rPr>
        <w:t>，</w:t>
      </w:r>
      <w:r>
        <w:rPr>
          <w:rFonts w:hint="eastAsia"/>
          <w:highlight w:val="none"/>
        </w:rPr>
        <w:t>破除小富即安的思想；对接珠三角的开放理念，破除封闭自我的思想。通过先进理念、先进思想的对接</w:t>
      </w:r>
      <w:r>
        <w:rPr>
          <w:rFonts w:hint="eastAsia"/>
          <w:highlight w:val="none"/>
          <w:lang w:eastAsia="zh-CN"/>
        </w:rPr>
        <w:t>，</w:t>
      </w:r>
      <w:r>
        <w:rPr>
          <w:rFonts w:hint="eastAsia"/>
          <w:highlight w:val="none"/>
        </w:rPr>
        <w:t>进一步推动广大干部群众思想观念的大解放</w:t>
      </w:r>
      <w:r>
        <w:rPr>
          <w:rFonts w:hint="eastAsia"/>
          <w:highlight w:val="none"/>
          <w:lang w:eastAsia="zh-CN"/>
        </w:rPr>
        <w:t>，</w:t>
      </w:r>
      <w:r>
        <w:rPr>
          <w:rFonts w:hint="eastAsia"/>
          <w:highlight w:val="none"/>
        </w:rPr>
        <w:t>促进工作方式方法的大创新</w:t>
      </w:r>
      <w:r>
        <w:rPr>
          <w:rFonts w:hint="eastAsia"/>
          <w:highlight w:val="none"/>
          <w:lang w:eastAsia="zh-CN"/>
        </w:rPr>
        <w:t>，</w:t>
      </w:r>
      <w:r>
        <w:rPr>
          <w:rFonts w:hint="eastAsia"/>
          <w:highlight w:val="none"/>
        </w:rPr>
        <w:t>推动经济社会发展新跨越。</w:t>
      </w:r>
    </w:p>
    <w:p w14:paraId="7ED883A6">
      <w:pPr>
        <w:bidi w:val="0"/>
        <w:rPr>
          <w:rFonts w:hint="eastAsia"/>
          <w:highlight w:val="none"/>
        </w:rPr>
      </w:pPr>
      <w:r>
        <w:rPr>
          <w:rFonts w:hint="eastAsia"/>
          <w:highlight w:val="none"/>
        </w:rPr>
        <w:t>二要进一步加大招商引资力度，着力提升招商引资质量。要把招商引资工作摆在更加突出的位置，重点瞄准珠三角等发达地区，充分发挥乡贤优势，有针对性地“走出去、请进来”，着力引进一批科技型、环保型、创税型的大型工业项目。要加大重点产业招商力度，大力培育新能源、新材料、器械制造等重点产业，推动产业结构优化升级。同时，要把“南雄富不富，关键看服务”理念始终贯穿在经济发展过程中，继续实行四套班子领导成员和部门负责人挂钩联系企业制度，帮助企业解决困难和问题，努力营造优质高效的政务服务环境，增强招商引资工作实效。</w:t>
      </w:r>
    </w:p>
    <w:p w14:paraId="0D579E7B">
      <w:pPr>
        <w:bidi w:val="0"/>
        <w:rPr>
          <w:rFonts w:hint="eastAsia"/>
          <w:highlight w:val="none"/>
        </w:rPr>
      </w:pPr>
      <w:r>
        <w:rPr>
          <w:rFonts w:hint="eastAsia"/>
          <w:highlight w:val="none"/>
        </w:rPr>
        <w:t>三要进一步做好服务乡贤工作，广泛凝聚加快发展合力。外出乡贤是我市加快融入珠三角最突出的比较优势。我们有7000多万的广府人，有众多土生土长的南雄籍外出经商人员，还有一大批热爱家乡、经常与家乡保持密切联系的南雄籍从政人员。这些乡贤主要集中在广州等珠三角地区，他们在资金、信息、技术、人脉等方面有着天然的优势，对珠三角城市的经济、社会、政治等各方面都有较深的了解。我们要充分发挥好这一比较优势，利用每年的姓氏文化旅游节和外出乡贤经贸推介座谈会，进一步密切与乡贤的联系，凝聚乡贤力量，促进乡贤返乡投资，形成“资金回流、企业回迁、信息回传、人才回乡”的良好局面，推动南雄加快融入珠三角。</w:t>
      </w:r>
    </w:p>
    <w:p w14:paraId="33AB1B2D">
      <w:pPr>
        <w:bidi w:val="0"/>
        <w:rPr>
          <w:rFonts w:hint="eastAsia"/>
          <w:b/>
          <w:bCs/>
          <w:highlight w:val="none"/>
        </w:rPr>
      </w:pPr>
      <w:r>
        <w:rPr>
          <w:rFonts w:hint="eastAsia"/>
          <w:b/>
          <w:bCs/>
          <w:highlight w:val="none"/>
        </w:rPr>
        <w:t>（五）坚持共享发展，着力提高人民幸福生活指数</w:t>
      </w:r>
    </w:p>
    <w:p w14:paraId="499FEF0D">
      <w:pPr>
        <w:bidi w:val="0"/>
        <w:rPr>
          <w:rFonts w:hint="eastAsia"/>
          <w:highlight w:val="none"/>
        </w:rPr>
      </w:pPr>
      <w:r>
        <w:rPr>
          <w:rFonts w:hint="eastAsia"/>
          <w:highlight w:val="none"/>
        </w:rPr>
        <w:t>要始终坚持以人为本，切实保障和改善民生，着力解决群众最关心最直接的利益问题，让全市人民群众有更多获得感。</w:t>
      </w:r>
    </w:p>
    <w:p w14:paraId="00A9F09B">
      <w:pPr>
        <w:bidi w:val="0"/>
        <w:rPr>
          <w:rFonts w:hint="eastAsia"/>
          <w:highlight w:val="none"/>
        </w:rPr>
      </w:pPr>
      <w:r>
        <w:rPr>
          <w:rFonts w:hint="eastAsia"/>
          <w:highlight w:val="none"/>
        </w:rPr>
        <w:t>一要大力实施脱贫攻坚工程。全面建成小康社会必须消灭贫困。按照省现行扶贫标准，我市还有8600多贫困人口，扶贫攻坚任务非常艰巨。我们必须按照“精准扶贫、精准脱贫”的要求，坚决打赢这场脱贫攻坚战，确保2018年现行标准下的贫困人口全部脱贫。要认真制定三年精准扶贫、精准脱贫方案，做到“一户一策”，切实提高扶贫成效。要立足资源特色，大力扶持贫困村和贫困户发展产业、就业创业，实施精准产业扶贫。要充分发挥社会保障的兜底功能，统筹实施最低生活保障、特困人员供养、教育救助等各项救助机制，实施精准保障扶贫。要严格落实扶贫工作责任制，特别是要落实“一把手”第一责任人的责任，做到责任层层传导、工作项项落实，为脱贫攻坚提供坚强的政治保障。</w:t>
      </w:r>
    </w:p>
    <w:p w14:paraId="6175E51C">
      <w:pPr>
        <w:bidi w:val="0"/>
        <w:rPr>
          <w:rFonts w:hint="eastAsia"/>
          <w:highlight w:val="none"/>
        </w:rPr>
      </w:pPr>
      <w:r>
        <w:rPr>
          <w:rFonts w:hint="eastAsia"/>
          <w:highlight w:val="none"/>
        </w:rPr>
        <w:t>二要继续抓好各项社会事业建设。全面推进教育现代化建设步伐，优化教育资源配置，促进教育优质均衡，突出办好人民满意的教育。力争2016年春季全面完成搬迁重建新城中学等民生工程，2016年底完成新建古市中心小学、中心幼儿园。要深化医药卫生体制改革，优化医疗卫生资源机构布局，提高医疗服务水平。要实施更加积极的就业创业政策，大力推动大众创业、万众创新。要加快完善社会保障体系，努力扩大城乡居保、城镇居民基本医疗保险覆盖面。要注重底线民生，加快建立以公共财政投入为主、慈善捐助和社会帮扶为补充的底线民生保障多元化供给机制，让困难群众共享改革发展成果。要积极落实全面两孩政策，加强人口计生管理服务工作。要加快推进新博物馆、图书馆、文化馆和档案馆建设，不断提升公共文化服务水平。</w:t>
      </w:r>
    </w:p>
    <w:p w14:paraId="0962EB24">
      <w:pPr>
        <w:bidi w:val="0"/>
        <w:rPr>
          <w:rFonts w:hint="eastAsia"/>
          <w:highlight w:val="none"/>
        </w:rPr>
      </w:pPr>
      <w:r>
        <w:rPr>
          <w:rFonts w:hint="eastAsia"/>
          <w:highlight w:val="none"/>
        </w:rPr>
        <w:t>三要继续抓好镇村民生亮点工作。去年我们推行了镇“十个一”（4+x）、村“四个一”（2+x）的亮点工作模式，全市共完成1009件民生亮点工作，每个镇都完成了“五小场所”建设。实践证明，这种工作模式效果好，实实在在为群众办好了一批看得见、摸得着的好事实事，赢得了广大群众的肯定。今年要继续推行。今年镇一级的四个必选项目是建设好一个村级居家养老服务中心，协办好一个姓氏节，建设好一个村级公园或广场，打造好一个标兵党组织；村一级的两个必选项目是创建好一个清洁卫生自然村，修建好一条乡村便民新路或路灯。各镇（街道）要在去年工作的基础上，认真总结经验，学习先进典型，高标准、高质量完成今年目标任务。</w:t>
      </w:r>
    </w:p>
    <w:p w14:paraId="204ABDEC">
      <w:pPr>
        <w:bidi w:val="0"/>
        <w:rPr>
          <w:rFonts w:hint="eastAsia"/>
          <w:highlight w:val="none"/>
        </w:rPr>
      </w:pPr>
      <w:r>
        <w:rPr>
          <w:rFonts w:hint="eastAsia"/>
          <w:highlight w:val="none"/>
        </w:rPr>
        <w:t>四要继续扎实推进法治南雄建设。要牢固树立法治思维，自觉维护法律权威。各级领导干部要带头做尊法学法守法用法的模范，学会运用法治思维和法治方式开展工作，善于依靠法律手段解决经济社会发展中遇到的问题。要大力推进依法行政，建设法治政府。各级各部门要依法全面履行政府职能，健全依法决策机制，确保决策制度科学、程序正当、过程公开、责任明确。要加快建设法治社会。深入开展法治宣传教育，全面推进法治宣传教育进机关、进学校、进社区、进乡村、进企业，引导群众自觉守法、遇事找法、解决问题靠法。要健全依法维权和矛盾纠纷预防化解机制，加大重点领域和重大社会矛盾化解力度，积极引导群众理性表达诉求、依法维护权益，确保社会大局和谐稳定。</w:t>
      </w:r>
    </w:p>
    <w:p w14:paraId="0B8DEAD1">
      <w:pPr>
        <w:bidi w:val="0"/>
        <w:rPr>
          <w:rFonts w:hint="eastAsia"/>
          <w:b/>
          <w:bCs/>
          <w:highlight w:val="none"/>
        </w:rPr>
      </w:pPr>
      <w:r>
        <w:rPr>
          <w:rFonts w:hint="eastAsia"/>
          <w:b/>
          <w:bCs/>
          <w:highlight w:val="none"/>
        </w:rPr>
        <w:t>（六）坚持</w:t>
      </w:r>
      <w:r>
        <w:rPr>
          <w:rFonts w:hint="eastAsia"/>
          <w:b/>
          <w:bCs/>
          <w:highlight w:val="none"/>
          <w:lang w:val="en-US" w:eastAsia="zh-CN"/>
        </w:rPr>
        <w:t>全面</w:t>
      </w:r>
      <w:r>
        <w:rPr>
          <w:rFonts w:hint="eastAsia"/>
          <w:b/>
          <w:bCs/>
          <w:highlight w:val="none"/>
        </w:rPr>
        <w:t>从严治党，着力为实现跨越发展提供坚强组织保障</w:t>
      </w:r>
    </w:p>
    <w:p w14:paraId="344F009F">
      <w:pPr>
        <w:bidi w:val="0"/>
        <w:rPr>
          <w:rFonts w:hint="eastAsia"/>
          <w:highlight w:val="none"/>
        </w:rPr>
      </w:pPr>
      <w:r>
        <w:rPr>
          <w:rFonts w:hint="eastAsia"/>
          <w:highlight w:val="none"/>
        </w:rPr>
        <w:t>在新常态下，面对加快发展的重任，必须坚持党要管党，</w:t>
      </w:r>
      <w:r>
        <w:rPr>
          <w:rFonts w:hint="eastAsia"/>
          <w:highlight w:val="none"/>
          <w:lang w:val="en-US" w:eastAsia="zh-CN"/>
        </w:rPr>
        <w:t>全面</w:t>
      </w:r>
      <w:r>
        <w:rPr>
          <w:rFonts w:hint="eastAsia"/>
          <w:highlight w:val="none"/>
        </w:rPr>
        <w:t>从严治党，不断提高各级领导干部领导经济社会发展的能力。</w:t>
      </w:r>
    </w:p>
    <w:p w14:paraId="3CCE08E0">
      <w:pPr>
        <w:bidi w:val="0"/>
        <w:rPr>
          <w:rFonts w:hint="eastAsia"/>
          <w:highlight w:val="none"/>
        </w:rPr>
      </w:pPr>
      <w:r>
        <w:rPr>
          <w:rFonts w:hint="eastAsia"/>
          <w:highlight w:val="none"/>
        </w:rPr>
        <w:t>一要扎实推进领导班子和干部队伍建设。今年是换届年，要认真做好市、镇两级领导班子换届工作，一定要营造风清气正的好环境，选优配强领导班子。要围绕培养“政治强、懂专业、善治理、敢担当、作风正”的领导干部，强化干部教育培训。要大力弘扬崇尚实干、狠抓落实的工作作风，加大对“为官不为”的整治力度，对不敢担当、不敢负责、不敢作为的干部要问责，绝不能干多干少一个样，干好干坏一个样。要积极稳妥推进干部人事制度改革，在干部的选拔任用中注重道德、实绩、作风、廉政情况的考察，对工作实、作风正、业绩好的干部坚决予以重用，绝不搞论资排辈，充分调动各级领导干部的工作积极性、主动性和创造性。</w:t>
      </w:r>
    </w:p>
    <w:p w14:paraId="0E3D0D30">
      <w:pPr>
        <w:bidi w:val="0"/>
        <w:rPr>
          <w:rFonts w:hint="eastAsia"/>
          <w:highlight w:val="none"/>
        </w:rPr>
      </w:pPr>
      <w:r>
        <w:rPr>
          <w:rFonts w:hint="eastAsia"/>
          <w:highlight w:val="none"/>
        </w:rPr>
        <w:t>二要扎实推进基层党组织建设。要按照“抓点连线成片”的思路，大力实施基层党建“五大工程”，即实施“书记项目”工程、软弱涣散党组织“整治赶超”工程、“五强书记”建设工程、“标兵党支部”创建工程、“两新”组织“扩面提质”工程，扎实推进学习型、服务型、创新型党组织建设，充分发挥基层党组织在发展经济、致富群众方面的核心作用。建立健全领导干部驻点普遍直接联系群众制度，解决联系服务群众“最后一公里”问题。今年要在全市深入开展以“守规、守法、守诚信，爱民、爱党、爱国家”为主题的“三守三爱”基层党建活动，引导全市各级党员干部形成懂法守法、诚实守信、党群一心、共谋发展的浓厚氛围，提升基层党组织的凝聚力和战斗力。</w:t>
      </w:r>
    </w:p>
    <w:p w14:paraId="0BE092D1">
      <w:pPr>
        <w:bidi w:val="0"/>
        <w:rPr>
          <w:rFonts w:hint="eastAsia"/>
          <w:highlight w:val="none"/>
        </w:rPr>
      </w:pPr>
      <w:r>
        <w:rPr>
          <w:rFonts w:hint="eastAsia"/>
          <w:highlight w:val="none"/>
        </w:rPr>
        <w:t>三要扎实推进党风廉政建设。认真落实党风廉政建设党委主体责任和纪委监督责任，坚决把党要管党的政治责任落到实处，把纪律和规矩挺在前面，实践好执纪监督“四种形态”。要强化内控管理，加强领导班子内部运行机制建设，建立健全纪检监察、审计前移、人大视察、政协评议联动机制，加大重点领域、重要岗位、关键环节和基层一线的监管力度，强化风险防控。要深入贯彻执行八项规定精神等中央、省、市改进作风的系列规定，严控三公消费，规范公务接待，驰而不息纠正四风。要严厉查处各类违纪违法案件、损害群众利益的突出问题和各种不正之风，保持查办案件的高压态势。要认真学习贯彻《中国共产党廉洁自律准则》和《中国共产党纪律处分条例》，深刻领会精神实质，严格遵守，秉公用权，扎紧制度的笼子，着力构建不敢腐、不能腐、不想腐的体制机制，促进权力规范、透明、高效运行。</w:t>
      </w:r>
    </w:p>
    <w:p w14:paraId="76E22085">
      <w:pPr>
        <w:bidi w:val="0"/>
        <w:rPr>
          <w:rFonts w:hint="eastAsia"/>
          <w:highlight w:val="none"/>
        </w:rPr>
      </w:pPr>
      <w:r>
        <w:rPr>
          <w:rFonts w:hint="eastAsia"/>
          <w:highlight w:val="none"/>
        </w:rPr>
        <w:t>四要扎实推进民主政治建设。全力支持人大、政协依法按章程行使职权，拓展人大代表、政协委员知情、知政渠道，让人大代表、政协委员在推动发展、共建和谐中发挥更大作用。加强对“一府两院”的领导，强化工作保障，促进为民服务。坚持党管武装，强化国防基础和民兵预备役建设，营造全社会关心支持国防建设的浓厚氛围。积极整合工会、共青团、妇联、科协、工商联等群团组织的资源和力量，联动共建，助推发展。认真做好新时期的统战工作，凝聚力量，集中民智，全面增强团结奋进的强大合力，推动南雄加快发展。</w:t>
      </w:r>
    </w:p>
    <w:p w14:paraId="02BAE186">
      <w:pPr>
        <w:bidi w:val="0"/>
        <w:rPr>
          <w:rFonts w:hint="eastAsia"/>
          <w:highlight w:val="none"/>
        </w:rPr>
      </w:pPr>
      <w:r>
        <w:rPr>
          <w:rFonts w:hint="eastAsia"/>
          <w:highlight w:val="none"/>
        </w:rPr>
        <w:t>同志们，蓝图已经绘就，关键在抓落实。全市上下要坚定加快发展的信心和决心不动摇，主动融入珠三角，加快建设粤北门户城市，为实现与全国同步全面建成小康社会而努力奋斗！</w:t>
      </w:r>
    </w:p>
    <w:p w14:paraId="14D91071">
      <w:pPr>
        <w:pStyle w:val="3"/>
        <w:bidi w:val="0"/>
        <w:rPr>
          <w:rFonts w:hint="eastAsia"/>
          <w:highlight w:val="none"/>
        </w:rPr>
      </w:pPr>
      <w:r>
        <w:rPr>
          <w:highlight w:val="none"/>
        </w:rPr>
        <w:br w:type="page"/>
      </w:r>
      <w:r>
        <w:rPr>
          <w:rFonts w:hint="eastAsia"/>
          <w:highlight w:val="none"/>
        </w:rPr>
        <w:t>政府工作报告</w:t>
      </w:r>
      <w:r>
        <w:rPr>
          <w:rFonts w:hint="eastAsia"/>
          <w:highlight w:val="none"/>
        </w:rPr>
        <w:br w:type="textWrapping"/>
      </w:r>
      <w:r>
        <w:rPr>
          <w:rFonts w:hint="eastAsia"/>
          <w:highlight w:val="none"/>
        </w:rPr>
        <w:t>（2016年1月27日在南雄市第十四届人民代表大会第七次会议上）</w:t>
      </w:r>
      <w:r>
        <w:rPr>
          <w:rFonts w:hint="eastAsia"/>
          <w:highlight w:val="none"/>
        </w:rPr>
        <w:br w:type="textWrapping"/>
      </w:r>
      <w:r>
        <w:rPr>
          <w:rFonts w:hint="eastAsia"/>
          <w:highlight w:val="none"/>
        </w:rPr>
        <w:t>市长王碧安</w:t>
      </w:r>
    </w:p>
    <w:p w14:paraId="12161242">
      <w:pPr>
        <w:bidi w:val="0"/>
        <w:rPr>
          <w:rFonts w:hint="eastAsia"/>
          <w:highlight w:val="none"/>
        </w:rPr>
      </w:pPr>
      <w:r>
        <w:rPr>
          <w:rFonts w:hint="eastAsia"/>
          <w:highlight w:val="none"/>
        </w:rPr>
        <w:t>各位代表：</w:t>
      </w:r>
    </w:p>
    <w:p w14:paraId="091CDB66">
      <w:pPr>
        <w:bidi w:val="0"/>
        <w:rPr>
          <w:rFonts w:hint="eastAsia"/>
          <w:highlight w:val="none"/>
        </w:rPr>
      </w:pPr>
      <w:r>
        <w:rPr>
          <w:rFonts w:hint="eastAsia"/>
          <w:highlight w:val="none"/>
        </w:rPr>
        <w:t>我代表市人民政府</w:t>
      </w:r>
      <w:r>
        <w:rPr>
          <w:rFonts w:hint="eastAsia"/>
          <w:highlight w:val="none"/>
          <w:lang w:eastAsia="zh-CN"/>
        </w:rPr>
        <w:t>，</w:t>
      </w:r>
      <w:r>
        <w:rPr>
          <w:rFonts w:hint="eastAsia"/>
          <w:highlight w:val="none"/>
        </w:rPr>
        <w:t>向大会作工作报告，请予以审议，并请政协各位委员和其他列席人员提出意见。</w:t>
      </w:r>
    </w:p>
    <w:p w14:paraId="52AFD70B">
      <w:pPr>
        <w:pStyle w:val="4"/>
        <w:bidi w:val="0"/>
        <w:rPr>
          <w:rFonts w:hint="eastAsia"/>
          <w:highlight w:val="none"/>
        </w:rPr>
      </w:pPr>
      <w:r>
        <w:rPr>
          <w:rFonts w:hint="eastAsia"/>
          <w:highlight w:val="none"/>
        </w:rPr>
        <w:t>一、“十二五”时期和2015年工作回顾</w:t>
      </w:r>
    </w:p>
    <w:p w14:paraId="67C9A4EF">
      <w:pPr>
        <w:bidi w:val="0"/>
        <w:rPr>
          <w:rFonts w:hint="eastAsia"/>
          <w:highlight w:val="none"/>
        </w:rPr>
      </w:pPr>
      <w:r>
        <w:rPr>
          <w:rFonts w:hint="eastAsia"/>
          <w:highlight w:val="none"/>
        </w:rPr>
        <w:t>“十二五”时期是我市经济社会发展历程中极不平凡的五年。在市委的正确领导和市人大、市政协的监督支持下，全市上下认真贯彻落实习近平总书记系列重要讲话精神及省、韶关市的决策部署，积极抢抓原中央苏区县等重大政策机遇，加快推进工业强市等六大战略，基本完成了“十二五”规划主要目标任务，经济社会发展取得重大成就。</w:t>
      </w:r>
    </w:p>
    <w:p w14:paraId="36DA2FAB">
      <w:pPr>
        <w:bidi w:val="0"/>
        <w:rPr>
          <w:rFonts w:hint="eastAsia"/>
          <w:b/>
          <w:bCs/>
          <w:highlight w:val="none"/>
        </w:rPr>
      </w:pPr>
      <w:r>
        <w:rPr>
          <w:rFonts w:hint="eastAsia"/>
          <w:b/>
          <w:bCs/>
          <w:highlight w:val="none"/>
        </w:rPr>
        <w:t>（一）加快产业发展，综合实力不断增强</w:t>
      </w:r>
    </w:p>
    <w:p w14:paraId="05B30E40">
      <w:pPr>
        <w:bidi w:val="0"/>
        <w:rPr>
          <w:rFonts w:hint="eastAsia"/>
          <w:highlight w:val="none"/>
        </w:rPr>
      </w:pPr>
      <w:r>
        <w:rPr>
          <w:rFonts w:hint="eastAsia"/>
          <w:highlight w:val="none"/>
        </w:rPr>
        <w:t>“十二五”期间，我市生产总值和工业总产值突破“百亿元”大关，经济总量跃居韶关各县（市）首位。2015年，完成地区生产总值125亿元，是2010年的2.1倍，增长10.2%，增速在韶关各县（市、区）排名第二，五年年均增长13%；人均生产总值3.8万元，增长9.5%，五年年均增长12.6%；地方公共财政预算收入6亿元，增长7.6%，五年年均增长16.2%；固定资产投资106.9亿元，增长16.4%，五年年均增长15.7%；三次产业结构由2010年的27.2∶28.4∶44.4调整为20.7∶40.1∶39.2。</w:t>
      </w:r>
    </w:p>
    <w:p w14:paraId="3A0DF757">
      <w:pPr>
        <w:bidi w:val="0"/>
        <w:rPr>
          <w:rFonts w:hint="eastAsia"/>
          <w:highlight w:val="none"/>
        </w:rPr>
      </w:pPr>
      <w:r>
        <w:rPr>
          <w:rFonts w:hint="eastAsia"/>
          <w:highlight w:val="none"/>
        </w:rPr>
        <w:t>工业强市效应提升。华电南雄热电联产、彤置富水泥、犁牛坪风电、珠玑纸业本色纸等重点项目顺利推进，绿洲纸模、乐华陶瓷等重点企业深抓技改扩产。2015年，园区一期投试产企业85家，规模以上工业企业65家，完成工业总产值123亿元，是2010年的10.6倍；完成工业增加值30.1亿元，是2010年的9.9倍；工业总产值、增加值分别占全市工业比重为75.4%和73.3%；五年来，三次获得省产业园建设管理考评优秀等次，获得奖励资金2.7亿元。园区二期成功扩园，配套设施日趋完善。2015年，全市完成工业总产值163.4亿元，增长18.9%，五年年均增长29.8%；完成工业增加值41.1亿元，增长17.8%，五年年均增长27.6%。</w:t>
      </w:r>
    </w:p>
    <w:p w14:paraId="74BEBD2C">
      <w:pPr>
        <w:bidi w:val="0"/>
        <w:rPr>
          <w:rFonts w:hint="eastAsia"/>
          <w:highlight w:val="none"/>
        </w:rPr>
      </w:pPr>
      <w:r>
        <w:rPr>
          <w:rFonts w:hint="eastAsia"/>
          <w:highlight w:val="none"/>
        </w:rPr>
        <w:t>第三产业持续兴旺。2015年，接待游客337万人次，增长21.7%；旅游总收入23.7亿元，增长24.7%，五年年均分别增长25.3%和27.8%。两岸花博园、邓坊泉水谷漂流等旅游重点项目建成开业，珠玑、坪田、帽子峰景区停车场及珠玑游客服务中心投入使用，形成了珠玑·梅岭文化、主田生态休闲和帽子峰—坪田生态体验旅游片区。珠玑古巷·梅关古道被评为4A级景区，帽子峰森林公园被评为3A级景区。被评为全国休闲农业与乡村旅游示范县。建成大润发、大市场等一批大型消费平台，商贸流通业务实现跨越发展。2015年，社会消费品零售总额45.6亿元，增长11.1%，五年年均增长13.2%。电子商务新型业态得到发展，列为国家电子商务进农村综合示范县，获得扶持资金2000万元，电子商务创业园投入使用，建成镇村电子商务综合服务站（点）13个。农村普惠金融试点通过省验收。2015年末，各项贷款余额49.6亿元，比2010年增加34.6亿元，五年发放支农再贷款3.6亿元。</w:t>
      </w:r>
    </w:p>
    <w:p w14:paraId="0256CB16">
      <w:pPr>
        <w:bidi w:val="0"/>
        <w:rPr>
          <w:rFonts w:hint="eastAsia"/>
          <w:highlight w:val="none"/>
        </w:rPr>
      </w:pPr>
      <w:r>
        <w:rPr>
          <w:rFonts w:hint="eastAsia"/>
          <w:highlight w:val="none"/>
        </w:rPr>
        <w:t>农业经济稳步增长。2015年，完成农业总产值41.9亿元，增长4%，五年年均增长8.5%；实现农业增加值25.9亿元，增长4.2%，五年年均增长9.1%。成功竞得省级新农村示范片建设项目。“十二五”期间，特色农业、示范性家庭农场、农业龙头企业、农产品加工企业、农民专业合作社有了长足发展，一批农产品获得认证，评为全国粮食流通监督检查示范县。</w:t>
      </w:r>
    </w:p>
    <w:p w14:paraId="47641AB1">
      <w:pPr>
        <w:bidi w:val="0"/>
        <w:rPr>
          <w:rFonts w:hint="eastAsia"/>
          <w:b/>
          <w:bCs/>
          <w:highlight w:val="none"/>
        </w:rPr>
      </w:pPr>
      <w:r>
        <w:rPr>
          <w:rFonts w:hint="eastAsia"/>
          <w:b/>
          <w:bCs/>
          <w:highlight w:val="none"/>
        </w:rPr>
        <w:t>（二）夯实基础设施，城乡面貌不断改变</w:t>
      </w:r>
    </w:p>
    <w:p w14:paraId="20654A51">
      <w:pPr>
        <w:bidi w:val="0"/>
        <w:rPr>
          <w:rFonts w:hint="eastAsia"/>
          <w:highlight w:val="none"/>
        </w:rPr>
      </w:pPr>
      <w:r>
        <w:rPr>
          <w:rFonts w:hint="eastAsia"/>
          <w:highlight w:val="none"/>
        </w:rPr>
        <w:t>基础设施不断完善。2015年，国道G323线小梅关至头塘铺段升级改造基本完成，富俚至中里洞、主田旅游大道等公路建设快速推进，新建城乡道路近百公里；电网完成投资5300万元；农田水利设施完成投资2.3亿元，积极推进灌区节水改造、中小河流治理等36宗水利项目。“十二五”期间，交通设施投入38.4亿元，韶赣高速、赣韶铁路建成通车，南雄从此结束没有高速公路和铁路的历史，新建公路670多公里，公路密度96.4公里/百平方公里；农田水利、防洪减灾、水资源保障工程投入6亿元，改善灌溉面积40多万亩、建设高标准基本农田25万多亩、解决农村15万人饮水安全问题；电网工程投入2.5亿元，新建线路1100多公里；信息化网络覆盖了98%以上的自然村。</w:t>
      </w:r>
    </w:p>
    <w:p w14:paraId="0E0892BC">
      <w:pPr>
        <w:bidi w:val="0"/>
        <w:rPr>
          <w:rFonts w:hint="eastAsia"/>
          <w:highlight w:val="none"/>
        </w:rPr>
      </w:pPr>
      <w:r>
        <w:rPr>
          <w:rFonts w:hint="eastAsia"/>
          <w:highlight w:val="none"/>
        </w:rPr>
        <w:t>新型城镇化建设卓有成效。按照“一园一区一副中心”思路，全面推进新型城镇化，列入省新型城镇化“2511”综合试点县。中心城区扩容提质步伐加快，北城大道、陵园路扩建等重点工程有序推进。危旧房改造、棚户区改造和“三旧”改造顺利进行。时代广场休闲广场投入使用。雄州公园完成6.9公里园路建设，其他配套设施进展加快。大福名城、雄州壹品、时代广场等重点商住项目快速推进。城区面积达到12.4平方公里，城镇化率45.5%。“十二五”期间，新建2万平方米以上城市广场3个，建成保障性住房452套、商品住宅90.4万平方米，完成城区六大出口、教育路等市政道路升级改造和一批城市美化亮化工程。乌迳副中心建设稳步推进。珠玑镇获评全国文明镇，被列为全国建制镇示范试点，获得6000万元扶持资金，完善建制镇城镇功能的十个项目已经确定并顺利推进，与中心城区同城化进程加快。邓坊特色小城镇初具规模。湖口三水村、邓坊马战村等幸福村居建设基本完成。</w:t>
      </w:r>
    </w:p>
    <w:p w14:paraId="7A7FFE12">
      <w:pPr>
        <w:bidi w:val="0"/>
        <w:rPr>
          <w:rFonts w:hint="eastAsia"/>
          <w:highlight w:val="none"/>
        </w:rPr>
      </w:pPr>
      <w:r>
        <w:rPr>
          <w:rFonts w:hint="eastAsia"/>
          <w:b/>
          <w:bCs/>
          <w:highlight w:val="none"/>
        </w:rPr>
        <w:t>（三）加强环境保护，生态文明不断进步</w:t>
      </w:r>
    </w:p>
    <w:p w14:paraId="7973BEE8">
      <w:pPr>
        <w:bidi w:val="0"/>
        <w:rPr>
          <w:rFonts w:hint="eastAsia"/>
          <w:highlight w:val="none"/>
        </w:rPr>
      </w:pPr>
      <w:r>
        <w:rPr>
          <w:rFonts w:hint="eastAsia"/>
          <w:highlight w:val="none"/>
        </w:rPr>
        <w:t>林业生态体系逐步完善。大力实施生态城乡战略，逐步形成国家重点生态功能区。2015年，建立县级自然保护区2个、湿地公园1个，面积达8.8万亩以上，森林覆盖率达66.8%。“十二五”期间，投入1.3亿元，完成造林24万多亩，建成国家级湿地公园、省级自然保护区、省级森林公园各1个，生态公益林、湿地公园、森林公园、保护区面积达到115万亩，占全市国土面积33%，林业管理秩序良好，荣获“中国特色竹乡”和“省林业生态县（市</w:t>
      </w:r>
      <w:r>
        <w:rPr>
          <w:rFonts w:hint="eastAsia"/>
          <w:highlight w:val="none"/>
          <w:lang w:eastAsia="zh-CN"/>
        </w:rPr>
        <w:t>）</w:t>
      </w:r>
      <w:r>
        <w:rPr>
          <w:rFonts w:hint="eastAsia"/>
          <w:highlight w:val="none"/>
        </w:rPr>
        <w:t>”称号</w:t>
      </w:r>
      <w:r>
        <w:rPr>
          <w:rFonts w:hint="eastAsia"/>
          <w:highlight w:val="none"/>
          <w:lang w:eastAsia="zh-CN"/>
        </w:rPr>
        <w:t>，</w:t>
      </w:r>
      <w:r>
        <w:rPr>
          <w:rFonts w:hint="eastAsia"/>
          <w:highlight w:val="none"/>
        </w:rPr>
        <w:t>创建“全国绿化模范县”通过国家验收。</w:t>
      </w:r>
    </w:p>
    <w:p w14:paraId="6C0BEAAB">
      <w:pPr>
        <w:bidi w:val="0"/>
        <w:rPr>
          <w:rFonts w:hint="eastAsia"/>
          <w:highlight w:val="none"/>
        </w:rPr>
      </w:pPr>
      <w:r>
        <w:rPr>
          <w:rFonts w:hint="eastAsia"/>
          <w:highlight w:val="none"/>
        </w:rPr>
        <w:t>环境治理力度不断加大。2015年，建成珠玑、黄坑、乌迳三个中心镇污水处理厂和城市生活无害化垃圾填埋场，关停28家环境敏感区域的养殖企业。投入6000多万元，完善市镇村三级垃圾处理设施，全面开展生活垃圾综合整治。“十二五”期间，环保设施投入1.2亿元，建成5个污水处理厂，新增城市排污管网17公里，完成上级下达的减排指标，获得国家重点生态功能区转移支付资金近3亿元。土地和矿产资源管理得到加强，获评建设节约集约用地试点示范省先进单位。</w:t>
      </w:r>
    </w:p>
    <w:p w14:paraId="5B353A4F">
      <w:pPr>
        <w:bidi w:val="0"/>
        <w:rPr>
          <w:rFonts w:hint="eastAsia"/>
          <w:b/>
          <w:bCs/>
          <w:highlight w:val="none"/>
        </w:rPr>
      </w:pPr>
      <w:r>
        <w:rPr>
          <w:rFonts w:hint="eastAsia"/>
          <w:b/>
          <w:bCs/>
          <w:highlight w:val="none"/>
        </w:rPr>
        <w:t>（四）着力深化改革，发展活力不断增添</w:t>
      </w:r>
    </w:p>
    <w:p w14:paraId="25B9E864">
      <w:pPr>
        <w:bidi w:val="0"/>
        <w:rPr>
          <w:rFonts w:hint="eastAsia"/>
          <w:highlight w:val="none"/>
        </w:rPr>
      </w:pPr>
      <w:r>
        <w:rPr>
          <w:rFonts w:hint="eastAsia"/>
          <w:highlight w:val="none"/>
        </w:rPr>
        <w:t>2015年，完成了经信、商务、市场监管等机构改革，完成全口径财政预算和公车改革，规范了公务员津补贴。加强了镇（街道</w:t>
      </w:r>
      <w:r>
        <w:rPr>
          <w:rFonts w:hint="eastAsia"/>
          <w:highlight w:val="none"/>
          <w:lang w:eastAsia="zh-CN"/>
        </w:rPr>
        <w:t>）</w:t>
      </w:r>
      <w:r>
        <w:rPr>
          <w:rFonts w:hint="eastAsia"/>
          <w:highlight w:val="none"/>
        </w:rPr>
        <w:t>经济社会科学发展和市直单位绩效考核。成立韶关首个不动产登记中心。推行权责清单制度，调整39个市直部门6746项行政职权事项。推进商事登记制度改革，新发展各类市场经营主体1560户。以PPP模式，大力推进北城区等重大项目建设。城乡建设用地增减挂钩试点完成拆旧复垦2800亩，获得用地指标2100多亩。“十二五”期间，精减和调整审批事项119项，完成“亮点工作”1067项，建成网上办事大厅，镇村两级便民服务平台实现全覆盖。成立公共资源交易中心，进一步规范公共资源交易。农村“三资”清理、集体林权制度改革、农村综合改革取得实效。</w:t>
      </w:r>
    </w:p>
    <w:p w14:paraId="73371A7B">
      <w:pPr>
        <w:bidi w:val="0"/>
        <w:rPr>
          <w:rFonts w:hint="eastAsia"/>
          <w:highlight w:val="none"/>
        </w:rPr>
      </w:pPr>
      <w:r>
        <w:rPr>
          <w:rFonts w:hint="eastAsia"/>
          <w:b/>
          <w:bCs/>
          <w:highlight w:val="none"/>
        </w:rPr>
        <w:t>（五）坚持开放合作，互利共赢局面不断形成</w:t>
      </w:r>
    </w:p>
    <w:p w14:paraId="7452DB07">
      <w:pPr>
        <w:bidi w:val="0"/>
        <w:rPr>
          <w:rFonts w:hint="eastAsia"/>
          <w:highlight w:val="none"/>
        </w:rPr>
      </w:pPr>
      <w:r>
        <w:rPr>
          <w:rFonts w:hint="eastAsia"/>
          <w:highlight w:val="none"/>
        </w:rPr>
        <w:t>“十二五”期间，着力加强与友好城市澳大利亚高嘉华市、江西周边及省内兄弟县市区在多领域的交流合作。东莞南城·南雄产业帮扶与合作密切加强。成功举办了两届姓氏文化旅游节，获“中国姓氏文化名都”称号。与韶关学院、农业发展银行、太平洋建设集团等开展政校、政银企合作，解决人才培养、项目融资难题。全力推动招商引资及对外贸易，引进康绿宝、中能建投新能源、清景旅游、大润发、大市场等一批重大企业项目，由数量招商向质量招商转变。外贸进出口总额1.8亿美元，五年年均增长19.2%；实际利用外资总额9825万美元。广府人海外后裔联谊会、珠玑巷姓氏宗亲平台作用得到充分发挥，乡贤投资项目21个，投资额19.7亿元。</w:t>
      </w:r>
    </w:p>
    <w:p w14:paraId="2C822E12">
      <w:pPr>
        <w:bidi w:val="0"/>
        <w:rPr>
          <w:rFonts w:hint="eastAsia"/>
          <w:b/>
          <w:bCs/>
          <w:highlight w:val="none"/>
        </w:rPr>
      </w:pPr>
      <w:r>
        <w:rPr>
          <w:rFonts w:hint="eastAsia"/>
          <w:b/>
          <w:bCs/>
          <w:highlight w:val="none"/>
        </w:rPr>
        <w:t>（六）注重民生事业，社会建设不断强化</w:t>
      </w:r>
    </w:p>
    <w:p w14:paraId="1E49015B">
      <w:pPr>
        <w:bidi w:val="0"/>
        <w:rPr>
          <w:rFonts w:hint="eastAsia"/>
          <w:highlight w:val="none"/>
        </w:rPr>
      </w:pPr>
      <w:r>
        <w:rPr>
          <w:rFonts w:hint="eastAsia"/>
          <w:highlight w:val="none"/>
        </w:rPr>
        <w:t>人民生活得到改善。加大项目惠民力度，人民群众充分享受发展成果。2015年，投入1000万元，建成小公园、小广场、小运动场等“五小”场所37个。投入1300多万元，建成路灯1.3万盏，实现行政村全覆盖。完成镇（街道）“十个一”项目156个。59个重点帮扶村累计落实资金近5亿元，实施扶贫项目1.5万个，贫困村农民人均可支配收入达1.2万元，有劳动能力的贫困户实现全部脱贫。城镇、农村居民人均可支配收入（预计）分别是2.1万元和1.1万元，比2010年分别增长73.7%和87.5%。民生支出21.8亿元，占财政预算支出的78.6%，比2010年高14.2个百分点。“十二五”期间，民生项目支出达66.3亿元。医疗保险覆盖率为100%，养老、失业、工伤、生育等险种覆盖面稳步提高，全面实施“阳光低保”，低保补助、五保老人及孤儿供养标准比2010年大幅增加，建成11个农村居家养老服务中心，村（社区）人社服务平台实现全覆盖。城镇登记失业率控制在2.3%以内，五年新增和转移就业8.3万人；烈军属优待达100%，成功创建第十届省双拥模范县</w:t>
      </w:r>
      <w:r>
        <w:rPr>
          <w:rFonts w:hint="eastAsia"/>
          <w:highlight w:val="none"/>
          <w:lang w:eastAsia="zh-CN"/>
        </w:rPr>
        <w:t>（</w:t>
      </w:r>
      <w:r>
        <w:rPr>
          <w:rFonts w:hint="eastAsia"/>
          <w:highlight w:val="none"/>
        </w:rPr>
        <w:t>市</w:t>
      </w:r>
      <w:r>
        <w:rPr>
          <w:rFonts w:hint="eastAsia"/>
          <w:highlight w:val="none"/>
          <w:lang w:eastAsia="zh-CN"/>
        </w:rPr>
        <w:t>）</w:t>
      </w:r>
      <w:r>
        <w:rPr>
          <w:rFonts w:hint="eastAsia"/>
          <w:highlight w:val="none"/>
        </w:rPr>
        <w:t>；政府承诺的47件民生实事全面完成。</w:t>
      </w:r>
    </w:p>
    <w:p w14:paraId="43B4B3C0">
      <w:pPr>
        <w:bidi w:val="0"/>
        <w:rPr>
          <w:rFonts w:hint="eastAsia"/>
          <w:highlight w:val="none"/>
        </w:rPr>
      </w:pPr>
      <w:r>
        <w:rPr>
          <w:rFonts w:hint="eastAsia"/>
          <w:highlight w:val="none"/>
        </w:rPr>
        <w:t>教育文化卫生等各项事业得到发展。“十二五”期间，投资6亿多元完成“教育强市”创建，实现义务教育标准化学校、公办镇中心幼儿园、教育强镇全覆盖，完成异地新建全安中学、市一小等教育民生工程，通过国家义务教育发展基本均衡县督导评估。已启动新图书馆、新档案馆建设，建成数字影院2家，村级文化室建设实现全覆盖，完成5万用户数字电视整体转换，成功申报国家、省级文物保护单位9处、非物质文化遗产3项，被评为“中国恐龙之乡”。建成镇级农民体育健身工程17个。全面执行基层医疗机构基本药物零差价制度，有序推动县级公立医院综合改革；投入4000多万元，完成中医院住院大楼、疾控中心服务大楼和8个镇卫生院综合楼建设，国家慢性病防控示范区创建通过省验收，被授予全国计划生育优质服务先进单位荣誉称号。每万人拥有人才量942人，是2010年的2.8倍。国家可持续发展实验区建设扎实推进，省卫生城市、省文明城市创建成果进一步巩固。此外，工青妇儿、民族宗教、外事侨务、武装、法制、统计、粮食、气象、供销、保密、残联、档案、史志等工作实现新发展。</w:t>
      </w:r>
    </w:p>
    <w:p w14:paraId="062EEEC6">
      <w:pPr>
        <w:bidi w:val="0"/>
        <w:rPr>
          <w:rFonts w:hint="eastAsia"/>
          <w:highlight w:val="none"/>
        </w:rPr>
      </w:pPr>
      <w:r>
        <w:rPr>
          <w:rFonts w:hint="eastAsia"/>
          <w:highlight w:val="none"/>
        </w:rPr>
        <w:t>社会管理得到加强。“十二五”期间，深入开展“平安南雄”创建，建成782个治安视频监控点，全面提升治安管控水平。建成市镇村三级综治信访维稳平台，有效化解了一系列矛盾纠纷，维护了社会稳定。安全生产监管继续加强，创建省餐饮服务食品安全示范县、药品安全示范县。应急救援体系不断完善，人防工程建设取得新突破。</w:t>
      </w:r>
    </w:p>
    <w:p w14:paraId="49739EFA">
      <w:pPr>
        <w:bidi w:val="0"/>
        <w:rPr>
          <w:rFonts w:hint="eastAsia"/>
          <w:b/>
          <w:bCs/>
          <w:highlight w:val="none"/>
        </w:rPr>
      </w:pPr>
      <w:r>
        <w:rPr>
          <w:rFonts w:hint="eastAsia"/>
          <w:b/>
          <w:bCs/>
          <w:highlight w:val="none"/>
        </w:rPr>
        <w:t>（七）加强政府建设，执政能力不断提升</w:t>
      </w:r>
    </w:p>
    <w:p w14:paraId="57B49A21">
      <w:pPr>
        <w:bidi w:val="0"/>
        <w:rPr>
          <w:rFonts w:hint="eastAsia"/>
          <w:highlight w:val="none"/>
        </w:rPr>
      </w:pPr>
      <w:r>
        <w:rPr>
          <w:rFonts w:hint="eastAsia"/>
          <w:highlight w:val="none"/>
        </w:rPr>
        <w:t>全面加强依法行政，基层治理走上法治化轨道，获评全国、全省法治县（市）创建活动先进单位。实现一村（社区）一法律顾问全覆盖，“六五”普法全面完成。依法行政考核2015年在韶关各县（市、区</w:t>
      </w:r>
      <w:r>
        <w:rPr>
          <w:rFonts w:hint="eastAsia"/>
          <w:highlight w:val="none"/>
          <w:lang w:eastAsia="zh-CN"/>
        </w:rPr>
        <w:t>）</w:t>
      </w:r>
      <w:r>
        <w:rPr>
          <w:rFonts w:hint="eastAsia"/>
          <w:highlight w:val="none"/>
        </w:rPr>
        <w:t>居第一位。坚持向市人大及其常委会报告工作，向市政协通报情况，自觉接受社会各界监督，五年办理人大议案、建议和政协提案、来信476件，接受和完成审计项目181项。积极创建“廉洁南雄”，推进权力公开透明运行“阳光工程”。强化对重点项目、重要工作、政府决策事项、亮点工作的督查督办力度，强化用好督办成果，形成抓落实提高执行力的工作机制，干部队伍敢担当、勇作为的执行力不断提升。深入开展党的群众路线教育实践活动和“三严三实”专题教育活动，严格落实中央八项规定，坚决整治“四风”，一批违法违纪人员受到惩处，作风建设持续加强。</w:t>
      </w:r>
    </w:p>
    <w:p w14:paraId="6FB0FC72">
      <w:pPr>
        <w:bidi w:val="0"/>
        <w:rPr>
          <w:rFonts w:hint="eastAsia"/>
          <w:highlight w:val="none"/>
        </w:rPr>
      </w:pPr>
      <w:r>
        <w:rPr>
          <w:rFonts w:hint="eastAsia"/>
          <w:highlight w:val="none"/>
        </w:rPr>
        <w:t>各位代表，“十二五”时期是我市争取政策、项目、资金最多，基础设施投入最大，城乡面貌变化最快的五年；也是收获荣誉成果最丰硕</w:t>
      </w:r>
      <w:r>
        <w:rPr>
          <w:rFonts w:hint="eastAsia"/>
          <w:highlight w:val="none"/>
          <w:lang w:eastAsia="zh-CN"/>
        </w:rPr>
        <w:t>，</w:t>
      </w:r>
      <w:r>
        <w:rPr>
          <w:rFonts w:hint="eastAsia"/>
          <w:highlight w:val="none"/>
        </w:rPr>
        <w:t>人民生活改善最明显的五年；更是经济社会发展质量最好速度最快的五年。回顾过去五年的工作，我们深刻体会到，新常态下要推动跨越发展，有三个方面“必须坚持”：一是必须坚持解放思想，优化发展环境这个关键所在。五年来，我们始终坚持以思想的解放赢得发展的先机，把上级加快发展的政策措施与南雄实际有机结合起来，创造性地开展各项工作，在全韶关树立起标杆。同时狠抓干部队伍作风和能力建设，在全市上下开展“双学双比”等系列教育实践活动，营造一切为了加快发展的浓厚氛围，吸引了广大珠玑巷后裔、乡贤反哺家乡建设，也吸引了中能建、太平洋建设、中投国际等大企业大集团来雄投资。二是必须坚持攻坚克难，筑牢发展基础这个重要支撑。五年来，全市上下积极向上争取政策、项目、资金支持，以顽强的意志和毅力，抓铁有痕、踏石留印，克服重重困难，推动华电、彤置富、大润发、大市场等一批重大项目落地生根，打牢了加快发展的基础。三是必须坚持心系群众，发展惠民这个出发点和落脚点。政府工作秉承决策想民，发展为民，工作利民，成果惠民。五年来，政府财力主要用于发展和改善民生事业，为群众办好了47件实事、镇“十个一”、村“四个一”项目，让群众看得见、摸得着、用得上，享受实实在在的发展成果。</w:t>
      </w:r>
    </w:p>
    <w:p w14:paraId="2469E05B">
      <w:pPr>
        <w:bidi w:val="0"/>
        <w:rPr>
          <w:rFonts w:hint="eastAsia"/>
          <w:highlight w:val="none"/>
        </w:rPr>
      </w:pPr>
      <w:r>
        <w:rPr>
          <w:rFonts w:hint="eastAsia"/>
          <w:highlight w:val="none"/>
        </w:rPr>
        <w:t>各位代表，过去五年的发展成就来之不易，这既得益于市委的正确领导和全市广大干部群众的辛勤付出，也离不开社会各界的关心支持。在此，我代表市人民政府，向全市人民、人大代表、政协委员、驻雄部队官兵和各民主党派、人民团体、社会各界人士致以崇高敬意，向所有关心、支持、参与南雄发展的港澳台同胞、海内外珠玑巷后裔、外出乡贤表示衷心感谢！</w:t>
      </w:r>
    </w:p>
    <w:p w14:paraId="179C7F06">
      <w:pPr>
        <w:bidi w:val="0"/>
        <w:rPr>
          <w:rFonts w:hint="eastAsia"/>
          <w:highlight w:val="none"/>
        </w:rPr>
      </w:pPr>
      <w:r>
        <w:rPr>
          <w:rFonts w:hint="eastAsia"/>
          <w:highlight w:val="none"/>
        </w:rPr>
        <w:t>在看到成绩的同时，我们也清醒地认识到，我市经济总量仍然偏低，欠发达的面貌仍未得到根本改变；招商引资、特色产业、旅游发展等仍面临产业链延伸不够和配套缺乏问题；公共服务供给还不能满足人民群众日益增长的需求，民生工作有待加强；转变政府职能和作风建设仍须努力。对此，我们必须正视存在问题，采取有力措施认真加以解决。</w:t>
      </w:r>
    </w:p>
    <w:p w14:paraId="76898BB1">
      <w:pPr>
        <w:pStyle w:val="4"/>
        <w:bidi w:val="0"/>
        <w:rPr>
          <w:rFonts w:hint="eastAsia"/>
          <w:highlight w:val="none"/>
        </w:rPr>
      </w:pPr>
      <w:r>
        <w:rPr>
          <w:rFonts w:hint="eastAsia"/>
          <w:highlight w:val="none"/>
        </w:rPr>
        <w:t>二、“十三五”时期的总体要求</w:t>
      </w:r>
    </w:p>
    <w:p w14:paraId="478DE6FA">
      <w:pPr>
        <w:bidi w:val="0"/>
        <w:rPr>
          <w:rFonts w:hint="eastAsia"/>
          <w:highlight w:val="none"/>
        </w:rPr>
      </w:pPr>
      <w:r>
        <w:rPr>
          <w:rFonts w:hint="eastAsia"/>
          <w:highlight w:val="none"/>
        </w:rPr>
        <w:t>“十三五”时期，是实现发展新跨越的重要战略机遇期，也是全面建成小康社会的攻坚阶段。根据市委关于“十三五”规划的建议，我们编制了《南雄市国民经济和社会发展第十三个五年规划纲要（草案）》，提交大会审议。</w:t>
      </w:r>
    </w:p>
    <w:p w14:paraId="1C1FA2CE">
      <w:pPr>
        <w:bidi w:val="0"/>
        <w:rPr>
          <w:rFonts w:hint="eastAsia"/>
          <w:highlight w:val="none"/>
        </w:rPr>
      </w:pPr>
      <w:r>
        <w:rPr>
          <w:rFonts w:hint="eastAsia"/>
          <w:highlight w:val="none"/>
        </w:rPr>
        <w:t>“十三五”时期我市经济社会发展的指导思想：以邓小平理论、“三个代表”重要思想和科学发展观为指导，深入贯彻落实党的十八大以来及省委、韶关市委十一届历次全会精神，紧紧围绕“四个全面”战略布局，坚持创新、协调、绿色、开放、共享发展理念，统筹协调经济、政治、文化、社会、生态文明建设。着力加强与珠三角地区在产业、交通、市场、人才等领域的对接合作，以城市经济为主战场，主动融入“广佛肇+清云韶”经济圈，形成资源要素互补、合理分工、错位发展、合作共赢新格局，促进城市经济规模与县域经济总量新突破，实现发展新跨越。</w:t>
      </w:r>
    </w:p>
    <w:p w14:paraId="7E9C870F">
      <w:pPr>
        <w:bidi w:val="0"/>
        <w:rPr>
          <w:rFonts w:hint="eastAsia"/>
          <w:highlight w:val="none"/>
        </w:rPr>
      </w:pPr>
      <w:r>
        <w:rPr>
          <w:rFonts w:hint="eastAsia"/>
          <w:highlight w:val="none"/>
        </w:rPr>
        <w:t>“十三五”时期的主要奋斗目标：到2020年，地区生产总值达到210亿元，年均增长11%左右；三次产业比例调整为14.3∶48.6∶37.1；人均生产总值达到6.4万元；地方公共财政预算收入达到10亿元、年均增长10%左右，全社会固定资产投资总额达到160亿元、年均增长10%左右。基本形成新型工业化、信息化、城镇化和农业现代化同步协调发展局面，经济结构更加合理、增长方式快速转变、综合经济实力显著增强。基础设施日趋完善，法治建设成效明显，公共服务体系更加健全，城乡环境优美宜居，人民生活水平大幅提升。</w:t>
      </w:r>
    </w:p>
    <w:p w14:paraId="32A9C2C6">
      <w:pPr>
        <w:bidi w:val="0"/>
        <w:rPr>
          <w:rFonts w:hint="eastAsia"/>
          <w:highlight w:val="none"/>
        </w:rPr>
      </w:pPr>
      <w:r>
        <w:rPr>
          <w:rFonts w:hint="eastAsia"/>
          <w:highlight w:val="none"/>
        </w:rPr>
        <w:t>为实现上述目标，必须认真实施“11366”发展方略：</w:t>
      </w:r>
    </w:p>
    <w:p w14:paraId="07932234">
      <w:pPr>
        <w:bidi w:val="0"/>
        <w:rPr>
          <w:rFonts w:hint="eastAsia"/>
          <w:highlight w:val="none"/>
        </w:rPr>
      </w:pPr>
      <w:r>
        <w:rPr>
          <w:rFonts w:hint="eastAsia"/>
          <w:highlight w:val="none"/>
        </w:rPr>
        <w:t>瞄准一个总目标，即与全国同步全面建成小康社会。从政治、经济、社会、民生、生态文明等全领域全方位着力，把握发展机遇，破解发展难题，厚植发展优势，确保到2020年与全国同步全面建成小康社会。经济实力稳步增强，公共服务体系更加完善，生态环境美丽宜居，社会公平正义，人民安居乐业。</w:t>
      </w:r>
    </w:p>
    <w:p w14:paraId="7F96A91D">
      <w:pPr>
        <w:bidi w:val="0"/>
        <w:rPr>
          <w:rFonts w:hint="eastAsia"/>
          <w:highlight w:val="none"/>
        </w:rPr>
      </w:pPr>
      <w:r>
        <w:rPr>
          <w:rFonts w:hint="eastAsia"/>
          <w:highlight w:val="none"/>
        </w:rPr>
        <w:t>坚持一个总思路，即打苏区牌、走生态路，主动融入珠三角，加快建设粤北门户城市。抓牢国家促进赣闽粤原中央苏区县振兴发展机遇，争取国家和省在重大产业、重大项目和政策资金等方面，进一步加大对我市的倾斜扶持。认真落实全国主体功能区规划，强化生态发展理念，改善生态环境，发展生态产业，建设生态文明，构建天蓝、地绿、水清、人和的美好家园。加强与珠三角地区的对接合作，主动接受珠三角的辐射带动，积极承接珠三角的产业转移，实现与珠三角优势互补、合作共赢。充分发挥交通区位优势，努力将南雄建设成珠三角连接长三角（一带一路）的粤北门户城市。</w:t>
      </w:r>
    </w:p>
    <w:p w14:paraId="02B38852">
      <w:pPr>
        <w:bidi w:val="0"/>
        <w:rPr>
          <w:rFonts w:hint="eastAsia"/>
          <w:highlight w:val="none"/>
        </w:rPr>
      </w:pPr>
      <w:r>
        <w:rPr>
          <w:rFonts w:hint="eastAsia"/>
          <w:highlight w:val="none"/>
        </w:rPr>
        <w:t>强化“三大抓手”，即中心城区扩容提质、产业园区扩能增效、完善交通基础设施。加快中心城区扩容提质，全面推进北城区基础设施和配套设施建设，拉大城市框架，加快城区改造项目进度，促进提质优化，提升宜居水平，加速珠玑雄州同城化。积极推进园区一期扩能增效，园区二期尽快引进一批重大的优质企业项目，形成新的产业集群，增强对工业经济的支撑作用。加快交通基础设施建设，争取建成雄乐高速信丰至南雄段，积极推动赣韶铁路复线和通用机场建设，加快国道、省道、县道和乡村公路的升级改造，完善城乡交通路网。</w:t>
      </w:r>
    </w:p>
    <w:p w14:paraId="1A7C80DC">
      <w:pPr>
        <w:bidi w:val="0"/>
        <w:rPr>
          <w:rFonts w:hint="eastAsia"/>
          <w:highlight w:val="none"/>
        </w:rPr>
      </w:pPr>
      <w:r>
        <w:rPr>
          <w:rFonts w:hint="eastAsia"/>
          <w:highlight w:val="none"/>
        </w:rPr>
        <w:t>实施六大战略，即工业强市、旅游旺市、民生优先、生态城乡、姓氏名都、法治南雄。</w:t>
      </w:r>
    </w:p>
    <w:p w14:paraId="0C8DC8B0">
      <w:pPr>
        <w:bidi w:val="0"/>
        <w:rPr>
          <w:rFonts w:hint="eastAsia"/>
          <w:highlight w:val="none"/>
        </w:rPr>
      </w:pPr>
      <w:r>
        <w:rPr>
          <w:rFonts w:hint="eastAsia"/>
          <w:highlight w:val="none"/>
        </w:rPr>
        <w:t>着力发展六大产业，即精细化工、能源建材、浆纸和机械制造、大旅游、大农业、电商产业。着力发展精细化工产业，力争到2020年园区一期企业全部建成投产，并形成年产值超过200亿元规模的产业园区，打造精细化工循环经济示范基地。着力发展能源建材产业，加快热电、风电、光伏发电、彤置富水泥项目建设和乐华陶瓷技改扩产，建设粤北新能源基地和建材生产基地。着力发展浆纸和机械制造产业，依托珠玑纸业、绿洲纸模的产业基础，加大园区二期电气机械及器材制造企业的引进力度，培育壮大浆纸和机械制造产业集群。着力发展大旅游，加快旅游基础设施和配套设施建设，融入“大丹霞、大南华、大南岭、大珠玑、大马坝”旅游圈，促进旅游业发展成为新的支柱性产业，打造姓氏名都与生态休闲旅游优选地。着力发展大农业，充分发挥传统特色产业优势，扶持农业龙头企业发展，培育农业新型经营主体，加快农业现代化进程。着力发展电商产业，以国家电子商务进农村综合示范县建设为契机，围绕“互联网+产业”新业态，加快推进电子商务，形成新的经济增长极。</w:t>
      </w:r>
    </w:p>
    <w:p w14:paraId="5F2981D7">
      <w:pPr>
        <w:pStyle w:val="4"/>
        <w:bidi w:val="0"/>
        <w:rPr>
          <w:rFonts w:hint="eastAsia"/>
          <w:highlight w:val="none"/>
        </w:rPr>
      </w:pPr>
      <w:r>
        <w:rPr>
          <w:rFonts w:hint="eastAsia"/>
          <w:highlight w:val="none"/>
        </w:rPr>
        <w:t>三、2016年工作安排</w:t>
      </w:r>
    </w:p>
    <w:p w14:paraId="181FC9E2">
      <w:pPr>
        <w:bidi w:val="0"/>
        <w:rPr>
          <w:rFonts w:hint="eastAsia"/>
          <w:highlight w:val="none"/>
        </w:rPr>
      </w:pPr>
      <w:r>
        <w:rPr>
          <w:rFonts w:hint="eastAsia"/>
          <w:highlight w:val="none"/>
        </w:rPr>
        <w:t>2016年是“十三五”规划开局之年，抓好今年工作，对于顺利实施规划各项战略任务具有重要意义。今年政府工作的总体要求是：以科学发展观为指导，认真贯彻落实十八届五中全会、中央经济工作会议及习近平总书记系列</w:t>
      </w:r>
      <w:r>
        <w:rPr>
          <w:rFonts w:hint="eastAsia"/>
          <w:highlight w:val="none"/>
          <w:lang w:val="en-US" w:eastAsia="zh-CN"/>
        </w:rPr>
        <w:t>重要</w:t>
      </w:r>
      <w:r>
        <w:rPr>
          <w:rFonts w:hint="eastAsia"/>
          <w:highlight w:val="none"/>
        </w:rPr>
        <w:t>讲话精神，按照省、韶关市和南雄市委的决策部署，继续抢抓原中央苏区县和粤东西北振兴发展机遇，以全面建成小康社会为总目标，打苏区牌、走生态路，主动融入珠三角，加快建设粤北门户城市，全面推进“六大战略”，积极作为，砥砺奋进，推动经济社会发展实现新跨越，为“十三五”规划开好局、起好步。</w:t>
      </w:r>
    </w:p>
    <w:p w14:paraId="1135B887">
      <w:pPr>
        <w:bidi w:val="0"/>
        <w:rPr>
          <w:rFonts w:hint="eastAsia"/>
          <w:highlight w:val="none"/>
        </w:rPr>
      </w:pPr>
      <w:r>
        <w:rPr>
          <w:rFonts w:hint="eastAsia"/>
          <w:highlight w:val="none"/>
        </w:rPr>
        <w:t>根据当前经济发展常态和南雄发展实际，今年全市经济社会发展主要预期目标是：地区生产总值增长10%以上，人均生产总值增长9%以上，公共财政预算收入增长6%以上，固定资产投资增长10%以上，森林覆盖率达到67.2%，城镇登记失业率控制在3%以内。</w:t>
      </w:r>
    </w:p>
    <w:p w14:paraId="32B5B028">
      <w:pPr>
        <w:bidi w:val="0"/>
        <w:rPr>
          <w:rFonts w:hint="eastAsia"/>
          <w:highlight w:val="none"/>
        </w:rPr>
      </w:pPr>
      <w:r>
        <w:rPr>
          <w:rFonts w:hint="eastAsia"/>
          <w:highlight w:val="none"/>
        </w:rPr>
        <w:t>要完成以上任务目标，必须抓好以下七项工作：</w:t>
      </w:r>
    </w:p>
    <w:p w14:paraId="0D5BBBCC">
      <w:pPr>
        <w:bidi w:val="0"/>
        <w:rPr>
          <w:rFonts w:hint="eastAsia"/>
          <w:b/>
          <w:bCs/>
          <w:highlight w:val="none"/>
        </w:rPr>
      </w:pPr>
      <w:r>
        <w:rPr>
          <w:rFonts w:hint="eastAsia"/>
          <w:b/>
          <w:bCs/>
          <w:highlight w:val="none"/>
        </w:rPr>
        <w:t>（一</w:t>
      </w:r>
      <w:r>
        <w:rPr>
          <w:rFonts w:hint="eastAsia"/>
          <w:b/>
          <w:bCs/>
          <w:highlight w:val="none"/>
          <w:lang w:eastAsia="zh-CN"/>
        </w:rPr>
        <w:t>）</w:t>
      </w:r>
      <w:r>
        <w:rPr>
          <w:rFonts w:hint="eastAsia"/>
          <w:b/>
          <w:bCs/>
          <w:highlight w:val="none"/>
        </w:rPr>
        <w:t>抓投资，稳增长充分发挥投资对经济增长的拉动作用，力促项目尽快开工建设及发挥效益。</w:t>
      </w:r>
    </w:p>
    <w:p w14:paraId="1BF46801">
      <w:pPr>
        <w:bidi w:val="0"/>
        <w:rPr>
          <w:rFonts w:hint="eastAsia"/>
          <w:highlight w:val="none"/>
        </w:rPr>
      </w:pPr>
      <w:r>
        <w:rPr>
          <w:rFonts w:hint="eastAsia"/>
          <w:highlight w:val="none"/>
        </w:rPr>
        <w:t>加快完善基础设施。从群众最关注、最期待的领域入手，加快完善城乡基础设施。继续推进雄乐高速信丰至南雄段，争取进入项目前期，并尽快动工建设。加快推进南雄东、西两个片区路网以及国、省、县道升级改造，扎实推进300人以下自然村道路水泥硬化工程，打通村与村、镇与镇之间的断头路，解决村民出行“最后一公里”问题。争取韶关旅游发展专项资金和旅游交通公路建设引导资金，促进澜河至帽子峰横岭公路等旅游交通项目顺利实施，打通城乡旅游公路的“毛细血管”。大力推进电网建设和改造，完善北城区电源网架，实施江头、百顺等6个镇电网改造工程。加快农业综合开发、高标准基本农田、中小河流治理等农田水利建设。加快4G建设及城区周边人口密集区域、18个镇（街道）光网的深度覆盖，努力搭建公共信息网络平台、电子政务信息平台和旅游智能化导航信息系统，促进互联网与经济社会各领域的深度融合，提升信息化服务水平。</w:t>
      </w:r>
    </w:p>
    <w:p w14:paraId="74CAF683">
      <w:pPr>
        <w:bidi w:val="0"/>
        <w:rPr>
          <w:rFonts w:hint="eastAsia"/>
          <w:highlight w:val="none"/>
        </w:rPr>
      </w:pPr>
      <w:r>
        <w:rPr>
          <w:rFonts w:hint="eastAsia"/>
          <w:highlight w:val="none"/>
        </w:rPr>
        <w:t>鼓励社会资本来雄投资。用好用活各类奖励扶持资金，发挥财政资金杠杆作用，引导民间资本扩大投资。加大简政放权力度，优化审批服务流程，鼓励社会资本进入交通基础设施、社会事业、生态环保等领域。推动投融资模式创新，引导财团、企业集团以PPP模式参与我市经济社会建设。用好中央稳增长政策，加强与国家政策性银行、商业银行、金融租赁公司、贷款担保公司等金融机构合作，破解各类项目和企业融资、贷款、担保等难题，促进投资。采取新设项目、增资扩股、参股并购等方式，吸引客商来雄投资置业，扩大利用外资规模，提高利用外资的质量和效益。</w:t>
      </w:r>
    </w:p>
    <w:p w14:paraId="47D8A98E">
      <w:pPr>
        <w:bidi w:val="0"/>
        <w:rPr>
          <w:rFonts w:hint="eastAsia" w:hAnsi="宋体" w:cs="宋体"/>
          <w:highlight w:val="none"/>
        </w:rPr>
      </w:pPr>
      <w:r>
        <w:rPr>
          <w:rFonts w:hint="eastAsia"/>
          <w:highlight w:val="none"/>
        </w:rPr>
        <w:t>推动重大项目尽快落地。我市目前有一大批工业、旅游等产业项目以及城市扩容提质、交通基础设施、民生社会事业项目，要坚持把重大项目建设作为扩大投资、增强发展后劲的主要抓手</w:t>
      </w:r>
      <w:r>
        <w:rPr>
          <w:rFonts w:hint="eastAsia"/>
          <w:highlight w:val="none"/>
          <w:lang w:eastAsia="zh-CN"/>
        </w:rPr>
        <w:t>，</w:t>
      </w:r>
      <w:r>
        <w:rPr>
          <w:rFonts w:hint="eastAsia"/>
          <w:highlight w:val="none"/>
        </w:rPr>
        <w:t>确保项目早建设、早见效。要把“南雄富不富，关键看服务”的理念贯彻始终，强化市领导及责任单位挂点联系企业项目制度，并形成重大项目调度机制，定期由市政府主</w:t>
      </w:r>
      <w:r>
        <w:rPr>
          <w:rFonts w:hint="eastAsia" w:hAnsi="宋体" w:cs="宋体"/>
          <w:highlight w:val="none"/>
        </w:rPr>
        <w:t>要领导召开项目调度会。进一步加大督查督办力度，强化督办结果运用，形成全市上下齐心协力推动项目落地建成见效的良好局面。抓好项目储备，争取更多重点项目列入国家和省规划，为长远发展做足准备。</w:t>
      </w:r>
    </w:p>
    <w:p w14:paraId="31E5EBAD">
      <w:pPr>
        <w:rPr>
          <w:rFonts w:hint="eastAsia" w:hAnsi="宋体" w:cs="宋体"/>
          <w:highlight w:val="none"/>
        </w:rPr>
      </w:pPr>
      <w:r>
        <w:rPr>
          <w:rFonts w:hint="eastAsia" w:hAnsi="宋体" w:cs="宋体"/>
          <w:highlight w:val="none"/>
        </w:rPr>
        <w:t>强化项目要素保障。认真研究各项政策措施，加强与上级部门的对接沟通，着力解决项目征地拆迁、用地报批、环评审批等制约因素。科学推进全市土地利用总体规划调整和永久基本农田划定工作，完善征地监管及用地审批，保障重点项目和民生工程用地。完善重大项目绿色审批通道、跟踪服务机制、工程建设协调机制，促进项目建设。</w:t>
      </w:r>
    </w:p>
    <w:p w14:paraId="619A3FCC">
      <w:pPr>
        <w:rPr>
          <w:rFonts w:hint="eastAsia" w:hAnsi="宋体" w:cs="宋体"/>
          <w:b/>
          <w:bCs/>
          <w:highlight w:val="none"/>
        </w:rPr>
      </w:pPr>
      <w:r>
        <w:rPr>
          <w:rFonts w:hint="eastAsia" w:hAnsi="宋体" w:cs="宋体"/>
          <w:b/>
          <w:bCs/>
          <w:highlight w:val="none"/>
        </w:rPr>
        <w:t>（二</w:t>
      </w:r>
      <w:r>
        <w:rPr>
          <w:rFonts w:hint="eastAsia" w:hAnsi="宋体" w:cs="宋体"/>
          <w:b/>
          <w:bCs/>
          <w:highlight w:val="none"/>
          <w:lang w:eastAsia="zh-CN"/>
        </w:rPr>
        <w:t>）</w:t>
      </w:r>
      <w:r>
        <w:rPr>
          <w:rFonts w:hint="eastAsia" w:hAnsi="宋体" w:cs="宋体"/>
          <w:b/>
          <w:bCs/>
          <w:highlight w:val="none"/>
        </w:rPr>
        <w:t>抓产业，调结构积极培育主导产业，加快产业集聚，推动经济结构调整和增长方式转变。</w:t>
      </w:r>
    </w:p>
    <w:p w14:paraId="7A23471D">
      <w:pPr>
        <w:rPr>
          <w:rFonts w:hint="eastAsia" w:hAnsi="宋体" w:cs="宋体"/>
          <w:highlight w:val="none"/>
        </w:rPr>
      </w:pPr>
      <w:r>
        <w:rPr>
          <w:rFonts w:hint="eastAsia" w:hAnsi="宋体" w:cs="宋体"/>
          <w:highlight w:val="none"/>
        </w:rPr>
        <w:t>实施好工业强市战略。把园区作为工业发展的主战场，园区一期重点抓好提质增效，加大盘活闲置厂房、土地力度，加快“腾笼换鸟”淘汰部分劣质企业，推快企业置换，支持优质企业扩能增效。解决部分企业在南雄生产</w:t>
      </w:r>
      <w:r>
        <w:rPr>
          <w:rFonts w:hint="eastAsia" w:hAnsi="宋体" w:cs="宋体"/>
          <w:highlight w:val="none"/>
          <w:lang w:eastAsia="zh-CN"/>
        </w:rPr>
        <w:t>，</w:t>
      </w:r>
      <w:r>
        <w:rPr>
          <w:rFonts w:hint="eastAsia" w:hAnsi="宋体" w:cs="宋体"/>
          <w:highlight w:val="none"/>
        </w:rPr>
        <w:t>在外地经营、结算等问题，使企业产生的产值和税收能够惠及南雄，形成总部经济效应。加强安全生产和环境风险防控，创建循环经济示范性园区。园区二期加快配套设施建设，大力开展招商引资，形成新一轮招商引资热潮，着力提升招商引资质量，力争优质企业落户有新突破。主动向上争取民营经济发展资金及政策措施，扶持民营企业发展。按照韶关市《关于促进民营经济加快发展的若干措施（试行）》精神，尽快出台符合我市企业和民营经济发展的政策，拿出实招支持企业资本融资和技改扩产，重点扶持龙头企业，鼓励个转企、企转规、规转股、股上市，支持民营企业转型升级。推动企业与渤海商品交易所合作，拓宽企业产品销售渠道。尽快启动光伏发电项目，加快华电南雄热电联产、犁牛坪风电、珠玑纸业本色纸等项目建设，确保彤置富水泥项目年内点火投产。</w:t>
      </w:r>
    </w:p>
    <w:p w14:paraId="6C5164D3">
      <w:pPr>
        <w:rPr>
          <w:rFonts w:hint="eastAsia" w:hAnsi="宋体" w:cs="宋体"/>
          <w:highlight w:val="none"/>
        </w:rPr>
      </w:pPr>
      <w:r>
        <w:rPr>
          <w:rFonts w:hint="eastAsia" w:hAnsi="宋体" w:cs="宋体"/>
          <w:highlight w:val="none"/>
        </w:rPr>
        <w:t>强力推进旅游产业发展。推动以旅游产业为新的经济增长点。加快建设珠玑—梅岭、帽子峰—坪田、主田—江头“三大”旅游片区，规划建设自驾车休闲旅游示范线路。继续推动坪田、帽子峰银杏染秋生态旅游项目，继续完善交通基础设施和停车场，尽快确定两个项目的投资主体、融资渠道，理顺两个景区管理体制。加快帽子峰景区总体规划、详规及黄金大道的修规，完善坪田景区规划，确保规划变成可以投资的项目，使两个景区投资建设上新水平。珠玑—梅岭景区结合“千年驿道、广府原乡”为主题的省级新农村示范片建设和建制镇示范点工程项目，大力推进百姓堂、姓氏宗祠建设，新建张九龄雕像，增加文化旅游内涵。推动主田—江头片区的清景园、花博园和江头云峰山生态旅游区建设。加快建设梅岭红色旅游体验区及修复水口战役等革命遗址，推动红色旅游发展。完善观音山、邓坊泉水谷漂流项目配套设施，推动苍石寨景区建设。吸引和鼓励外来投资者来雄投资建设星级酒店，支持特色农家乐、民宿等旅游配套设施发展，提升旅游接待能力。推动旅游产品开发，形成旅游产业集聚。</w:t>
      </w:r>
    </w:p>
    <w:p w14:paraId="1AC935A2">
      <w:pPr>
        <w:rPr>
          <w:rFonts w:hint="eastAsia" w:hAnsi="宋体" w:cs="宋体"/>
          <w:highlight w:val="none"/>
        </w:rPr>
      </w:pPr>
      <w:r>
        <w:rPr>
          <w:rFonts w:hint="eastAsia" w:hAnsi="宋体" w:cs="宋体"/>
          <w:highlight w:val="none"/>
        </w:rPr>
        <w:t>继续推进农业产业现代化。鼓励农业龙头企业做强做大，支持金友集团创建国家级农业龙头企业，确保龙头企业发挥更重要的作用。用好全国休闲农业与乡村旅游示范县政策，鼓励农村发展家庭农场、示范性专业合作社，生产有机绿色食品、无公害农产品及做好农产品深加工，形成旅游产品，促进农业和旅游业的深度融合。有序推进农村土地承包经营权确权登记颁证工作，引导农村土地合理流转。搞好第三次全国农业普查。抓好农业招商，发展中药材种植、绿色生态、休闲观光等特色农业。推动烟叶规模化经营，完成烟叶收购25</w:t>
      </w:r>
      <w:r>
        <w:rPr>
          <w:rFonts w:hint="eastAsia" w:ascii="MingLiU_HKSCS" w:hAnsi="MingLiU_HKSCS" w:eastAsia="MingLiU_HKSCS" w:cs="MingLiU_HKSCS"/>
          <w:highlight w:val="none"/>
        </w:rPr>
        <w:t>.</w:t>
      </w:r>
      <w:r>
        <w:rPr>
          <w:rFonts w:hint="eastAsia" w:hAnsi="宋体" w:cs="宋体"/>
          <w:highlight w:val="none"/>
        </w:rPr>
        <w:t>4万担、收购资金3</w:t>
      </w:r>
      <w:r>
        <w:rPr>
          <w:rFonts w:hint="eastAsia" w:ascii="MingLiU_HKSCS" w:hAnsi="MingLiU_HKSCS" w:eastAsia="MingLiU_HKSCS" w:cs="MingLiU_HKSCS"/>
          <w:highlight w:val="none"/>
        </w:rPr>
        <w:t>.</w:t>
      </w:r>
      <w:r>
        <w:rPr>
          <w:rFonts w:hint="eastAsia" w:hAnsi="宋体" w:cs="宋体"/>
          <w:highlight w:val="none"/>
        </w:rPr>
        <w:t>2亿元任务。抓好水稻、花生高产示范片建设，完成全安1</w:t>
      </w:r>
      <w:r>
        <w:rPr>
          <w:rFonts w:hint="eastAsia" w:ascii="MingLiU_HKSCS" w:hAnsi="MingLiU_HKSCS" w:eastAsia="MingLiU_HKSCS" w:cs="MingLiU_HKSCS"/>
          <w:highlight w:val="none"/>
        </w:rPr>
        <w:t>.</w:t>
      </w:r>
      <w:r>
        <w:rPr>
          <w:rFonts w:hint="eastAsia" w:hAnsi="宋体" w:cs="宋体"/>
          <w:highlight w:val="none"/>
        </w:rPr>
        <w:t>2万吨粮食仓储项目建设。</w:t>
      </w:r>
    </w:p>
    <w:p w14:paraId="6E596939">
      <w:pPr>
        <w:rPr>
          <w:rFonts w:hint="eastAsia" w:hAnsi="宋体" w:cs="宋体"/>
          <w:highlight w:val="none"/>
        </w:rPr>
      </w:pPr>
      <w:r>
        <w:rPr>
          <w:rFonts w:hint="eastAsia" w:hAnsi="宋体" w:cs="宋体"/>
          <w:highlight w:val="none"/>
        </w:rPr>
        <w:t>大力发展现代服务业。以创建国家电子商务进农村综合示范县为契机，加强与苏宁、邮政合作，推动电商经济发展，积极实施“3个1+18”计划，加快电子商务创业孵化园建设，加强农村电商人才培训，扶持农村青年实现电商创业就业，年内完成培育10个电商创业示范村，带动镇村电商产业发展。依托韶赣高速、赣韶铁路，对接我市化工产品、五金建材、农土特产品等专业市场，引进知名物流企业，打造“专业市场+电商+物流”的商业模式，促进商贸流通业有新发展。完善信贷投放激励机制，鼓励银行加大信贷投放力度。</w:t>
      </w:r>
    </w:p>
    <w:p w14:paraId="324C0D32">
      <w:pPr>
        <w:rPr>
          <w:rFonts w:hint="eastAsia" w:hAnsi="宋体" w:cs="宋体"/>
          <w:highlight w:val="none"/>
        </w:rPr>
      </w:pPr>
      <w:r>
        <w:rPr>
          <w:rFonts w:hint="eastAsia" w:hAnsi="宋体" w:cs="宋体"/>
          <w:highlight w:val="none"/>
        </w:rPr>
        <w:t>鼓励企业创新及技术改造。积极争取上级技改帮扶政策，调动企业技改创新积极性，促进企业全速发展。研究出台鼓励创新的政策措施，发挥园区投融资平台作用，支持投融资、股权投资。以园区为重点，大力培育高新技术龙头企业。加大对科技型企业扶持力度，鼓励企业与高校、科研院所建立产学研合作基地，力争建设好有机新材料专业孵化器，加快技术创新步伐。依托中科院广化所技术创新与育成中心产业研发平台、省功能涂料工程技术研究中心和3个韶关市级工程技术研发中心，促进优质科技成果转化。加大创新类资金投入，鼓励骨干企业开展机器人智能制造技术创新，提高生产效率。培育“互联网+产业”新业态，推动农村电子商务、旅游电商发展。加强人才引进，吸纳更多高层次人才投身南雄建设。</w:t>
      </w:r>
    </w:p>
    <w:p w14:paraId="270C3F4D">
      <w:pPr>
        <w:rPr>
          <w:rFonts w:hint="eastAsia" w:hAnsi="宋体" w:cs="宋体"/>
          <w:highlight w:val="none"/>
        </w:rPr>
      </w:pPr>
      <w:r>
        <w:rPr>
          <w:rFonts w:hint="eastAsia" w:hAnsi="宋体" w:cs="宋体"/>
          <w:b/>
          <w:bCs/>
          <w:highlight w:val="none"/>
        </w:rPr>
        <w:t>（三）抓城建，促提质</w:t>
      </w:r>
      <w:r>
        <w:rPr>
          <w:rFonts w:hint="eastAsia" w:hAnsi="宋体" w:cs="宋体"/>
          <w:b/>
          <w:bCs/>
          <w:highlight w:val="none"/>
          <w:lang w:val="en-US" w:eastAsia="zh-CN"/>
        </w:rPr>
        <w:t xml:space="preserve">  </w:t>
      </w:r>
      <w:r>
        <w:rPr>
          <w:rFonts w:hint="eastAsia" w:hAnsi="宋体" w:cs="宋体"/>
          <w:highlight w:val="none"/>
        </w:rPr>
        <w:t>以城市经济为主战场，以省新型城镇化“2511”综合试点县为契机，按照韶关打造“3+1+2”“城市经济圈”和我市“一园一区一副中心”的发展思路，大力提升新型城镇化建设水平。</w:t>
      </w:r>
    </w:p>
    <w:p w14:paraId="7FA1C8E1">
      <w:pPr>
        <w:rPr>
          <w:rFonts w:hint="eastAsia" w:hAnsi="宋体" w:cs="宋体"/>
          <w:highlight w:val="none"/>
        </w:rPr>
      </w:pPr>
      <w:r>
        <w:rPr>
          <w:rFonts w:hint="eastAsia" w:hAnsi="宋体" w:cs="宋体"/>
          <w:highlight w:val="none"/>
        </w:rPr>
        <w:t>加快中心城区扩容提质。强化规划引领作用，高标准做好各项规划编制工作，推动经济社会发展规划、城市规划与土地规划“三规合一”，提高规划严肃性。以北城区建设作为城区扩容重点，加快北城大道新建、陵园路扩建、省道S342线穿城段改造和国道G323线路肩改造等路网建设；加快建设新图书馆、新档案馆，争取启动北城小学、幼儿园建设，完善配套设施；加快征地拆迁进度，年内完成北城核心区征地拆迁工作，启动拆迁安置房建设，形成北城区框架。以强化城市功能、打造宜居环境作为城区提质重点，大力推进棚户区、帽子峰林场危旧房改造安置项目和保障性住房建设，加快中山街、河南街、借村等“三旧”改造进度；加大城市美化、绿化、亮化力度，加快实施高速公路出口、浈江河堤、大润发周边等路段森林进城围城首期工程，加快中山广场建设，升级改造沿江东路，完善城市排污管网，启动自来水厂新建5万吨供水工程；加快雄州公园园林绿化景观、广场、地下人防工程等配套设施建设，实现年内开园。强化城市管理，规范小区物业管理，加大农贸市场和市容环境卫生整治，推动城市街道卫生保洁市场化。</w:t>
      </w:r>
    </w:p>
    <w:p w14:paraId="1B5F0F82">
      <w:pPr>
        <w:rPr>
          <w:rFonts w:hint="eastAsia" w:hAnsi="宋体" w:cs="宋体"/>
          <w:highlight w:val="none"/>
        </w:rPr>
      </w:pPr>
      <w:r>
        <w:rPr>
          <w:rFonts w:hint="eastAsia" w:hAnsi="宋体" w:cs="宋体"/>
          <w:highlight w:val="none"/>
        </w:rPr>
        <w:t>加快新型城镇化建设。大力推进以人为核心的新型城镇化建设，用科学理念探索镇域规划建设管理新模式，完善镇区总体规划和镇各类规划。盘活各镇（街道）存量用地，解决用地不足问题。支持珠玑镇污水管网、绿道、主街道路面及立面改造等建制镇示范点项目建设，促进文化与旅游有机结合，加快与中心城区同城化步伐。支持乌迳墟镇商业街道、区域交通体系建设，不断集聚人口，形成南雄副中心。支持邓坊镇进一步完善公共服务配套功能，形成可以复制的小城镇建设经验模式。支持主田、坪田等镇依托旅游资源，打造特色旅游小镇。支持黄坑镇进行墟镇总体规划修编，提高中心镇建设品位。鼓励其他镇继续推进农贸市场、商场、公园、停车场建设，完善镇域功能，推动宜居镇、名镇建设。</w:t>
      </w:r>
    </w:p>
    <w:p w14:paraId="754DEA51">
      <w:pPr>
        <w:rPr>
          <w:rFonts w:hint="eastAsia" w:hAnsi="宋体" w:cs="宋体"/>
          <w:b/>
          <w:bCs/>
          <w:highlight w:val="none"/>
        </w:rPr>
      </w:pPr>
      <w:r>
        <w:rPr>
          <w:rFonts w:hint="eastAsia" w:hAnsi="宋体" w:cs="宋体"/>
          <w:b/>
          <w:bCs/>
          <w:highlight w:val="none"/>
        </w:rPr>
        <w:t>（四</w:t>
      </w:r>
      <w:r>
        <w:rPr>
          <w:rFonts w:hint="eastAsia" w:hAnsi="宋体" w:cs="宋体"/>
          <w:b/>
          <w:bCs/>
          <w:highlight w:val="none"/>
          <w:lang w:eastAsia="zh-CN"/>
        </w:rPr>
        <w:t>）</w:t>
      </w:r>
      <w:r>
        <w:rPr>
          <w:rFonts w:hint="eastAsia" w:hAnsi="宋体" w:cs="宋体"/>
          <w:b/>
          <w:bCs/>
          <w:highlight w:val="none"/>
        </w:rPr>
        <w:t>抓民生，惠百姓秉承民生优先理念，保障和改善民生，提升人民群众幸福指数。</w:t>
      </w:r>
    </w:p>
    <w:p w14:paraId="44959354">
      <w:pPr>
        <w:rPr>
          <w:rFonts w:hint="eastAsia" w:hAnsi="宋体" w:cs="宋体"/>
          <w:highlight w:val="none"/>
        </w:rPr>
      </w:pPr>
      <w:r>
        <w:rPr>
          <w:rFonts w:hint="eastAsia" w:hAnsi="宋体" w:cs="宋体"/>
          <w:highlight w:val="none"/>
        </w:rPr>
        <w:t>打赢脱贫攻坚战。按照精准扶贫、精准脱贫要求，认真谋划新时期精准扶贫工作</w:t>
      </w:r>
      <w:r>
        <w:rPr>
          <w:rFonts w:hint="eastAsia" w:hAnsi="宋体" w:cs="宋体"/>
          <w:highlight w:val="none"/>
          <w:lang w:eastAsia="zh-CN"/>
        </w:rPr>
        <w:t>，</w:t>
      </w:r>
      <w:r>
        <w:rPr>
          <w:rFonts w:hint="eastAsia" w:hAnsi="宋体" w:cs="宋体"/>
          <w:highlight w:val="none"/>
        </w:rPr>
        <w:t>精确摸准扶贫对象，做到不漏报一人、不多报一人。制订第三轮精准扶贫工作方案，做好扶贫动员、落实分工、明确任务，切实做到“一村一策、一户一法”。加大资金扶持力度，完善贫困村交通、水利等基础设施，加大“两不具备”贫困村整体搬迁和旧村改造力度，改善贫困村生产生活条件和发展环境。加大产业和智力扶贫，壮大贫困村集体经济，增加贫困户家庭收入，确保我市最后剩下的65个贫困村、3548户、9481人全面实现脱贫。</w:t>
      </w:r>
    </w:p>
    <w:p w14:paraId="576E32A9">
      <w:pPr>
        <w:rPr>
          <w:rFonts w:hint="eastAsia" w:hAnsi="宋体" w:cs="宋体"/>
          <w:highlight w:val="none"/>
        </w:rPr>
      </w:pPr>
      <w:r>
        <w:rPr>
          <w:rFonts w:hint="eastAsia" w:hAnsi="宋体" w:cs="宋体"/>
          <w:highlight w:val="none"/>
        </w:rPr>
        <w:t>促进公共服务均等化。实施积极的财政政策，调整和优化支出结构，保障重点民生领域支出，使更多财政资金向民生事业倾斜。全面启动教育现代化建设，深入实施教育“五大”工程，建立覆盖城乡的教育公共服务体系。力争春季全面完成新城中学搬迁重建，年内完成古市中心小学、中心幼儿园新建和原新城中学改建成新城小学、机关幼儿园总园，完成3所普通高中升级改造。加强精神文明创建，大力培育和践行社会主义核心价值观，开展“家训进万家”活动。加快建设文化强市，完成文化馆改建工程。提高底线民生保障水平，完善救灾救济救助和低保制度，扩大“五险一金”覆盖面，全面落实机关事业单位养老保险制度改革，推进社保城乡一体化。创建卫生强市，加大医疗卫生惠民力度，逐步打造信息、影像、检验、病理、心电五大中心，稳步推进分级诊疗制度的改革工作，加快黄坑、主田卫生院业务综合大楼建设，启动人民医院住院综合大楼和公建民营卫生站建设，推动镇村医疗卫生一体化，全面实施二孩政策。继续推进农村普惠金融工作。努力扩大和稳定就业，加快发展各类市场经营主体，扩大就业门路，吸引更多外出人员回乡创业，争取成为“支持农民工等人员返乡创业试点示范县”。加快新农村建设，认真做好新农村的规划和组织实施。全力推进珠玑聪辈、里仁、石塘、里东、灵潭连片省级新农村示范片建设。继续开展幸福村居、“五小场所”、路灯亮化和“一事一议”项目建设，完善农村基础设施。加大名村、示范村和卫生镇村创建力度，全面推进城乡环境卫生综合整治，改善人居环境。</w:t>
      </w:r>
    </w:p>
    <w:p w14:paraId="713A6205">
      <w:pPr>
        <w:rPr>
          <w:rFonts w:hint="eastAsia" w:hAnsi="宋体" w:cs="宋体"/>
          <w:highlight w:val="none"/>
        </w:rPr>
      </w:pPr>
      <w:r>
        <w:rPr>
          <w:rFonts w:hint="eastAsia" w:hAnsi="宋体" w:cs="宋体"/>
          <w:highlight w:val="none"/>
        </w:rPr>
        <w:t>同时，继续强化安全生产和食品药品安全网格化监管工作，加强武装、人防、应急、气象、双拥工作，提高工青妇儿、外事侨务、民族宗教、档案史志等工作水平。</w:t>
      </w:r>
    </w:p>
    <w:p w14:paraId="2D7D9E64">
      <w:pPr>
        <w:rPr>
          <w:rFonts w:hint="eastAsia" w:hAnsi="宋体" w:cs="宋体"/>
          <w:highlight w:val="none"/>
        </w:rPr>
      </w:pPr>
      <w:r>
        <w:rPr>
          <w:rFonts w:hint="eastAsia" w:hAnsi="宋体" w:cs="宋体"/>
          <w:highlight w:val="none"/>
        </w:rPr>
        <w:t>继续抓好镇村亮点工作。各镇（街道）村要在去年工作的基础上，认真总结经验，学习先进典型，高标准、高质量完成今年镇“十个一”（4+X）和村“四个一”（2+X）亮点工作。镇一级四个必选项目是建设好一个村级居家养老服务中心，协办好一个姓氏节，建设好一个村级公园或广场，打造好一个标兵党组织；村一级两个必选项目是创建好一个清洁卫生自然村，修建好一条乡村便民新路或路灯。</w:t>
      </w:r>
    </w:p>
    <w:p w14:paraId="406306C6">
      <w:pPr>
        <w:rPr>
          <w:rFonts w:hint="eastAsia" w:hAnsi="宋体" w:cs="宋体"/>
          <w:highlight w:val="none"/>
        </w:rPr>
      </w:pPr>
      <w:r>
        <w:rPr>
          <w:rFonts w:hint="eastAsia" w:hAnsi="宋体" w:cs="宋体"/>
          <w:highlight w:val="none"/>
        </w:rPr>
        <w:t>推进十大民生实事。一是完成市社会福利中心建设，镇（街道）各建成一个村级居家养老服务中心；二是投入1</w:t>
      </w:r>
      <w:r>
        <w:rPr>
          <w:rFonts w:hint="eastAsia" w:ascii="MingLiU_HKSCS" w:hAnsi="MingLiU_HKSCS" w:eastAsia="MingLiU_HKSCS" w:cs="MingLiU_HKSCS"/>
          <w:highlight w:val="none"/>
        </w:rPr>
        <w:t>.</w:t>
      </w:r>
      <w:r>
        <w:rPr>
          <w:rFonts w:hint="eastAsia" w:hAnsi="宋体" w:cs="宋体"/>
          <w:highlight w:val="none"/>
        </w:rPr>
        <w:t>8亿元，完成省山区五市中小河流治理南雄市2016年项目；三是投资3500万元，完成雄州公园建设并开园，完成城区森林进城围城首期工程；四是投入2000万元奖补资金，全面推进城乡环境卫生综合整治、农村路灯亮化工程和“五小”场所建设；五是投入500万元，提高村（居）委会基本财力保障水平；六是投资6500万元，启动北城大道新建工程，年内完成路基建设；七是投资近1亿元，启动陵园路改建工程，年内完成路基建设；八是投资6000万元，完成新图书馆、档案馆主体工程；九是投资1</w:t>
      </w:r>
      <w:r>
        <w:rPr>
          <w:rFonts w:hint="eastAsia" w:ascii="MingLiU_HKSCS" w:hAnsi="MingLiU_HKSCS" w:eastAsia="MingLiU_HKSCS" w:cs="MingLiU_HKSCS"/>
          <w:highlight w:val="none"/>
        </w:rPr>
        <w:t>.</w:t>
      </w:r>
      <w:r>
        <w:rPr>
          <w:rFonts w:hint="eastAsia" w:hAnsi="宋体" w:cs="宋体"/>
          <w:highlight w:val="none"/>
        </w:rPr>
        <w:t>2亿元，进行工矿棚户区改造，年内完成2万平方米的房屋主体建设；十是投资1</w:t>
      </w:r>
      <w:r>
        <w:rPr>
          <w:rFonts w:hint="eastAsia" w:ascii="MingLiU_HKSCS" w:hAnsi="MingLiU_HKSCS" w:eastAsia="MingLiU_HKSCS" w:cs="MingLiU_HKSCS"/>
          <w:highlight w:val="none"/>
        </w:rPr>
        <w:t>.</w:t>
      </w:r>
      <w:r>
        <w:rPr>
          <w:rFonts w:hint="eastAsia" w:hAnsi="宋体" w:cs="宋体"/>
          <w:highlight w:val="none"/>
        </w:rPr>
        <w:t>5亿元建设人民医院住院综合大楼，上半年完成前期工作，年内完成投资4000万元。</w:t>
      </w:r>
    </w:p>
    <w:p w14:paraId="016111E1">
      <w:pPr>
        <w:rPr>
          <w:rFonts w:hint="eastAsia" w:hAnsi="宋体" w:cs="宋体"/>
          <w:highlight w:val="none"/>
        </w:rPr>
      </w:pPr>
      <w:r>
        <w:rPr>
          <w:rFonts w:hint="eastAsia" w:hAnsi="宋体" w:cs="宋体"/>
          <w:b/>
          <w:bCs/>
          <w:highlight w:val="none"/>
        </w:rPr>
        <w:t>（五</w:t>
      </w:r>
      <w:r>
        <w:rPr>
          <w:rFonts w:hint="eastAsia" w:hAnsi="宋体" w:cs="宋体"/>
          <w:b/>
          <w:bCs/>
          <w:highlight w:val="none"/>
          <w:lang w:eastAsia="zh-CN"/>
        </w:rPr>
        <w:t>）</w:t>
      </w:r>
      <w:r>
        <w:rPr>
          <w:rFonts w:hint="eastAsia" w:hAnsi="宋体" w:cs="宋体"/>
          <w:b/>
          <w:bCs/>
          <w:highlight w:val="none"/>
        </w:rPr>
        <w:t>抓改革，添活力</w:t>
      </w:r>
      <w:r>
        <w:rPr>
          <w:rFonts w:hint="eastAsia" w:hAnsi="宋体" w:cs="宋体"/>
          <w:b/>
          <w:bCs/>
          <w:highlight w:val="none"/>
          <w:lang w:val="en-US" w:eastAsia="zh-CN"/>
        </w:rPr>
        <w:t xml:space="preserve">  </w:t>
      </w:r>
      <w:r>
        <w:rPr>
          <w:rFonts w:hint="eastAsia" w:hAnsi="宋体" w:cs="宋体"/>
          <w:highlight w:val="none"/>
        </w:rPr>
        <w:t>推进结构性改革，深入挖掘改革带来的红利，以开放包容姿态吸纳更多社会力量参与经济社会发展，达到互利互惠、合作共赢的良好局面。</w:t>
      </w:r>
    </w:p>
    <w:p w14:paraId="30F9AA5C">
      <w:pPr>
        <w:rPr>
          <w:rFonts w:hint="eastAsia" w:hAnsi="宋体" w:cs="宋体"/>
          <w:highlight w:val="none"/>
        </w:rPr>
      </w:pPr>
      <w:r>
        <w:rPr>
          <w:rFonts w:hint="eastAsia" w:hAnsi="宋体" w:cs="宋体"/>
          <w:highlight w:val="none"/>
        </w:rPr>
        <w:t>深化重点领域改革。深入推进简政放权放管结合，转变政府职能，力争在重要领域和关键环节取得成效。深化商事登记制度改革，全面实施“三证合一、一照一码”登记制度。发挥公共联合征信中心平台作用，加强企业信用监管，营造公平竞争的市场环境。加强管理国有资产及其收益，持续推进国有企业管理改革，强化对企业负责人的监管，实行国有企业人员招聘制度，激发国有企业发展动力。大力推进城乡建设用地增减挂钩，加快古市、邓坊项目区拆旧复垦工作。深化农村综合改革，推进农村综合服务平台、村集体“三资”管理平台建设。加强财税征管，严格规范非税收支管理，积极推进全口径财政预算。完善不动产统一登记工作，推动公共资源交易全业务全流程网络运行模式，实现“阳光交易”。</w:t>
      </w:r>
    </w:p>
    <w:p w14:paraId="12165755">
      <w:pPr>
        <w:rPr>
          <w:rFonts w:hint="eastAsia" w:hAnsi="宋体" w:cs="宋体"/>
          <w:highlight w:val="none"/>
        </w:rPr>
      </w:pPr>
      <w:r>
        <w:rPr>
          <w:rFonts w:hint="eastAsia" w:hAnsi="宋体" w:cs="宋体"/>
          <w:highlight w:val="none"/>
        </w:rPr>
        <w:t>促进融合发展。充分发挥我市连接珠三角与长三角的“桥头堡”作用，积极参与“一带一路”节点城市建设，促进与珠三角、长三角等发达地区在产业、市场、信息、人才等方面的合作。巩固和深化南城·南雄对口帮扶合作。推动特色农产品进入珠三角商场超市，拓宽特色产品销售渠道。加大珠三角产业转移承接力度，推动一批项目落户。充分发挥联谊会、商会、行业协会及姓氏文化旅游节等人文平台优势，加强与海内外后裔、姓氏宗亲、乡贤的沟通联系，激发后裔、乡贤反哺家乡热情，凝聚发展力量，形成“资金回流、企业回迁、信息回传、人才回乡”良好局面。精心筹办第三届姓氏文化旅游节，积极谋划广府（联谊）大厦项目。办好“纪念张九龄奉诣开凿梅关古道1300周年”“中国影视人珠玑行”“华商领袖南雄行”“百名作家进南雄”等活动，出版长篇小说《珠玑情》，并推动将其拍摄成影视剧。</w:t>
      </w:r>
    </w:p>
    <w:p w14:paraId="649D2D19">
      <w:pPr>
        <w:rPr>
          <w:rFonts w:hint="eastAsia" w:hAnsi="宋体" w:cs="宋体"/>
          <w:highlight w:val="none"/>
        </w:rPr>
      </w:pPr>
      <w:r>
        <w:rPr>
          <w:rFonts w:hint="eastAsia" w:hAnsi="宋体" w:cs="宋体"/>
          <w:b/>
          <w:bCs/>
          <w:highlight w:val="none"/>
        </w:rPr>
        <w:t>（六</w:t>
      </w:r>
      <w:r>
        <w:rPr>
          <w:rFonts w:hint="eastAsia" w:hAnsi="宋体" w:cs="宋体"/>
          <w:b/>
          <w:bCs/>
          <w:highlight w:val="none"/>
          <w:lang w:eastAsia="zh-CN"/>
        </w:rPr>
        <w:t>）</w:t>
      </w:r>
      <w:r>
        <w:rPr>
          <w:rFonts w:hint="eastAsia" w:hAnsi="宋体" w:cs="宋体"/>
          <w:b/>
          <w:bCs/>
          <w:highlight w:val="none"/>
        </w:rPr>
        <w:t>抓环保，美生态</w:t>
      </w:r>
      <w:r>
        <w:rPr>
          <w:rFonts w:hint="eastAsia" w:hAnsi="宋体" w:cs="宋体"/>
          <w:b/>
          <w:bCs/>
          <w:highlight w:val="none"/>
          <w:lang w:val="en-US" w:eastAsia="zh-CN"/>
        </w:rPr>
        <w:t xml:space="preserve"> </w:t>
      </w:r>
      <w:r>
        <w:rPr>
          <w:rFonts w:hint="eastAsia" w:hAnsi="宋体" w:cs="宋体"/>
          <w:b/>
          <w:highlight w:val="none"/>
          <w:lang w:val="en-US" w:eastAsia="zh-CN"/>
        </w:rPr>
        <w:t xml:space="preserve"> </w:t>
      </w:r>
      <w:r>
        <w:rPr>
          <w:rFonts w:hint="eastAsia" w:hAnsi="宋体" w:cs="宋体"/>
          <w:highlight w:val="none"/>
        </w:rPr>
        <w:t>坚持绿水青山就是金山银山的发展理念，大力推进生态城乡建设，促进环境保护与经济建设协调发展。</w:t>
      </w:r>
    </w:p>
    <w:p w14:paraId="2B49AA20">
      <w:pPr>
        <w:rPr>
          <w:rFonts w:hint="eastAsia" w:hAnsi="宋体" w:cs="宋体"/>
          <w:highlight w:val="none"/>
        </w:rPr>
      </w:pPr>
      <w:r>
        <w:rPr>
          <w:rFonts w:hint="eastAsia" w:hAnsi="宋体" w:cs="宋体"/>
          <w:highlight w:val="none"/>
        </w:rPr>
        <w:t>加强环境综合治理。坚守生态发展底线，落实国家重点生态功能区和节能减排工作。严把项目环保准入关，强化环保日常监管，严格环境执法，保障环境安全。加大辖区内水质、大气、土壤环境监测工作力度，强化公路沿线环境整治，完善城镇污水配套管网建设。继续推进农村环境综合整治，实现城市及周边地区乡镇垃圾无害化处理，其他镇以“一镇一策”的办法处理垃圾。加大珠玑、坪田、主田、帽子峰等重点旅游景区和村庄周边禽畜养殖污染整治力度，创造良好的旅游卫生环境。加大水土保持力度，开展重点地区地质灾害防治工作。把打击“两违”作为年度工作重点，以高压态势打击“两违”行为和非法开采矿产资源行为。</w:t>
      </w:r>
    </w:p>
    <w:p w14:paraId="1574BD90">
      <w:pPr>
        <w:rPr>
          <w:rFonts w:hint="eastAsia" w:hAnsi="宋体" w:cs="宋体"/>
          <w:highlight w:val="none"/>
        </w:rPr>
      </w:pPr>
      <w:r>
        <w:rPr>
          <w:rFonts w:hint="eastAsia" w:hAnsi="宋体" w:cs="宋体"/>
          <w:highlight w:val="none"/>
        </w:rPr>
        <w:t>推进生态林业和绿色产业。深入推进新一轮绿化南雄大行动，继续抓好森林碳汇造林、生态景观林带、森林进城围城和乡村绿化美化四大重点生态工程。完成营林造林2</w:t>
      </w:r>
      <w:r>
        <w:rPr>
          <w:rFonts w:hint="eastAsia" w:ascii="MingLiU_HKSCS" w:hAnsi="MingLiU_HKSCS" w:eastAsia="MingLiU_HKSCS" w:cs="MingLiU_HKSCS"/>
          <w:highlight w:val="none"/>
        </w:rPr>
        <w:t>.</w:t>
      </w:r>
      <w:r>
        <w:rPr>
          <w:rFonts w:hint="eastAsia" w:hAnsi="宋体" w:cs="宋体"/>
          <w:highlight w:val="none"/>
        </w:rPr>
        <w:t>5万亩、碳汇工程林抚育11万亩，建设乡村绿化美化示范点10个，创建镇级示范性森林公园5个，完善百顺观音岽、苍石丹霞梧桐2个县级自然保护区和杨梅水库县级湿地公园建设。抓好帽子峰森林公园、坪田银杏公园、雄州公园和青嶂山省级自然保护区的升级改造，充分发挥森林资源优势，推进我市森林生态旅游的发展。加快广东孔江国家湿地公园试点建设步伐，确保如期通过国家验收。继续加强林业秩序管理，压减林木采伐指标，抓好森林防火，保护森林资源。开展国有林场制度改革，转变经营方式，建设生态林场。加大对林下经济的扶持，促进林业产业发展。</w:t>
      </w:r>
    </w:p>
    <w:p w14:paraId="7A6C8128">
      <w:pPr>
        <w:rPr>
          <w:rFonts w:hint="eastAsia" w:hAnsi="宋体" w:cs="宋体"/>
          <w:highlight w:val="none"/>
        </w:rPr>
      </w:pPr>
      <w:r>
        <w:rPr>
          <w:rFonts w:hint="eastAsia" w:hAnsi="宋体" w:cs="宋体"/>
          <w:b/>
          <w:bCs/>
          <w:highlight w:val="none"/>
        </w:rPr>
        <w:t>（七</w:t>
      </w:r>
      <w:r>
        <w:rPr>
          <w:rFonts w:hint="eastAsia" w:hAnsi="宋体" w:cs="宋体"/>
          <w:b/>
          <w:bCs/>
          <w:highlight w:val="none"/>
          <w:lang w:eastAsia="zh-CN"/>
        </w:rPr>
        <w:t>）</w:t>
      </w:r>
      <w:r>
        <w:rPr>
          <w:rFonts w:hint="eastAsia" w:hAnsi="宋体" w:cs="宋体"/>
          <w:b/>
          <w:bCs/>
          <w:highlight w:val="none"/>
        </w:rPr>
        <w:t>抓法治，促勤廉</w:t>
      </w:r>
      <w:r>
        <w:rPr>
          <w:rFonts w:hint="eastAsia" w:hAnsi="宋体" w:cs="宋体"/>
          <w:b/>
          <w:bCs/>
          <w:highlight w:val="none"/>
          <w:lang w:val="en-US" w:eastAsia="zh-CN"/>
        </w:rPr>
        <w:t xml:space="preserve"> </w:t>
      </w:r>
      <w:r>
        <w:rPr>
          <w:rFonts w:hint="eastAsia" w:hAnsi="宋体" w:cs="宋体"/>
          <w:b/>
          <w:highlight w:val="none"/>
          <w:lang w:val="en-US" w:eastAsia="zh-CN"/>
        </w:rPr>
        <w:t xml:space="preserve"> </w:t>
      </w:r>
      <w:r>
        <w:rPr>
          <w:rFonts w:hint="eastAsia" w:hAnsi="宋体" w:cs="宋体"/>
          <w:highlight w:val="none"/>
        </w:rPr>
        <w:t>努力建设一支依法行政、敢于担当的干部队伍，为跨越发展提供坚强保障。</w:t>
      </w:r>
    </w:p>
    <w:p w14:paraId="6B57E0F6">
      <w:pPr>
        <w:rPr>
          <w:rFonts w:hint="eastAsia" w:hAnsi="宋体" w:cs="宋体"/>
          <w:highlight w:val="none"/>
        </w:rPr>
      </w:pPr>
      <w:r>
        <w:rPr>
          <w:rFonts w:hint="eastAsia" w:hAnsi="宋体" w:cs="宋体"/>
          <w:highlight w:val="none"/>
        </w:rPr>
        <w:t>强化依法履职。增强</w:t>
      </w:r>
      <w:r>
        <w:rPr>
          <w:rFonts w:hint="eastAsia" w:cs="宋体"/>
          <w:highlight w:val="none"/>
          <w:lang w:eastAsia="zh-CN"/>
        </w:rPr>
        <w:t>法治意识</w:t>
      </w:r>
      <w:r>
        <w:rPr>
          <w:rFonts w:hint="eastAsia" w:hAnsi="宋体" w:cs="宋体"/>
          <w:highlight w:val="none"/>
        </w:rPr>
        <w:t>，落实市府常务会议学法制度，加强规范性文件管理。严格执行“三重一大”集体决策制度。推进依法行政，规范行政执法行为，完善政府法律顾问制度，提高行政复议和行政应诉能力。自觉接受人大、政协和社会监督，强化监察、审计等内部监督，形成科学有效的行政权力运行制约监督体系。认真听取民主党派、人民团体和各界人士的意见建议，提高人大建议议案、政协提案的办理实效。深入开展法治宣传教育，继续推进一村（社区）一法律顾问工作，建设法治南雄。加强社会治安综合治理，健全依法维权和矛盾纠纷预防化解机制，加大重点领域和重大社会矛盾化解力度，积极引导群众理性表达诉求，依法维护权益，确保社会大局和谐稳定。</w:t>
      </w:r>
    </w:p>
    <w:p w14:paraId="3D6F05D1">
      <w:pPr>
        <w:rPr>
          <w:rFonts w:hint="eastAsia" w:hAnsi="宋体" w:cs="宋体"/>
          <w:highlight w:val="none"/>
        </w:rPr>
      </w:pPr>
      <w:r>
        <w:rPr>
          <w:rFonts w:hint="eastAsia" w:hAnsi="宋体" w:cs="宋体"/>
          <w:highlight w:val="none"/>
        </w:rPr>
        <w:t>强化政务环境。深入推进作风建设，形成大抓落实提高执行力的良好氛围。加快新行政服务中心建设，推进“互联网+”政务服务，学习“东莞速度”，继续打造“南雄服务”。健全督查督办机制，强化结果应用，确保政令畅通。加强效能问责，大力整治“慢作为、不作为、不担当”等庸政懒政现象。树立正确的执纪导向，为敢负责、敢担当、推动发展的干部鼓劲打气、壮胆撑腰，当好干事创业坚强后盾。深入开展镇（街道</w:t>
      </w:r>
      <w:r>
        <w:rPr>
          <w:rFonts w:hint="eastAsia" w:hAnsi="宋体" w:cs="宋体"/>
          <w:highlight w:val="none"/>
          <w:lang w:eastAsia="zh-CN"/>
        </w:rPr>
        <w:t>）</w:t>
      </w:r>
      <w:r>
        <w:rPr>
          <w:rFonts w:hint="eastAsia" w:hAnsi="宋体" w:cs="宋体"/>
          <w:highlight w:val="none"/>
        </w:rPr>
        <w:t>经济社会科学发展考核和市直单位绩效考核，严格奖惩措施，激发工作积极性。</w:t>
      </w:r>
    </w:p>
    <w:p w14:paraId="1C07BA79">
      <w:pPr>
        <w:rPr>
          <w:rFonts w:hint="eastAsia" w:hAnsi="宋体" w:cs="宋体"/>
          <w:highlight w:val="none"/>
        </w:rPr>
      </w:pPr>
      <w:r>
        <w:rPr>
          <w:rFonts w:hint="eastAsia" w:hAnsi="宋体" w:cs="宋体"/>
          <w:highlight w:val="none"/>
        </w:rPr>
        <w:t>强化廉政建设。严格落实党风廉政建设“两个责任”及领导干部“一岗双责”，推进政府系统反腐倡廉工作。严格执行</w:t>
      </w:r>
      <w:r>
        <w:rPr>
          <w:rFonts w:hint="eastAsia" w:cs="宋体"/>
          <w:highlight w:val="none"/>
          <w:lang w:val="en-US" w:eastAsia="zh-CN"/>
        </w:rPr>
        <w:t>中央</w:t>
      </w:r>
      <w:r>
        <w:rPr>
          <w:rFonts w:hint="eastAsia" w:hAnsi="宋体" w:cs="宋体"/>
          <w:highlight w:val="none"/>
        </w:rPr>
        <w:t>八项规定，坚决反对“四风”。加大对工程建设、土地出让、矿产开采和国有资产等领域的监管力度。严肃查处各类违纪违法案件，切实做到有投诉必查实，有调查必有结果，有问题必须处理，以政府的廉洁形象取信于民。</w:t>
      </w:r>
    </w:p>
    <w:p w14:paraId="03A053BF">
      <w:pPr>
        <w:rPr>
          <w:rFonts w:hint="eastAsia" w:hAnsi="宋体" w:cs="宋体"/>
          <w:highlight w:val="none"/>
        </w:rPr>
      </w:pPr>
      <w:r>
        <w:rPr>
          <w:rFonts w:hint="eastAsia" w:hAnsi="宋体" w:cs="宋体"/>
          <w:highlight w:val="none"/>
        </w:rPr>
        <w:t>各位代表，蓝图绘就，应策马扬鞭；任重道远，当披荆斩棘。新的一年是新的起点，让我们在市委的坚强领导下，与全市人民一道，携手共进，为加快建设粤北门户城市，与全国同步全面建成小康社会的伟大目标努力奋斗！</w:t>
      </w:r>
    </w:p>
    <w:p w14:paraId="18B96C9B">
      <w:pPr>
        <w:rPr>
          <w:rFonts w:hint="eastAsia" w:hAnsi="宋体" w:cs="宋体"/>
          <w:highlight w:val="none"/>
        </w:rPr>
      </w:pPr>
      <w:r>
        <w:rPr>
          <w:rFonts w:hint="eastAsia" w:hAnsi="宋体" w:cs="宋体"/>
          <w:highlight w:val="none"/>
        </w:rPr>
        <w:t>附件：</w:t>
      </w:r>
    </w:p>
    <w:p w14:paraId="48FE4622">
      <w:pPr>
        <w:bidi w:val="0"/>
        <w:jc w:val="center"/>
        <w:rPr>
          <w:rFonts w:hint="eastAsia"/>
          <w:b/>
          <w:bCs/>
          <w:highlight w:val="none"/>
        </w:rPr>
      </w:pPr>
      <w:r>
        <w:rPr>
          <w:rFonts w:hint="eastAsia"/>
          <w:b/>
          <w:bCs/>
          <w:highlight w:val="none"/>
        </w:rPr>
        <w:t>名词解释</w:t>
      </w:r>
    </w:p>
    <w:p w14:paraId="2FBC94DA">
      <w:pPr>
        <w:rPr>
          <w:rFonts w:hint="eastAsia" w:hAnsi="宋体" w:cs="宋体"/>
          <w:highlight w:val="none"/>
        </w:rPr>
      </w:pPr>
      <w:r>
        <w:rPr>
          <w:rFonts w:hint="eastAsia" w:hAnsi="宋体" w:cs="宋体"/>
          <w:b/>
          <w:bCs/>
          <w:highlight w:val="none"/>
        </w:rPr>
        <w:t>省新型</w:t>
      </w:r>
      <w:r>
        <w:rPr>
          <w:rFonts w:hint="eastAsia" w:hAnsi="宋体" w:cs="宋体"/>
          <w:b/>
          <w:highlight w:val="none"/>
        </w:rPr>
        <w:t>城镇化</w:t>
      </w:r>
      <w:r>
        <w:rPr>
          <w:rFonts w:hint="eastAsia" w:hAnsi="宋体" w:cs="宋体"/>
          <w:b/>
          <w:highlight w:val="none"/>
          <w:lang w:val="en-US" w:eastAsia="zh-CN"/>
        </w:rPr>
        <w:t xml:space="preserve">  </w:t>
      </w:r>
      <w:r>
        <w:rPr>
          <w:rFonts w:hint="eastAsia" w:hAnsi="宋体" w:cs="宋体"/>
          <w:highlight w:val="none"/>
        </w:rPr>
        <w:t>“2511”综合试点：是省政府择优评选2个地级市、5个县区、10个建制镇作为新型城镇化综合试点，选择10类项目作为新型城镇化专项试点。</w:t>
      </w:r>
    </w:p>
    <w:p w14:paraId="33F24C7D">
      <w:pPr>
        <w:rPr>
          <w:rFonts w:hint="eastAsia" w:hAnsi="宋体" w:cs="宋体"/>
          <w:highlight w:val="none"/>
        </w:rPr>
      </w:pPr>
      <w:r>
        <w:rPr>
          <w:rFonts w:hint="eastAsia" w:hAnsi="宋体" w:cs="宋体"/>
          <w:b/>
          <w:bCs/>
          <w:highlight w:val="none"/>
        </w:rPr>
        <w:t>PPP模</w:t>
      </w:r>
      <w:r>
        <w:rPr>
          <w:rFonts w:hint="eastAsia" w:hAnsi="宋体" w:cs="宋体"/>
          <w:b/>
          <w:highlight w:val="none"/>
        </w:rPr>
        <w:t>式：</w:t>
      </w:r>
      <w:r>
        <w:rPr>
          <w:rFonts w:hint="eastAsia" w:hAnsi="宋体" w:cs="宋体"/>
          <w:b/>
          <w:highlight w:val="none"/>
          <w:lang w:val="en-US" w:eastAsia="zh-CN"/>
        </w:rPr>
        <w:t xml:space="preserve">  </w:t>
      </w:r>
      <w:r>
        <w:rPr>
          <w:rFonts w:hint="eastAsia" w:hAnsi="宋体" w:cs="宋体"/>
          <w:highlight w:val="none"/>
        </w:rPr>
        <w:t>也称PPP融资，是一种公私合营模式，是指政府与社会资本签订长期协议，授权社会资本代替政府建设、运营或管理公共基础设施并向公众提供公共服务。</w:t>
      </w:r>
    </w:p>
    <w:p w14:paraId="7D3F52F5">
      <w:pPr>
        <w:rPr>
          <w:rFonts w:hint="eastAsia" w:hAnsi="宋体" w:cs="宋体"/>
          <w:highlight w:val="none"/>
        </w:rPr>
      </w:pPr>
      <w:r>
        <w:rPr>
          <w:rFonts w:hint="eastAsia" w:hAnsi="宋体" w:cs="宋体"/>
          <w:b/>
          <w:bCs/>
          <w:highlight w:val="none"/>
        </w:rPr>
        <w:t>农村“三资”清</w:t>
      </w:r>
      <w:r>
        <w:rPr>
          <w:rFonts w:hint="eastAsia" w:hAnsi="宋体" w:cs="宋体"/>
          <w:b/>
          <w:highlight w:val="none"/>
        </w:rPr>
        <w:t>理：</w:t>
      </w:r>
      <w:r>
        <w:rPr>
          <w:rFonts w:hint="eastAsia" w:hAnsi="宋体" w:cs="宋体"/>
          <w:b/>
          <w:highlight w:val="none"/>
          <w:lang w:val="en-US" w:eastAsia="zh-CN"/>
        </w:rPr>
        <w:t xml:space="preserve">  </w:t>
      </w:r>
      <w:r>
        <w:rPr>
          <w:rFonts w:hint="eastAsia" w:hAnsi="宋体" w:cs="宋体"/>
          <w:highlight w:val="none"/>
        </w:rPr>
        <w:t>是对农村集体经济组织的资金、资产、资源进行合理清查、整顿、完善。</w:t>
      </w:r>
    </w:p>
    <w:p w14:paraId="22C44197">
      <w:pPr>
        <w:rPr>
          <w:rFonts w:hint="eastAsia" w:hAnsi="宋体" w:cs="宋体"/>
          <w:highlight w:val="none"/>
        </w:rPr>
      </w:pPr>
      <w:r>
        <w:rPr>
          <w:rFonts w:hint="eastAsia" w:hAnsi="宋体" w:cs="宋体"/>
          <w:b/>
          <w:bCs/>
          <w:highlight w:val="none"/>
        </w:rPr>
        <w:t>“四个全</w:t>
      </w:r>
      <w:r>
        <w:rPr>
          <w:rFonts w:hint="eastAsia" w:hAnsi="宋体" w:cs="宋体"/>
          <w:b/>
          <w:highlight w:val="none"/>
        </w:rPr>
        <w:t>面”：</w:t>
      </w:r>
      <w:r>
        <w:rPr>
          <w:rFonts w:hint="eastAsia" w:hAnsi="宋体" w:cs="宋体"/>
          <w:b/>
          <w:highlight w:val="none"/>
          <w:lang w:val="en-US" w:eastAsia="zh-CN"/>
        </w:rPr>
        <w:t xml:space="preserve">  </w:t>
      </w:r>
      <w:r>
        <w:rPr>
          <w:rFonts w:hint="eastAsia" w:hAnsi="宋体" w:cs="宋体"/>
          <w:highlight w:val="none"/>
        </w:rPr>
        <w:t>即指习近平总书记2014年12月在江苏调研时首次提出的“全面建成小康社会、全面深化改革、全面依法治国、全面从严治党”。</w:t>
      </w:r>
    </w:p>
    <w:p w14:paraId="750614EA">
      <w:pPr>
        <w:rPr>
          <w:rFonts w:hint="eastAsia" w:hAnsi="宋体" w:cs="宋体"/>
          <w:highlight w:val="none"/>
        </w:rPr>
      </w:pPr>
      <w:r>
        <w:rPr>
          <w:rFonts w:hint="eastAsia" w:hAnsi="宋体" w:cs="宋体"/>
          <w:b/>
          <w:bCs/>
          <w:highlight w:val="none"/>
        </w:rPr>
        <w:t>“3个1+18”</w:t>
      </w:r>
      <w:r>
        <w:rPr>
          <w:rFonts w:hint="eastAsia" w:hAnsi="宋体" w:cs="宋体"/>
          <w:b/>
          <w:highlight w:val="none"/>
        </w:rPr>
        <w:t>计划：</w:t>
      </w:r>
      <w:r>
        <w:rPr>
          <w:rFonts w:hint="eastAsia" w:hAnsi="宋体" w:cs="宋体"/>
          <w:b/>
          <w:highlight w:val="none"/>
          <w:lang w:val="en-US" w:eastAsia="zh-CN"/>
        </w:rPr>
        <w:t xml:space="preserve">  </w:t>
      </w:r>
      <w:r>
        <w:rPr>
          <w:rFonts w:hint="eastAsia" w:hAnsi="宋体" w:cs="宋体"/>
          <w:highlight w:val="none"/>
        </w:rPr>
        <w:t>即建立1个专业的城区培训中心、1个县级仓储配送中心、1个城区电子商务创业园和18个镇级服务站。</w:t>
      </w:r>
    </w:p>
    <w:p w14:paraId="53663AA5">
      <w:pPr>
        <w:rPr>
          <w:rFonts w:hint="eastAsia" w:hAnsi="宋体" w:cs="宋体"/>
          <w:highlight w:val="none"/>
        </w:rPr>
      </w:pPr>
      <w:r>
        <w:rPr>
          <w:rFonts w:hint="eastAsia" w:hAnsi="宋体" w:cs="宋体"/>
          <w:b/>
          <w:bCs/>
          <w:highlight w:val="none"/>
        </w:rPr>
        <w:t>“3+1+2”“城市</w:t>
      </w:r>
      <w:r>
        <w:rPr>
          <w:rFonts w:hint="eastAsia" w:hAnsi="宋体" w:cs="宋体"/>
          <w:b/>
          <w:highlight w:val="none"/>
        </w:rPr>
        <w:t>经济圈”：</w:t>
      </w:r>
      <w:r>
        <w:rPr>
          <w:rFonts w:hint="eastAsia" w:hAnsi="宋体" w:cs="宋体"/>
          <w:b/>
          <w:highlight w:val="none"/>
          <w:lang w:val="en-US" w:eastAsia="zh-CN"/>
        </w:rPr>
        <w:t xml:space="preserve">  </w:t>
      </w:r>
      <w:r>
        <w:rPr>
          <w:rFonts w:hint="eastAsia" w:hAnsi="宋体" w:cs="宋体"/>
          <w:highlight w:val="none"/>
        </w:rPr>
        <w:t>指韶关依托市辖三区和乐昌、南雄城区现有城市规模以及韶关机场、北部工业园区的规划建设，把浈江、武江、曲江、乳源东北部和乐昌、南雄城区打造一个城市经济圈。</w:t>
      </w:r>
    </w:p>
    <w:p w14:paraId="31D932CB">
      <w:pPr>
        <w:rPr>
          <w:rFonts w:hint="eastAsia" w:hAnsi="宋体" w:cs="宋体"/>
          <w:highlight w:val="none"/>
        </w:rPr>
      </w:pPr>
      <w:r>
        <w:rPr>
          <w:rFonts w:hint="eastAsia" w:hAnsi="宋体" w:cs="宋体"/>
          <w:b/>
          <w:bCs/>
          <w:highlight w:val="none"/>
        </w:rPr>
        <w:t>“两</w:t>
      </w:r>
      <w:r>
        <w:rPr>
          <w:rFonts w:hint="eastAsia" w:hAnsi="宋体" w:cs="宋体"/>
          <w:b/>
          <w:highlight w:val="none"/>
        </w:rPr>
        <w:t>不具备”：</w:t>
      </w:r>
      <w:r>
        <w:rPr>
          <w:rFonts w:hint="eastAsia" w:hAnsi="宋体" w:cs="宋体"/>
          <w:b/>
          <w:highlight w:val="none"/>
          <w:lang w:val="en-US" w:eastAsia="zh-CN"/>
        </w:rPr>
        <w:t xml:space="preserve">  </w:t>
      </w:r>
      <w:r>
        <w:rPr>
          <w:rFonts w:hint="eastAsia" w:hAnsi="宋体" w:cs="宋体"/>
          <w:highlight w:val="none"/>
        </w:rPr>
        <w:t>指不具备生产条件和不具备生活条件。</w:t>
      </w:r>
    </w:p>
    <w:p w14:paraId="66DA45A7">
      <w:pPr>
        <w:rPr>
          <w:rFonts w:hint="eastAsia" w:hAnsi="宋体" w:cs="宋体"/>
          <w:highlight w:val="none"/>
        </w:rPr>
      </w:pPr>
      <w:r>
        <w:rPr>
          <w:rFonts w:hint="eastAsia" w:hAnsi="宋体" w:cs="宋体"/>
          <w:b/>
          <w:bCs/>
          <w:highlight w:val="none"/>
        </w:rPr>
        <w:t>教育“五大”工</w:t>
      </w:r>
      <w:r>
        <w:rPr>
          <w:rFonts w:hint="eastAsia" w:hAnsi="宋体" w:cs="宋体"/>
          <w:b/>
          <w:highlight w:val="none"/>
        </w:rPr>
        <w:t>程：</w:t>
      </w:r>
      <w:r>
        <w:rPr>
          <w:rFonts w:hint="eastAsia" w:hAnsi="宋体" w:cs="宋体"/>
          <w:b/>
          <w:highlight w:val="none"/>
          <w:lang w:val="en-US" w:eastAsia="zh-CN"/>
        </w:rPr>
        <w:t xml:space="preserve">  </w:t>
      </w:r>
      <w:r>
        <w:rPr>
          <w:rFonts w:hint="eastAsia" w:hAnsi="宋体" w:cs="宋体"/>
          <w:highlight w:val="none"/>
        </w:rPr>
        <w:t>指实施学前教育快速提升工程、义务教育优质均衡发展工程、高中教育质量提升工程、职业教育特色发展工程、特殊教育普及工程。</w:t>
      </w:r>
    </w:p>
    <w:p w14:paraId="413C6D20">
      <w:pPr>
        <w:rPr>
          <w:rFonts w:hint="eastAsia" w:hAnsi="宋体" w:cs="宋体"/>
          <w:highlight w:val="none"/>
        </w:rPr>
      </w:pPr>
      <w:r>
        <w:rPr>
          <w:rFonts w:hint="eastAsia" w:hAnsi="宋体" w:cs="宋体"/>
          <w:b/>
          <w:bCs/>
          <w:highlight w:val="none"/>
        </w:rPr>
        <w:t>“三证合一、一照一码”登</w:t>
      </w:r>
      <w:r>
        <w:rPr>
          <w:rFonts w:hint="eastAsia" w:hAnsi="宋体" w:cs="宋体"/>
          <w:b/>
          <w:highlight w:val="none"/>
        </w:rPr>
        <w:t>记制度：</w:t>
      </w:r>
      <w:r>
        <w:rPr>
          <w:rFonts w:hint="eastAsia" w:hAnsi="宋体" w:cs="宋体"/>
          <w:b/>
          <w:highlight w:val="none"/>
          <w:lang w:val="en-US" w:eastAsia="zh-CN"/>
        </w:rPr>
        <w:t xml:space="preserve">  </w:t>
      </w:r>
      <w:r>
        <w:rPr>
          <w:rFonts w:hint="eastAsia" w:hAnsi="宋体" w:cs="宋体"/>
          <w:highlight w:val="none"/>
        </w:rPr>
        <w:t>指将企业登记时依次申请，分别由工商行政管理部门核发工商营业执照、质量技术监督部门核发组织机构代码证、税务部门核发税务登记证，改为一次申请，由工商行政管理部门或市场监管部门核发一个加载统一社会信用代码的营业执照的登记制度。</w:t>
      </w:r>
    </w:p>
    <w:p w14:paraId="326C047F">
      <w:pPr>
        <w:rPr>
          <w:rFonts w:hint="eastAsia" w:hAnsi="宋体" w:cs="宋体"/>
          <w:highlight w:val="none"/>
        </w:rPr>
      </w:pPr>
      <w:r>
        <w:rPr>
          <w:rFonts w:hint="eastAsia" w:hAnsi="宋体" w:cs="宋体"/>
          <w:b/>
          <w:bCs/>
          <w:highlight w:val="none"/>
        </w:rPr>
        <w:t>“三重一</w:t>
      </w:r>
      <w:r>
        <w:rPr>
          <w:rFonts w:hint="eastAsia" w:hAnsi="宋体" w:cs="宋体"/>
          <w:b/>
          <w:highlight w:val="none"/>
        </w:rPr>
        <w:t>大”：</w:t>
      </w:r>
      <w:r>
        <w:rPr>
          <w:rFonts w:hint="eastAsia" w:hAnsi="宋体" w:cs="宋体"/>
          <w:b/>
          <w:highlight w:val="none"/>
          <w:lang w:val="en-US" w:eastAsia="zh-CN"/>
        </w:rPr>
        <w:t xml:space="preserve">  </w:t>
      </w:r>
      <w:r>
        <w:rPr>
          <w:rFonts w:hint="eastAsia" w:hAnsi="宋体" w:cs="宋体"/>
          <w:highlight w:val="none"/>
        </w:rPr>
        <w:t>指重大决策、重大工程项目建设、重大突发事件处置和大额资金使用。</w:t>
      </w:r>
    </w:p>
    <w:p w14:paraId="04F1E135">
      <w:pPr>
        <w:pStyle w:val="2"/>
        <w:bidi w:val="0"/>
        <w:rPr>
          <w:rFonts w:hint="eastAsia"/>
          <w:highlight w:val="none"/>
        </w:rPr>
      </w:pPr>
      <w:r>
        <w:rPr>
          <w:highlight w:val="none"/>
        </w:rPr>
        <w:br w:type="page"/>
      </w:r>
      <w:r>
        <w:rPr>
          <w:rFonts w:hint="eastAsia"/>
          <w:highlight w:val="none"/>
        </w:rPr>
        <w:t>2015年大事记</w:t>
      </w:r>
    </w:p>
    <w:p w14:paraId="3EA7734F">
      <w:pPr>
        <w:pStyle w:val="3"/>
        <w:bidi w:val="0"/>
        <w:rPr>
          <w:rFonts w:hint="eastAsia"/>
          <w:highlight w:val="none"/>
        </w:rPr>
      </w:pPr>
      <w:r>
        <w:rPr>
          <w:rFonts w:hint="eastAsia"/>
          <w:highlight w:val="none"/>
        </w:rPr>
        <w:t>一月</w:t>
      </w:r>
    </w:p>
    <w:p w14:paraId="7D9ED7D8">
      <w:pPr>
        <w:bidi w:val="0"/>
        <w:rPr>
          <w:rFonts w:hint="eastAsia"/>
          <w:b/>
          <w:bCs/>
          <w:highlight w:val="none"/>
        </w:rPr>
      </w:pPr>
      <w:r>
        <w:rPr>
          <w:rFonts w:hint="eastAsia"/>
          <w:b/>
          <w:bCs/>
          <w:highlight w:val="none"/>
        </w:rPr>
        <w:t>7日</w:t>
      </w:r>
    </w:p>
    <w:p w14:paraId="60368E78">
      <w:pPr>
        <w:rPr>
          <w:rFonts w:hint="eastAsia" w:hAnsi="宋体" w:cs="宋体"/>
          <w:highlight w:val="none"/>
        </w:rPr>
      </w:pPr>
      <w:r>
        <w:rPr>
          <w:rFonts w:hint="eastAsia" w:hAnsi="宋体" w:cs="宋体"/>
          <w:highlight w:val="none"/>
        </w:rPr>
        <w:t>广东县域经济研究与发展促进会发布《2014广东县域经济综合发展力研究报告》，南雄市在全省28个山区县（市）经济综合发展排名第四位。</w:t>
      </w:r>
    </w:p>
    <w:p w14:paraId="2029C866">
      <w:pPr>
        <w:bidi w:val="0"/>
        <w:rPr>
          <w:rFonts w:hint="eastAsia"/>
          <w:b/>
          <w:bCs/>
          <w:highlight w:val="none"/>
        </w:rPr>
      </w:pPr>
      <w:r>
        <w:rPr>
          <w:rFonts w:hint="eastAsia"/>
          <w:b/>
          <w:bCs/>
          <w:highlight w:val="none"/>
        </w:rPr>
        <w:t>8日</w:t>
      </w:r>
    </w:p>
    <w:p w14:paraId="423C7536">
      <w:pPr>
        <w:rPr>
          <w:rFonts w:hint="eastAsia" w:hAnsi="宋体" w:cs="宋体"/>
          <w:highlight w:val="none"/>
        </w:rPr>
      </w:pPr>
      <w:r>
        <w:rPr>
          <w:rFonts w:hint="eastAsia" w:hAnsi="宋体" w:cs="宋体"/>
          <w:highlight w:val="none"/>
        </w:rPr>
        <w:t>2015年外出乡贤经贸推介会召开。曾风保、何万飞、丘德周等市领导出席。</w:t>
      </w:r>
    </w:p>
    <w:p w14:paraId="3AE26511">
      <w:pPr>
        <w:bidi w:val="0"/>
        <w:rPr>
          <w:rFonts w:hint="eastAsia"/>
          <w:b/>
          <w:bCs/>
          <w:highlight w:val="none"/>
        </w:rPr>
      </w:pPr>
      <w:r>
        <w:rPr>
          <w:rFonts w:hint="eastAsia"/>
          <w:b/>
          <w:bCs/>
          <w:highlight w:val="none"/>
        </w:rPr>
        <w:t>24日</w:t>
      </w:r>
    </w:p>
    <w:p w14:paraId="5989677E">
      <w:pPr>
        <w:rPr>
          <w:rFonts w:hint="eastAsia" w:hAnsi="宋体" w:cs="宋体"/>
          <w:highlight w:val="none"/>
        </w:rPr>
      </w:pPr>
      <w:r>
        <w:rPr>
          <w:rFonts w:hint="eastAsia" w:hAnsi="宋体" w:cs="宋体"/>
          <w:highlight w:val="none"/>
        </w:rPr>
        <w:t>全国政协委员梁凤仪率投资团队考察南雄珠玑文化产业旅游项目，市委书记、市长曾风保，市政协主席何万飞、副主席陈尚妹参加活动。</w:t>
      </w:r>
    </w:p>
    <w:p w14:paraId="5D993861">
      <w:pPr>
        <w:bidi w:val="0"/>
        <w:rPr>
          <w:rFonts w:hint="eastAsia"/>
          <w:b/>
          <w:bCs/>
          <w:highlight w:val="none"/>
        </w:rPr>
      </w:pPr>
      <w:r>
        <w:rPr>
          <w:rFonts w:hint="eastAsia"/>
          <w:b/>
          <w:bCs/>
          <w:highlight w:val="none"/>
        </w:rPr>
        <w:t>27日</w:t>
      </w:r>
    </w:p>
    <w:p w14:paraId="74D879F9">
      <w:pPr>
        <w:rPr>
          <w:rFonts w:hint="eastAsia" w:hAnsi="宋体" w:cs="宋体"/>
          <w:highlight w:val="none"/>
        </w:rPr>
      </w:pPr>
      <w:r>
        <w:rPr>
          <w:rFonts w:hint="eastAsia" w:hAnsi="宋体" w:cs="宋体"/>
          <w:highlight w:val="none"/>
        </w:rPr>
        <w:t>2014年南雄市通过EMC模式引入社会资本7700万元，实施路灯改造亮化工程，改造市区传统路灯4000多盏，新建LED路灯50公里共3800多盏。</w:t>
      </w:r>
    </w:p>
    <w:p w14:paraId="4B5ADB98">
      <w:pPr>
        <w:bidi w:val="0"/>
        <w:rPr>
          <w:rFonts w:hint="eastAsia"/>
          <w:b/>
          <w:bCs/>
          <w:highlight w:val="none"/>
        </w:rPr>
      </w:pPr>
      <w:r>
        <w:rPr>
          <w:rFonts w:hint="eastAsia"/>
          <w:b/>
          <w:bCs/>
          <w:highlight w:val="none"/>
        </w:rPr>
        <w:t>是日</w:t>
      </w:r>
    </w:p>
    <w:p w14:paraId="05D7C93F">
      <w:pPr>
        <w:rPr>
          <w:rFonts w:hint="eastAsia"/>
          <w:highlight w:val="none"/>
        </w:rPr>
      </w:pPr>
      <w:r>
        <w:rPr>
          <w:rFonts w:hint="eastAsia"/>
          <w:highlight w:val="none"/>
        </w:rPr>
        <w:t>韶关市委书记、市人大常委会主任郑振涛到南雄开展春节送温暖慰问活动。曾风保、黄德群等市领导陪同慰问。</w:t>
      </w:r>
    </w:p>
    <w:p w14:paraId="74CDBEDB">
      <w:pPr>
        <w:bidi w:val="0"/>
        <w:rPr>
          <w:rFonts w:hint="eastAsia"/>
          <w:b/>
          <w:bCs/>
          <w:highlight w:val="none"/>
        </w:rPr>
      </w:pPr>
      <w:r>
        <w:rPr>
          <w:rFonts w:hint="eastAsia"/>
          <w:b/>
          <w:bCs/>
          <w:highlight w:val="none"/>
        </w:rPr>
        <w:t>28日</w:t>
      </w:r>
    </w:p>
    <w:p w14:paraId="6C98685C">
      <w:pPr>
        <w:rPr>
          <w:rFonts w:hint="eastAsia" w:hAnsi="宋体" w:cs="宋体"/>
          <w:highlight w:val="none"/>
        </w:rPr>
      </w:pPr>
      <w:r>
        <w:rPr>
          <w:rFonts w:hint="eastAsia"/>
          <w:highlight w:val="none"/>
        </w:rPr>
        <w:t>召开市委十二届四次全会，总结2014</w:t>
      </w:r>
      <w:r>
        <w:rPr>
          <w:rFonts w:hint="eastAsia" w:hAnsi="宋体" w:cs="宋体"/>
          <w:highlight w:val="none"/>
        </w:rPr>
        <w:t>年工作情况，研究部署2015年工作任务。会议号召全市上下开展“项目落实年”活动，坚定不移“打苏区牌、走生态路”，大力实施“工业强市、旅游旺市、民生优先、生态城乡、姓氏名都、法治南雄”六大战略，加快建设粤北门户城市。</w:t>
      </w:r>
    </w:p>
    <w:p w14:paraId="6842B0E7">
      <w:pPr>
        <w:pStyle w:val="3"/>
        <w:bidi w:val="0"/>
        <w:rPr>
          <w:rFonts w:hint="eastAsia"/>
          <w:highlight w:val="none"/>
        </w:rPr>
      </w:pPr>
      <w:r>
        <w:rPr>
          <w:rFonts w:hint="eastAsia"/>
          <w:highlight w:val="none"/>
        </w:rPr>
        <w:t>二月</w:t>
      </w:r>
    </w:p>
    <w:p w14:paraId="14006856">
      <w:pPr>
        <w:bidi w:val="0"/>
        <w:rPr>
          <w:rFonts w:hint="eastAsia"/>
          <w:b/>
          <w:bCs/>
          <w:highlight w:val="none"/>
        </w:rPr>
      </w:pPr>
      <w:r>
        <w:rPr>
          <w:rFonts w:hint="eastAsia"/>
          <w:b/>
          <w:bCs/>
          <w:highlight w:val="none"/>
        </w:rPr>
        <w:t>6日</w:t>
      </w:r>
    </w:p>
    <w:p w14:paraId="26DEA727">
      <w:pPr>
        <w:rPr>
          <w:rFonts w:hint="eastAsia" w:hAnsi="宋体" w:cs="宋体"/>
          <w:highlight w:val="none"/>
        </w:rPr>
      </w:pPr>
      <w:r>
        <w:rPr>
          <w:rFonts w:hint="eastAsia" w:hAnsi="宋体" w:cs="宋体"/>
          <w:highlight w:val="none"/>
        </w:rPr>
        <w:t>召开农村生活垃圾综合整治工作会议。在18个镇（街道）232个（村）、2294个自然村全面铺开农村垃圾整治工作。</w:t>
      </w:r>
    </w:p>
    <w:p w14:paraId="77A5CAD3">
      <w:pPr>
        <w:bidi w:val="0"/>
        <w:rPr>
          <w:rFonts w:hint="eastAsia"/>
          <w:b/>
          <w:bCs/>
          <w:highlight w:val="none"/>
        </w:rPr>
      </w:pPr>
      <w:r>
        <w:rPr>
          <w:rFonts w:hint="eastAsia"/>
          <w:b/>
          <w:bCs/>
          <w:highlight w:val="none"/>
        </w:rPr>
        <w:t>9日</w:t>
      </w:r>
    </w:p>
    <w:p w14:paraId="6558B7D9">
      <w:pPr>
        <w:rPr>
          <w:rFonts w:hint="eastAsia" w:hAnsi="宋体" w:cs="宋体"/>
          <w:highlight w:val="none"/>
        </w:rPr>
      </w:pPr>
      <w:r>
        <w:rPr>
          <w:rFonts w:hint="eastAsia" w:hAnsi="宋体" w:cs="宋体"/>
          <w:highlight w:val="none"/>
        </w:rPr>
        <w:t>召开十二届市纪委五次全体会议，学习贯彻中央、省及韶关市纪委全会精神，总结部署全市党风廉政建设和反腐败工作。</w:t>
      </w:r>
    </w:p>
    <w:p w14:paraId="52B844AA">
      <w:pPr>
        <w:bidi w:val="0"/>
        <w:rPr>
          <w:rFonts w:hint="eastAsia"/>
          <w:b/>
          <w:bCs/>
          <w:highlight w:val="none"/>
        </w:rPr>
      </w:pPr>
      <w:r>
        <w:rPr>
          <w:rFonts w:hint="eastAsia"/>
          <w:b/>
          <w:bCs/>
          <w:highlight w:val="none"/>
        </w:rPr>
        <w:t>11日</w:t>
      </w:r>
    </w:p>
    <w:p w14:paraId="4A94A3C4">
      <w:pPr>
        <w:rPr>
          <w:rFonts w:hint="eastAsia" w:hAnsi="宋体" w:cs="宋体"/>
          <w:highlight w:val="none"/>
        </w:rPr>
      </w:pPr>
      <w:r>
        <w:rPr>
          <w:rFonts w:hint="eastAsia" w:hAnsi="宋体" w:cs="宋体"/>
          <w:highlight w:val="none"/>
        </w:rPr>
        <w:t>“2015韶关旅游节庆活动启动暨南雄两岸花博生态园开园仪式”在主田镇元升两岸花博园举行。韶关市委常委、常务副市长陈波，南雄市领导曾风保、何万飞、丘德周、黄德群、马细妹等参加仪式。</w:t>
      </w:r>
    </w:p>
    <w:p w14:paraId="4A33B6F6">
      <w:pPr>
        <w:bidi w:val="0"/>
        <w:rPr>
          <w:rFonts w:hint="eastAsia"/>
          <w:b/>
          <w:bCs/>
          <w:highlight w:val="none"/>
        </w:rPr>
      </w:pPr>
      <w:r>
        <w:rPr>
          <w:rFonts w:hint="eastAsia"/>
          <w:b/>
          <w:bCs/>
          <w:highlight w:val="none"/>
        </w:rPr>
        <w:t>是日</w:t>
      </w:r>
    </w:p>
    <w:p w14:paraId="59DB93C3">
      <w:pPr>
        <w:rPr>
          <w:rFonts w:hint="eastAsia" w:hAnsi="宋体" w:cs="宋体"/>
          <w:highlight w:val="none"/>
        </w:rPr>
      </w:pPr>
      <w:r>
        <w:rPr>
          <w:rFonts w:hint="eastAsia" w:hAnsi="宋体" w:cs="宋体"/>
          <w:highlight w:val="none"/>
        </w:rPr>
        <w:t>市委书记、市长曾风保率领市四套班子领导，慰问市人武部、驻雄武警中队和公安消防大队官兵。</w:t>
      </w:r>
    </w:p>
    <w:p w14:paraId="12BAD47D">
      <w:pPr>
        <w:bidi w:val="0"/>
        <w:rPr>
          <w:rFonts w:hint="eastAsia"/>
          <w:b/>
          <w:bCs/>
          <w:highlight w:val="none"/>
        </w:rPr>
      </w:pPr>
      <w:r>
        <w:rPr>
          <w:rFonts w:hint="eastAsia"/>
          <w:b/>
          <w:bCs/>
          <w:highlight w:val="none"/>
        </w:rPr>
        <w:t>16日</w:t>
      </w:r>
    </w:p>
    <w:p w14:paraId="0CC86DEA">
      <w:pPr>
        <w:rPr>
          <w:rFonts w:hint="eastAsia" w:hAnsi="宋体" w:cs="宋体"/>
          <w:highlight w:val="none"/>
        </w:rPr>
      </w:pPr>
      <w:r>
        <w:rPr>
          <w:rFonts w:hint="eastAsia" w:hAnsi="宋体" w:cs="宋体"/>
          <w:highlight w:val="none"/>
        </w:rPr>
        <w:t>市十四届人大常委会召开第三十次会议，任命李海霞为南雄市人民政府副市长。</w:t>
      </w:r>
    </w:p>
    <w:p w14:paraId="13C003DF">
      <w:pPr>
        <w:bidi w:val="0"/>
        <w:rPr>
          <w:rFonts w:hint="eastAsia"/>
          <w:b/>
          <w:bCs/>
          <w:highlight w:val="none"/>
        </w:rPr>
      </w:pPr>
      <w:r>
        <w:rPr>
          <w:rFonts w:hint="eastAsia"/>
          <w:b/>
          <w:bCs/>
          <w:highlight w:val="none"/>
        </w:rPr>
        <w:t>27日</w:t>
      </w:r>
    </w:p>
    <w:p w14:paraId="07A8C9B9">
      <w:pPr>
        <w:rPr>
          <w:rFonts w:hint="eastAsia" w:hAnsi="宋体" w:cs="宋体"/>
          <w:highlight w:val="none"/>
        </w:rPr>
      </w:pPr>
      <w:r>
        <w:rPr>
          <w:rFonts w:hint="eastAsia" w:hAnsi="宋体" w:cs="宋体"/>
          <w:highlight w:val="none"/>
        </w:rPr>
        <w:t>市委、市政府召开全市四级干部开春动员大会。市委书记、市长曾风保作题为“比干事能力，比工作业绩，努力实现2015年各项工作良好开局”动员讲话。</w:t>
      </w:r>
    </w:p>
    <w:p w14:paraId="743F81B5">
      <w:pPr>
        <w:bidi w:val="0"/>
        <w:rPr>
          <w:rFonts w:hint="eastAsia"/>
          <w:b/>
          <w:bCs/>
          <w:highlight w:val="none"/>
        </w:rPr>
      </w:pPr>
      <w:r>
        <w:rPr>
          <w:rFonts w:hint="eastAsia"/>
          <w:b/>
          <w:bCs/>
          <w:highlight w:val="none"/>
        </w:rPr>
        <w:t>28日</w:t>
      </w:r>
    </w:p>
    <w:p w14:paraId="09489448">
      <w:pPr>
        <w:rPr>
          <w:rFonts w:hint="eastAsia" w:hAnsi="宋体" w:cs="宋体"/>
          <w:highlight w:val="none"/>
        </w:rPr>
      </w:pPr>
      <w:r>
        <w:rPr>
          <w:rFonts w:hint="eastAsia" w:hAnsi="宋体" w:cs="宋体"/>
          <w:highlight w:val="none"/>
        </w:rPr>
        <w:t>在全国精神文明建设工作表彰暨学雷锋志愿服务大会上，珠玑镇荣获“全国文明村镇”称号。</w:t>
      </w:r>
    </w:p>
    <w:p w14:paraId="0B8ABF18">
      <w:pPr>
        <w:pStyle w:val="3"/>
        <w:bidi w:val="0"/>
        <w:rPr>
          <w:rFonts w:hint="eastAsia"/>
          <w:highlight w:val="none"/>
        </w:rPr>
      </w:pPr>
      <w:r>
        <w:rPr>
          <w:rFonts w:hint="eastAsia"/>
          <w:highlight w:val="none"/>
        </w:rPr>
        <w:t>三月</w:t>
      </w:r>
    </w:p>
    <w:p w14:paraId="77B94B2A">
      <w:pPr>
        <w:bidi w:val="0"/>
        <w:rPr>
          <w:rFonts w:hint="eastAsia"/>
          <w:b/>
          <w:bCs/>
          <w:highlight w:val="none"/>
        </w:rPr>
      </w:pPr>
      <w:r>
        <w:rPr>
          <w:rFonts w:hint="eastAsia"/>
          <w:b/>
          <w:bCs/>
          <w:highlight w:val="none"/>
        </w:rPr>
        <w:t>2日</w:t>
      </w:r>
    </w:p>
    <w:p w14:paraId="6F10C4C3">
      <w:pPr>
        <w:rPr>
          <w:rFonts w:hint="eastAsia" w:hAnsi="宋体" w:cs="宋体"/>
          <w:highlight w:val="none"/>
        </w:rPr>
      </w:pPr>
      <w:r>
        <w:rPr>
          <w:rFonts w:hint="eastAsia" w:hAnsi="宋体" w:cs="宋体"/>
          <w:highlight w:val="none"/>
        </w:rPr>
        <w:t>在2014年全国老龄办、民政部、教育部、全国妇联等7个部门联合开展的全国敬老爱老助老主题教育活动中，坪田敬老院院长肖丙凤被评为“全国孝亲敬老之星”。</w:t>
      </w:r>
    </w:p>
    <w:p w14:paraId="061C3141">
      <w:pPr>
        <w:bidi w:val="0"/>
        <w:rPr>
          <w:rFonts w:hint="eastAsia"/>
          <w:b/>
          <w:bCs/>
          <w:highlight w:val="none"/>
        </w:rPr>
      </w:pPr>
      <w:r>
        <w:rPr>
          <w:rFonts w:hint="eastAsia"/>
          <w:b/>
          <w:bCs/>
          <w:highlight w:val="none"/>
        </w:rPr>
        <w:t>10日</w:t>
      </w:r>
    </w:p>
    <w:p w14:paraId="46DDA8E3">
      <w:pPr>
        <w:rPr>
          <w:rFonts w:hint="eastAsia" w:hAnsi="宋体" w:cs="宋体"/>
          <w:highlight w:val="none"/>
        </w:rPr>
      </w:pPr>
      <w:r>
        <w:rPr>
          <w:rFonts w:hint="eastAsia" w:hAnsi="宋体" w:cs="宋体"/>
          <w:highlight w:val="none"/>
        </w:rPr>
        <w:t>重庆市荣昌县县委书记谢金峰率党政考察团莅临南雄调研，共同探讨两地旅游业发展的经验和做法。市领导曾风保、黄德群、卜小燕、陈玉英、马细妹、陈尚妹等陪同考察。</w:t>
      </w:r>
    </w:p>
    <w:p w14:paraId="6AE375E5">
      <w:pPr>
        <w:bidi w:val="0"/>
        <w:rPr>
          <w:rFonts w:hint="eastAsia"/>
          <w:b/>
          <w:bCs/>
          <w:highlight w:val="none"/>
        </w:rPr>
      </w:pPr>
      <w:r>
        <w:rPr>
          <w:rFonts w:hint="eastAsia"/>
          <w:b/>
          <w:bCs/>
          <w:highlight w:val="none"/>
        </w:rPr>
        <w:t>10—11日</w:t>
      </w:r>
    </w:p>
    <w:p w14:paraId="3C4FA71E">
      <w:pPr>
        <w:rPr>
          <w:rFonts w:hint="eastAsia" w:hAnsi="宋体" w:cs="宋体"/>
          <w:highlight w:val="none"/>
        </w:rPr>
      </w:pPr>
      <w:r>
        <w:rPr>
          <w:rFonts w:hint="eastAsia" w:hAnsi="宋体" w:cs="宋体"/>
          <w:highlight w:val="none"/>
        </w:rPr>
        <w:t>市委书记、市长曾风保率市党政代表团到东莞南城区学习考察，出席南城南雄对口帮扶工作第四次联席会议和实地调研东莞城市生态建设。</w:t>
      </w:r>
    </w:p>
    <w:p w14:paraId="712FFE72">
      <w:pPr>
        <w:bidi w:val="0"/>
        <w:rPr>
          <w:rFonts w:hint="eastAsia"/>
          <w:b/>
          <w:bCs/>
          <w:highlight w:val="none"/>
        </w:rPr>
      </w:pPr>
      <w:r>
        <w:rPr>
          <w:rFonts w:hint="eastAsia"/>
          <w:b/>
          <w:bCs/>
          <w:highlight w:val="none"/>
        </w:rPr>
        <w:t>16—18日</w:t>
      </w:r>
    </w:p>
    <w:p w14:paraId="56B751F4">
      <w:pPr>
        <w:rPr>
          <w:rFonts w:hint="eastAsia" w:hAnsi="宋体" w:cs="宋体"/>
          <w:highlight w:val="none"/>
        </w:rPr>
      </w:pPr>
      <w:r>
        <w:rPr>
          <w:rFonts w:hint="eastAsia" w:hAnsi="宋体" w:cs="宋体"/>
          <w:highlight w:val="none"/>
        </w:rPr>
        <w:t>市政协九届五次会议召开，会议审议并同意何万飞主席代表常务委员会所作的工作报告和周济辉副主席代表常务委员会所作的提案工作情况的报告。</w:t>
      </w:r>
    </w:p>
    <w:p w14:paraId="085C3BB3">
      <w:pPr>
        <w:bidi w:val="0"/>
        <w:rPr>
          <w:rFonts w:hint="eastAsia"/>
          <w:b/>
          <w:bCs/>
          <w:highlight w:val="none"/>
        </w:rPr>
      </w:pPr>
      <w:r>
        <w:rPr>
          <w:rFonts w:hint="eastAsia"/>
          <w:b/>
          <w:bCs/>
          <w:highlight w:val="none"/>
        </w:rPr>
        <w:t>17—19日</w:t>
      </w:r>
    </w:p>
    <w:p w14:paraId="317B1CBC">
      <w:pPr>
        <w:rPr>
          <w:rFonts w:hint="eastAsia" w:hAnsi="宋体" w:cs="宋体"/>
          <w:highlight w:val="none"/>
        </w:rPr>
      </w:pPr>
      <w:r>
        <w:rPr>
          <w:rFonts w:hint="eastAsia" w:hAnsi="宋体" w:cs="宋体"/>
          <w:highlight w:val="none"/>
        </w:rPr>
        <w:t>市十四届人民代表大会第五次会议在南雄大会堂召开。市委书记、市长曾风保作《政府工作报告》。</w:t>
      </w:r>
    </w:p>
    <w:p w14:paraId="10CD6117">
      <w:pPr>
        <w:bidi w:val="0"/>
        <w:rPr>
          <w:rFonts w:hint="eastAsia"/>
          <w:b/>
          <w:bCs/>
          <w:highlight w:val="none"/>
        </w:rPr>
      </w:pPr>
      <w:r>
        <w:rPr>
          <w:rFonts w:hint="eastAsia"/>
          <w:b/>
          <w:bCs/>
          <w:highlight w:val="none"/>
        </w:rPr>
        <w:t>20日</w:t>
      </w:r>
    </w:p>
    <w:p w14:paraId="628FC97D">
      <w:pPr>
        <w:rPr>
          <w:rFonts w:hint="eastAsia" w:hAnsi="宋体" w:cs="宋体"/>
          <w:highlight w:val="none"/>
        </w:rPr>
      </w:pPr>
      <w:r>
        <w:rPr>
          <w:rFonts w:hint="eastAsia" w:hAnsi="宋体" w:cs="宋体"/>
          <w:highlight w:val="none"/>
        </w:rPr>
        <w:t>市委部署“一村（社区）一法律顾问”工作。61名法律顾问与全市共232个村（社区）结对，实现一村（社区）一法律顾问全覆盖。</w:t>
      </w:r>
    </w:p>
    <w:p w14:paraId="21073DB9">
      <w:pPr>
        <w:bidi w:val="0"/>
        <w:rPr>
          <w:rFonts w:hint="eastAsia"/>
          <w:b/>
          <w:bCs/>
          <w:highlight w:val="none"/>
        </w:rPr>
      </w:pPr>
      <w:r>
        <w:rPr>
          <w:rFonts w:hint="eastAsia"/>
          <w:b/>
          <w:bCs/>
          <w:highlight w:val="none"/>
        </w:rPr>
        <w:t>是日</w:t>
      </w:r>
    </w:p>
    <w:p w14:paraId="4F52EE0B">
      <w:pPr>
        <w:rPr>
          <w:rFonts w:hint="eastAsia" w:hAnsi="宋体" w:cs="宋体"/>
          <w:highlight w:val="none"/>
        </w:rPr>
      </w:pPr>
      <w:r>
        <w:rPr>
          <w:rFonts w:hint="eastAsia" w:hAnsi="宋体" w:cs="宋体"/>
          <w:highlight w:val="none"/>
        </w:rPr>
        <w:t>中国烟叶总公司总经理陈江华一行到南雄调研烟叶工作。</w:t>
      </w:r>
    </w:p>
    <w:p w14:paraId="6DC6FA3E">
      <w:pPr>
        <w:bidi w:val="0"/>
        <w:rPr>
          <w:rFonts w:hint="eastAsia"/>
          <w:b/>
          <w:bCs/>
          <w:highlight w:val="none"/>
        </w:rPr>
      </w:pPr>
      <w:r>
        <w:rPr>
          <w:rFonts w:hint="eastAsia"/>
          <w:b/>
          <w:bCs/>
          <w:highlight w:val="none"/>
        </w:rPr>
        <w:t>26日</w:t>
      </w:r>
    </w:p>
    <w:p w14:paraId="046B6F8E">
      <w:pPr>
        <w:rPr>
          <w:rFonts w:hint="eastAsia" w:hAnsi="宋体" w:cs="宋体"/>
          <w:highlight w:val="none"/>
        </w:rPr>
      </w:pPr>
      <w:r>
        <w:rPr>
          <w:rFonts w:hint="eastAsia" w:hAnsi="宋体" w:cs="宋体"/>
          <w:highlight w:val="none"/>
        </w:rPr>
        <w:t>市委书记、市长曾风保调研珠玑镇城镇化工作。市领导黄德群、袁元桃参加调研。</w:t>
      </w:r>
    </w:p>
    <w:p w14:paraId="2BDCBF58">
      <w:pPr>
        <w:pStyle w:val="3"/>
        <w:bidi w:val="0"/>
        <w:rPr>
          <w:rFonts w:hint="eastAsia"/>
          <w:highlight w:val="none"/>
        </w:rPr>
      </w:pPr>
      <w:r>
        <w:rPr>
          <w:rFonts w:hint="eastAsia"/>
          <w:highlight w:val="none"/>
        </w:rPr>
        <w:t>四月</w:t>
      </w:r>
    </w:p>
    <w:p w14:paraId="2CE1BA66">
      <w:pPr>
        <w:bidi w:val="0"/>
        <w:rPr>
          <w:rFonts w:hint="eastAsia"/>
          <w:b/>
          <w:bCs/>
          <w:highlight w:val="none"/>
        </w:rPr>
      </w:pPr>
      <w:r>
        <w:rPr>
          <w:rFonts w:hint="eastAsia"/>
          <w:b/>
          <w:bCs/>
          <w:highlight w:val="none"/>
        </w:rPr>
        <w:t>14日</w:t>
      </w:r>
    </w:p>
    <w:p w14:paraId="311C6F8E">
      <w:pPr>
        <w:rPr>
          <w:rFonts w:hint="eastAsia" w:hAnsi="宋体" w:cs="宋体"/>
          <w:highlight w:val="none"/>
        </w:rPr>
      </w:pPr>
      <w:r>
        <w:rPr>
          <w:rFonts w:hint="eastAsia" w:hAnsi="宋体" w:cs="宋体"/>
          <w:highlight w:val="none"/>
        </w:rPr>
        <w:t>市委书记、市长曾风保到百顺、澜河、帽子峰等镇调研重点亮点工作。市领导黄德群、叶济熊陪同调研。</w:t>
      </w:r>
    </w:p>
    <w:p w14:paraId="46EC667A">
      <w:pPr>
        <w:bidi w:val="0"/>
        <w:rPr>
          <w:rFonts w:hint="eastAsia"/>
          <w:b/>
          <w:bCs/>
          <w:highlight w:val="none"/>
        </w:rPr>
      </w:pPr>
      <w:r>
        <w:rPr>
          <w:rFonts w:hint="eastAsia"/>
          <w:b/>
          <w:bCs/>
          <w:highlight w:val="none"/>
        </w:rPr>
        <w:t>16日</w:t>
      </w:r>
    </w:p>
    <w:p w14:paraId="1037AFC2">
      <w:pPr>
        <w:rPr>
          <w:rFonts w:hint="eastAsia" w:hAnsi="宋体" w:cs="宋体"/>
          <w:highlight w:val="none"/>
        </w:rPr>
      </w:pPr>
      <w:r>
        <w:rPr>
          <w:rFonts w:hint="eastAsia" w:hAnsi="宋体" w:cs="宋体"/>
          <w:highlight w:val="none"/>
        </w:rPr>
        <w:t>韶关市军分区司令员盖长利率队到南雄检查国防后备力量整顿工作。市委常委、武装部政委李霄山陪同。</w:t>
      </w:r>
    </w:p>
    <w:p w14:paraId="38386267">
      <w:pPr>
        <w:bidi w:val="0"/>
        <w:rPr>
          <w:rFonts w:hint="eastAsia"/>
          <w:b/>
          <w:bCs/>
          <w:highlight w:val="none"/>
        </w:rPr>
      </w:pPr>
      <w:r>
        <w:rPr>
          <w:rFonts w:hint="eastAsia"/>
          <w:b/>
          <w:bCs/>
          <w:highlight w:val="none"/>
        </w:rPr>
        <w:t>17日</w:t>
      </w:r>
    </w:p>
    <w:p w14:paraId="7584F928">
      <w:pPr>
        <w:rPr>
          <w:rFonts w:hint="eastAsia" w:hAnsi="宋体" w:cs="宋体"/>
          <w:highlight w:val="none"/>
        </w:rPr>
      </w:pPr>
      <w:r>
        <w:rPr>
          <w:rFonts w:hint="eastAsia" w:hAnsi="宋体" w:cs="宋体"/>
          <w:highlight w:val="none"/>
        </w:rPr>
        <w:t>韶关市委书记蓝佛安到南雄调研工作。深入革命旧址、农村、企业、学校、工业园区调研，并与南雄四套班子领导和相关单位、各镇（街道）负责人进行座谈，了解南雄经济社会发展情况。</w:t>
      </w:r>
    </w:p>
    <w:p w14:paraId="56799877">
      <w:pPr>
        <w:bidi w:val="0"/>
        <w:rPr>
          <w:rFonts w:hint="eastAsia"/>
          <w:b/>
          <w:bCs/>
          <w:highlight w:val="none"/>
        </w:rPr>
      </w:pPr>
      <w:r>
        <w:rPr>
          <w:rFonts w:hint="eastAsia"/>
          <w:b/>
          <w:bCs/>
          <w:highlight w:val="none"/>
        </w:rPr>
        <w:t>23日</w:t>
      </w:r>
    </w:p>
    <w:p w14:paraId="73D5F537">
      <w:pPr>
        <w:rPr>
          <w:rFonts w:hint="eastAsia" w:hAnsi="宋体" w:cs="宋体"/>
          <w:highlight w:val="none"/>
        </w:rPr>
      </w:pPr>
      <w:r>
        <w:rPr>
          <w:rFonts w:hint="eastAsia" w:hAnsi="宋体" w:cs="宋体"/>
          <w:highlight w:val="none"/>
        </w:rPr>
        <w:t>市委、市政府对北城片区控制性详细规划和争取广东省新型城镇化“2511”试点工作进行讨论研究。市委书记、市长曾风保，市委常委、常务副市长何人平等参加。</w:t>
      </w:r>
    </w:p>
    <w:p w14:paraId="4B58DC04">
      <w:pPr>
        <w:bidi w:val="0"/>
        <w:rPr>
          <w:rFonts w:hint="eastAsia"/>
          <w:b/>
          <w:bCs/>
          <w:highlight w:val="none"/>
        </w:rPr>
      </w:pPr>
      <w:r>
        <w:rPr>
          <w:rFonts w:hint="eastAsia"/>
          <w:b/>
          <w:bCs/>
          <w:highlight w:val="none"/>
        </w:rPr>
        <w:t>27日</w:t>
      </w:r>
    </w:p>
    <w:p w14:paraId="4E74CD49">
      <w:pPr>
        <w:rPr>
          <w:rFonts w:hint="eastAsia" w:hAnsi="宋体" w:cs="宋体"/>
          <w:highlight w:val="none"/>
        </w:rPr>
      </w:pPr>
      <w:r>
        <w:rPr>
          <w:rFonts w:hint="eastAsia" w:hAnsi="宋体" w:cs="宋体"/>
          <w:highlight w:val="none"/>
        </w:rPr>
        <w:t>中共中央党史研究室副主任李忠杰到南雄梅岭考察陈毅游击战争活动遗址。市委常委、政法委书记刘发龙等陪同考察。</w:t>
      </w:r>
    </w:p>
    <w:p w14:paraId="6547D0EA">
      <w:pPr>
        <w:bidi w:val="0"/>
        <w:rPr>
          <w:rFonts w:hint="eastAsia"/>
          <w:b/>
          <w:bCs/>
          <w:highlight w:val="none"/>
        </w:rPr>
      </w:pPr>
      <w:r>
        <w:rPr>
          <w:rFonts w:hint="eastAsia"/>
          <w:b/>
          <w:bCs/>
          <w:highlight w:val="none"/>
        </w:rPr>
        <w:t>28日</w:t>
      </w:r>
    </w:p>
    <w:p w14:paraId="654A5741">
      <w:pPr>
        <w:rPr>
          <w:rFonts w:hint="eastAsia" w:hAnsi="宋体" w:cs="宋体"/>
          <w:highlight w:val="none"/>
        </w:rPr>
      </w:pPr>
      <w:r>
        <w:rPr>
          <w:rFonts w:hint="eastAsia" w:hAnsi="宋体" w:cs="宋体"/>
          <w:highlight w:val="none"/>
        </w:rPr>
        <w:t>市委、市政府召开计划生育工作会议，总结2014年计划生育工作情况及布置2015年重点工作，通报2014年度人口与计划生育目标管理责任制考评结果，表彰一批计划生育工作先进集体和个人，签订人口与计划生育责任书。</w:t>
      </w:r>
    </w:p>
    <w:p w14:paraId="64004077">
      <w:pPr>
        <w:bidi w:val="0"/>
        <w:rPr>
          <w:rFonts w:hint="eastAsia"/>
          <w:b/>
          <w:bCs/>
          <w:highlight w:val="none"/>
        </w:rPr>
      </w:pPr>
      <w:r>
        <w:rPr>
          <w:rFonts w:hint="eastAsia"/>
          <w:b/>
          <w:bCs/>
          <w:highlight w:val="none"/>
        </w:rPr>
        <w:t>30日</w:t>
      </w:r>
    </w:p>
    <w:p w14:paraId="4E92A6EC">
      <w:pPr>
        <w:rPr>
          <w:rFonts w:hint="eastAsia" w:hAnsi="宋体" w:cs="宋体"/>
          <w:highlight w:val="none"/>
        </w:rPr>
      </w:pPr>
      <w:r>
        <w:rPr>
          <w:rFonts w:hint="eastAsia" w:hAnsi="宋体" w:cs="宋体"/>
          <w:highlight w:val="none"/>
        </w:rPr>
        <w:t>韶关市委决定王碧安担任中共南雄市委副书记，并提名为南雄市人民政府市长人选。</w:t>
      </w:r>
    </w:p>
    <w:p w14:paraId="1C802C63">
      <w:pPr>
        <w:bidi w:val="0"/>
        <w:rPr>
          <w:rFonts w:hint="eastAsia"/>
          <w:b/>
          <w:bCs/>
          <w:highlight w:val="none"/>
        </w:rPr>
      </w:pPr>
      <w:r>
        <w:rPr>
          <w:rFonts w:hint="eastAsia"/>
          <w:b/>
          <w:bCs/>
          <w:highlight w:val="none"/>
        </w:rPr>
        <w:t>是日</w:t>
      </w:r>
    </w:p>
    <w:p w14:paraId="0B91F5D3">
      <w:pPr>
        <w:rPr>
          <w:rFonts w:hint="eastAsia" w:hAnsi="宋体" w:cs="宋体"/>
          <w:highlight w:val="none"/>
        </w:rPr>
      </w:pPr>
      <w:r>
        <w:rPr>
          <w:rFonts w:hint="eastAsia" w:hAnsi="宋体" w:cs="宋体"/>
          <w:highlight w:val="none"/>
        </w:rPr>
        <w:t>“五一”国际劳动节暨劳动模范表彰大会召开。曾风保、何万飞、丘德周等市领导出席会议。</w:t>
      </w:r>
    </w:p>
    <w:p w14:paraId="6098E68D">
      <w:pPr>
        <w:bidi w:val="0"/>
        <w:rPr>
          <w:rFonts w:hint="eastAsia"/>
          <w:b/>
          <w:bCs/>
          <w:highlight w:val="none"/>
        </w:rPr>
      </w:pPr>
      <w:r>
        <w:rPr>
          <w:rFonts w:hint="eastAsia"/>
          <w:b/>
          <w:bCs/>
          <w:highlight w:val="none"/>
        </w:rPr>
        <w:t>是日</w:t>
      </w:r>
    </w:p>
    <w:p w14:paraId="7DB2E58D">
      <w:pPr>
        <w:rPr>
          <w:rFonts w:hint="eastAsia" w:hAnsi="宋体" w:cs="宋体"/>
          <w:highlight w:val="none"/>
        </w:rPr>
      </w:pPr>
      <w:r>
        <w:rPr>
          <w:rFonts w:hint="eastAsia" w:hAnsi="宋体" w:cs="宋体"/>
          <w:highlight w:val="none"/>
        </w:rPr>
        <w:t>南雄市浈江电业有限公司李步荣被评为“全国劳动模范”。</w:t>
      </w:r>
    </w:p>
    <w:p w14:paraId="3E5AF6C0">
      <w:pPr>
        <w:pStyle w:val="3"/>
        <w:bidi w:val="0"/>
        <w:rPr>
          <w:rFonts w:hint="eastAsia"/>
          <w:highlight w:val="none"/>
        </w:rPr>
      </w:pPr>
      <w:r>
        <w:rPr>
          <w:rFonts w:hint="eastAsia"/>
          <w:highlight w:val="none"/>
        </w:rPr>
        <w:t>五月</w:t>
      </w:r>
    </w:p>
    <w:p w14:paraId="558A7F10">
      <w:pPr>
        <w:bidi w:val="0"/>
        <w:rPr>
          <w:rFonts w:hint="eastAsia"/>
          <w:b/>
          <w:bCs/>
          <w:highlight w:val="none"/>
        </w:rPr>
      </w:pPr>
      <w:r>
        <w:rPr>
          <w:rFonts w:hint="eastAsia"/>
          <w:b/>
          <w:bCs/>
          <w:highlight w:val="none"/>
        </w:rPr>
        <w:t>4日</w:t>
      </w:r>
    </w:p>
    <w:p w14:paraId="00DA5732">
      <w:pPr>
        <w:rPr>
          <w:rFonts w:hint="eastAsia" w:hAnsi="宋体" w:cs="宋体"/>
          <w:highlight w:val="none"/>
        </w:rPr>
      </w:pPr>
      <w:r>
        <w:rPr>
          <w:rFonts w:hint="eastAsia" w:hAnsi="宋体" w:cs="宋体"/>
          <w:highlight w:val="none"/>
        </w:rPr>
        <w:t>市委书记曾风保到主田、湖口两镇检查指导防汛抗汛工作。市委常委、市委办主任黄德群陪同检查。</w:t>
      </w:r>
    </w:p>
    <w:p w14:paraId="4CA9A12D">
      <w:pPr>
        <w:bidi w:val="0"/>
        <w:rPr>
          <w:rFonts w:hint="eastAsia"/>
          <w:b/>
          <w:bCs/>
          <w:highlight w:val="none"/>
        </w:rPr>
      </w:pPr>
      <w:r>
        <w:rPr>
          <w:rFonts w:hint="eastAsia"/>
          <w:b/>
          <w:bCs/>
          <w:highlight w:val="none"/>
        </w:rPr>
        <w:t>6日</w:t>
      </w:r>
    </w:p>
    <w:p w14:paraId="18571459">
      <w:pPr>
        <w:rPr>
          <w:rFonts w:hint="eastAsia" w:hAnsi="宋体" w:cs="宋体"/>
          <w:highlight w:val="none"/>
        </w:rPr>
      </w:pPr>
      <w:r>
        <w:rPr>
          <w:rFonts w:hint="eastAsia" w:hAnsi="宋体" w:cs="宋体"/>
          <w:highlight w:val="none"/>
        </w:rPr>
        <w:t>市十四届人大常委会第三十四次会议召开，审议通过有关人事事项。决定接受曾风保同志辞去南雄市人民政府市长职务，任命王碧安同志为南雄市人民政府副市长，代理南雄市人民政府市长职务。</w:t>
      </w:r>
    </w:p>
    <w:p w14:paraId="7738F51E">
      <w:pPr>
        <w:bidi w:val="0"/>
        <w:rPr>
          <w:rFonts w:hint="eastAsia"/>
          <w:b/>
          <w:bCs/>
          <w:highlight w:val="none"/>
        </w:rPr>
      </w:pPr>
      <w:r>
        <w:rPr>
          <w:rFonts w:hint="eastAsia"/>
          <w:b/>
          <w:bCs/>
          <w:highlight w:val="none"/>
        </w:rPr>
        <w:t>12日</w:t>
      </w:r>
    </w:p>
    <w:p w14:paraId="7B3A87DC">
      <w:pPr>
        <w:rPr>
          <w:rFonts w:hint="eastAsia" w:hAnsi="宋体" w:cs="宋体"/>
          <w:highlight w:val="none"/>
        </w:rPr>
      </w:pPr>
      <w:r>
        <w:rPr>
          <w:rFonts w:hint="eastAsia" w:hAnsi="宋体" w:cs="宋体"/>
          <w:highlight w:val="none"/>
        </w:rPr>
        <w:t>市委书记曾风保，市委副书记、代市长王碧安调研北城区建设项目推进情况。黄德群、袁元桃等市领导参加调研。</w:t>
      </w:r>
    </w:p>
    <w:p w14:paraId="12AD9C64">
      <w:pPr>
        <w:bidi w:val="0"/>
        <w:rPr>
          <w:rFonts w:hint="eastAsia"/>
          <w:b/>
          <w:bCs/>
          <w:highlight w:val="none"/>
        </w:rPr>
      </w:pPr>
      <w:r>
        <w:rPr>
          <w:rFonts w:hint="eastAsia"/>
          <w:b/>
          <w:bCs/>
          <w:highlight w:val="none"/>
        </w:rPr>
        <w:t>15日</w:t>
      </w:r>
    </w:p>
    <w:p w14:paraId="3665C30C">
      <w:pPr>
        <w:rPr>
          <w:rFonts w:hint="eastAsia" w:hAnsi="宋体" w:cs="宋体"/>
          <w:highlight w:val="none"/>
        </w:rPr>
      </w:pPr>
      <w:r>
        <w:rPr>
          <w:rFonts w:hint="eastAsia" w:hAnsi="宋体" w:cs="宋体"/>
          <w:highlight w:val="none"/>
        </w:rPr>
        <w:t>南雄邓坊泉水谷漂流度假村开业。该度假村位于邓坊镇里源村，集餐饮、娱乐、休闲一体。漂流河道全程约3公里、1小时。</w:t>
      </w:r>
    </w:p>
    <w:p w14:paraId="293CB0C2">
      <w:pPr>
        <w:bidi w:val="0"/>
        <w:rPr>
          <w:rFonts w:hint="eastAsia"/>
          <w:b/>
          <w:bCs/>
          <w:highlight w:val="none"/>
        </w:rPr>
      </w:pPr>
      <w:r>
        <w:rPr>
          <w:rFonts w:hint="eastAsia"/>
          <w:b/>
          <w:bCs/>
          <w:highlight w:val="none"/>
        </w:rPr>
        <w:t>20日</w:t>
      </w:r>
    </w:p>
    <w:p w14:paraId="5CECC652">
      <w:pPr>
        <w:rPr>
          <w:rFonts w:hint="eastAsia" w:hAnsi="宋体" w:cs="宋体"/>
          <w:highlight w:val="none"/>
        </w:rPr>
      </w:pPr>
      <w:r>
        <w:rPr>
          <w:rFonts w:hint="eastAsia" w:hAnsi="宋体" w:cs="宋体"/>
          <w:highlight w:val="none"/>
        </w:rPr>
        <w:t>南雄持续强降雨，导致部分镇出现不同程度灾情。有5370亩农作物受灾，受灾群众565人，转移群众99人，倒塌房屋81间，无人员伤亡，直接经济损失381万元。</w:t>
      </w:r>
    </w:p>
    <w:p w14:paraId="76DBE17B">
      <w:pPr>
        <w:bidi w:val="0"/>
        <w:rPr>
          <w:rFonts w:hint="eastAsia"/>
          <w:b/>
          <w:bCs/>
          <w:highlight w:val="none"/>
        </w:rPr>
      </w:pPr>
      <w:r>
        <w:rPr>
          <w:rFonts w:hint="eastAsia"/>
          <w:b/>
          <w:bCs/>
          <w:highlight w:val="none"/>
        </w:rPr>
        <w:t>21日</w:t>
      </w:r>
    </w:p>
    <w:p w14:paraId="4B5B88FB">
      <w:pPr>
        <w:rPr>
          <w:rFonts w:hint="eastAsia" w:hAnsi="宋体" w:cs="宋体"/>
          <w:highlight w:val="none"/>
        </w:rPr>
      </w:pPr>
      <w:r>
        <w:rPr>
          <w:rFonts w:hint="eastAsia" w:hAnsi="宋体" w:cs="宋体"/>
          <w:highlight w:val="none"/>
        </w:rPr>
        <w:t>市委书记曾风保，市委副书记、代市长王碧安率队调研珠玑镇新型城镇化建设。黄德群、何人平、李海霞、袁元桃等市领导参加调研。</w:t>
      </w:r>
    </w:p>
    <w:p w14:paraId="4F1C3818">
      <w:pPr>
        <w:pStyle w:val="3"/>
        <w:bidi w:val="0"/>
        <w:rPr>
          <w:rFonts w:hint="eastAsia"/>
          <w:highlight w:val="none"/>
        </w:rPr>
      </w:pPr>
      <w:r>
        <w:rPr>
          <w:rFonts w:hint="eastAsia"/>
          <w:highlight w:val="none"/>
        </w:rPr>
        <w:t>六月</w:t>
      </w:r>
    </w:p>
    <w:p w14:paraId="070FA569">
      <w:pPr>
        <w:bidi w:val="0"/>
        <w:rPr>
          <w:rFonts w:hint="eastAsia"/>
          <w:b/>
          <w:bCs/>
          <w:highlight w:val="none"/>
        </w:rPr>
      </w:pPr>
      <w:r>
        <w:rPr>
          <w:rFonts w:hint="eastAsia"/>
          <w:b/>
          <w:bCs/>
          <w:highlight w:val="none"/>
        </w:rPr>
        <w:t>2—3日</w:t>
      </w:r>
    </w:p>
    <w:p w14:paraId="15326D7A">
      <w:pPr>
        <w:rPr>
          <w:rFonts w:hint="eastAsia" w:hAnsi="宋体" w:cs="宋体"/>
          <w:highlight w:val="none"/>
        </w:rPr>
      </w:pPr>
      <w:r>
        <w:rPr>
          <w:rFonts w:hint="eastAsia" w:hAnsi="宋体" w:cs="宋体"/>
          <w:highlight w:val="none"/>
        </w:rPr>
        <w:t>市十四届人民代表大会第六次会议在南雄大会堂召开。大会应到代表208名，实到203名，曾风保当选为南雄市第十四届人大常委会主任；王碧安当选为南雄市人民政府市长。</w:t>
      </w:r>
    </w:p>
    <w:p w14:paraId="3F6E06DB">
      <w:pPr>
        <w:bidi w:val="0"/>
        <w:rPr>
          <w:rFonts w:hint="eastAsia"/>
          <w:b/>
          <w:bCs/>
          <w:highlight w:val="none"/>
        </w:rPr>
      </w:pPr>
      <w:r>
        <w:rPr>
          <w:rFonts w:hint="eastAsia"/>
          <w:b/>
          <w:bCs/>
          <w:highlight w:val="none"/>
        </w:rPr>
        <w:t>7—8日</w:t>
      </w:r>
    </w:p>
    <w:p w14:paraId="630DDBDC">
      <w:pPr>
        <w:rPr>
          <w:rFonts w:hint="eastAsia" w:hAnsi="宋体" w:cs="宋体"/>
          <w:highlight w:val="none"/>
        </w:rPr>
      </w:pPr>
      <w:r>
        <w:rPr>
          <w:rFonts w:hint="eastAsia" w:hAnsi="宋体" w:cs="宋体"/>
          <w:highlight w:val="none"/>
        </w:rPr>
        <w:t>2015年全国普通高考于6月7日、8日两天进行。2015年全市有3856名考生参加高考，相比2014年，增加445人，设有南雄中学、市一中、黄坑中学3个考场，133间试室。</w:t>
      </w:r>
    </w:p>
    <w:p w14:paraId="391B84BD">
      <w:pPr>
        <w:bidi w:val="0"/>
        <w:rPr>
          <w:rFonts w:hint="eastAsia"/>
          <w:b/>
          <w:bCs/>
          <w:highlight w:val="none"/>
        </w:rPr>
      </w:pPr>
      <w:r>
        <w:rPr>
          <w:rFonts w:hint="eastAsia"/>
          <w:b/>
          <w:bCs/>
          <w:highlight w:val="none"/>
        </w:rPr>
        <w:t>12日</w:t>
      </w:r>
    </w:p>
    <w:p w14:paraId="08CE0E06">
      <w:pPr>
        <w:rPr>
          <w:rFonts w:hint="eastAsia" w:hAnsi="宋体" w:cs="宋体"/>
          <w:highlight w:val="none"/>
        </w:rPr>
      </w:pPr>
      <w:r>
        <w:rPr>
          <w:rFonts w:hint="eastAsia" w:hAnsi="宋体" w:cs="宋体"/>
          <w:highlight w:val="none"/>
        </w:rPr>
        <w:t>举行南雄珠玑巷联谊会成立大会。近千名海内外的广府精英和珠玑巷后裔到会，现场收到慈善捐款1470多万元。大会主题是：世界珠玑人，共圆南雄梦。通过南雄珠玑巷联谊会常务理事会成员名单，张寿康当选南雄珠玑巷联谊会会长。韶关市领导李飞、何伟青，南雄市领导曾风保、王碧安、何万飞等出席成立大会。</w:t>
      </w:r>
    </w:p>
    <w:p w14:paraId="00EABEAF">
      <w:pPr>
        <w:bidi w:val="0"/>
        <w:rPr>
          <w:rFonts w:hint="eastAsia"/>
          <w:b/>
          <w:bCs/>
          <w:highlight w:val="none"/>
        </w:rPr>
      </w:pPr>
      <w:r>
        <w:rPr>
          <w:rFonts w:hint="eastAsia"/>
          <w:b/>
          <w:bCs/>
          <w:highlight w:val="none"/>
        </w:rPr>
        <w:t>是日</w:t>
      </w:r>
    </w:p>
    <w:p w14:paraId="19BB6D22">
      <w:pPr>
        <w:rPr>
          <w:rFonts w:hint="eastAsia" w:hAnsi="宋体" w:cs="宋体"/>
          <w:highlight w:val="none"/>
        </w:rPr>
      </w:pPr>
      <w:r>
        <w:rPr>
          <w:rFonts w:hint="eastAsia" w:hAnsi="宋体" w:cs="宋体"/>
          <w:highlight w:val="none"/>
        </w:rPr>
        <w:t>2014年南雄市经济社会科学发展考核在韶关市各（县、市区）排名第二。</w:t>
      </w:r>
    </w:p>
    <w:p w14:paraId="7D3D780A">
      <w:pPr>
        <w:bidi w:val="0"/>
        <w:rPr>
          <w:rFonts w:hint="eastAsia"/>
          <w:b/>
          <w:bCs/>
          <w:highlight w:val="none"/>
        </w:rPr>
      </w:pPr>
      <w:r>
        <w:rPr>
          <w:rFonts w:hint="eastAsia"/>
          <w:b/>
          <w:bCs/>
          <w:highlight w:val="none"/>
        </w:rPr>
        <w:t>17日</w:t>
      </w:r>
    </w:p>
    <w:p w14:paraId="033DAB28">
      <w:pPr>
        <w:rPr>
          <w:rFonts w:hint="eastAsia" w:hAnsi="宋体" w:cs="宋体"/>
          <w:highlight w:val="none"/>
        </w:rPr>
      </w:pPr>
      <w:r>
        <w:rPr>
          <w:rFonts w:hint="eastAsia" w:hAnsi="宋体" w:cs="宋体"/>
          <w:highlight w:val="none"/>
        </w:rPr>
        <w:t>韶关市委副书记、代市长骆蔚峰到南雄调研。主要深入重点企业、一期园区、时代广场，了解南雄经济社会发展情况。曾风保、王碧安、何万飞等市陪同。</w:t>
      </w:r>
    </w:p>
    <w:p w14:paraId="682CEFA8">
      <w:pPr>
        <w:bidi w:val="0"/>
        <w:rPr>
          <w:rFonts w:hint="eastAsia"/>
          <w:b/>
          <w:bCs/>
          <w:highlight w:val="none"/>
        </w:rPr>
      </w:pPr>
      <w:r>
        <w:rPr>
          <w:rFonts w:hint="eastAsia"/>
          <w:b/>
          <w:bCs/>
          <w:highlight w:val="none"/>
        </w:rPr>
        <w:t>24日</w:t>
      </w:r>
    </w:p>
    <w:p w14:paraId="2898627D">
      <w:pPr>
        <w:rPr>
          <w:rFonts w:hint="eastAsia" w:hAnsi="宋体" w:cs="宋体"/>
          <w:highlight w:val="none"/>
        </w:rPr>
      </w:pPr>
      <w:r>
        <w:rPr>
          <w:rFonts w:hint="eastAsia" w:hAnsi="宋体" w:cs="宋体"/>
          <w:highlight w:val="none"/>
        </w:rPr>
        <w:t>东莞市委常委、组织部长白涛率队到南雄开展帮扶联系调研工作。韶关市委常委、组织部长肖怀跃，南雄市领导王碧安、丘德周、黄德群、叶济熊、霍永健、罗战勇等陪同调研。</w:t>
      </w:r>
    </w:p>
    <w:p w14:paraId="260514EB">
      <w:pPr>
        <w:bidi w:val="0"/>
        <w:rPr>
          <w:rFonts w:hint="eastAsia"/>
          <w:b/>
          <w:bCs/>
          <w:highlight w:val="none"/>
        </w:rPr>
      </w:pPr>
      <w:r>
        <w:rPr>
          <w:rFonts w:hint="eastAsia"/>
          <w:b/>
          <w:bCs/>
          <w:highlight w:val="none"/>
        </w:rPr>
        <w:t>29日</w:t>
      </w:r>
    </w:p>
    <w:p w14:paraId="29068873">
      <w:pPr>
        <w:rPr>
          <w:rFonts w:hint="eastAsia" w:hAnsi="宋体" w:cs="宋体"/>
          <w:highlight w:val="none"/>
        </w:rPr>
      </w:pPr>
      <w:r>
        <w:rPr>
          <w:rFonts w:hint="eastAsia" w:hAnsi="宋体" w:cs="宋体"/>
          <w:highlight w:val="none"/>
        </w:rPr>
        <w:t>韶关市委副书记、代市长骆蔚峰到珠玑镇梅岭村调研基层村党建工作，走访慰问老党员。王碧安、叶济熊等陪同调研。</w:t>
      </w:r>
    </w:p>
    <w:p w14:paraId="5828D2B3">
      <w:pPr>
        <w:rPr>
          <w:rFonts w:hint="eastAsia" w:hAnsi="宋体" w:cs="宋体"/>
          <w:highlight w:val="none"/>
        </w:rPr>
      </w:pPr>
      <w:r>
        <w:rPr>
          <w:rFonts w:hint="eastAsia" w:hAnsi="宋体" w:cs="宋体"/>
          <w:highlight w:val="none"/>
        </w:rPr>
        <w:t>中下旬曾风保、王碧安、何万飞等市四套班子领导先后到挂点镇村、挂点企业上“三严三实”专题教育党课和开展“三严三实”体察学习。</w:t>
      </w:r>
    </w:p>
    <w:p w14:paraId="7392D852">
      <w:pPr>
        <w:pStyle w:val="3"/>
        <w:bidi w:val="0"/>
        <w:rPr>
          <w:rFonts w:hint="eastAsia"/>
          <w:highlight w:val="none"/>
        </w:rPr>
      </w:pPr>
      <w:r>
        <w:rPr>
          <w:rFonts w:hint="eastAsia"/>
          <w:highlight w:val="none"/>
        </w:rPr>
        <w:t>七月</w:t>
      </w:r>
    </w:p>
    <w:p w14:paraId="1FF949B2">
      <w:pPr>
        <w:bidi w:val="0"/>
        <w:rPr>
          <w:rFonts w:hint="eastAsia"/>
          <w:b/>
          <w:bCs/>
          <w:highlight w:val="none"/>
        </w:rPr>
      </w:pPr>
      <w:r>
        <w:rPr>
          <w:rFonts w:hint="eastAsia"/>
          <w:b/>
          <w:bCs/>
          <w:highlight w:val="none"/>
        </w:rPr>
        <w:t>6日</w:t>
      </w:r>
    </w:p>
    <w:p w14:paraId="5AAC24B2">
      <w:pPr>
        <w:rPr>
          <w:rFonts w:hint="eastAsia" w:hAnsi="宋体" w:cs="宋体"/>
          <w:highlight w:val="none"/>
        </w:rPr>
      </w:pPr>
      <w:r>
        <w:rPr>
          <w:rFonts w:hint="eastAsia" w:hAnsi="宋体" w:cs="宋体"/>
          <w:highlight w:val="none"/>
        </w:rPr>
        <w:t>南雄时代广场落成启用。曾风保、王碧安、何万飞等市领导出席启用仪式。</w:t>
      </w:r>
    </w:p>
    <w:p w14:paraId="5C090F24">
      <w:pPr>
        <w:bidi w:val="0"/>
        <w:rPr>
          <w:rFonts w:hint="eastAsia"/>
          <w:b/>
          <w:bCs/>
          <w:highlight w:val="none"/>
        </w:rPr>
      </w:pPr>
      <w:r>
        <w:rPr>
          <w:rFonts w:hint="eastAsia"/>
          <w:b/>
          <w:bCs/>
          <w:highlight w:val="none"/>
        </w:rPr>
        <w:t>是日</w:t>
      </w:r>
    </w:p>
    <w:p w14:paraId="69ACDEF3">
      <w:pPr>
        <w:rPr>
          <w:rFonts w:hint="eastAsia" w:hAnsi="宋体" w:cs="宋体"/>
          <w:highlight w:val="none"/>
        </w:rPr>
      </w:pPr>
      <w:r>
        <w:rPr>
          <w:rFonts w:hint="eastAsia" w:hAnsi="宋体" w:cs="宋体"/>
          <w:highlight w:val="none"/>
        </w:rPr>
        <w:t>广东省广府人珠玑巷后裔海外联谊会会长黎子流率海外华侨到南雄考察珠玑巷旅游综合开发项目。王碧安、何万飞、李海霞、陈尚妹等市领导陪同考察座谈。</w:t>
      </w:r>
    </w:p>
    <w:p w14:paraId="65186354">
      <w:pPr>
        <w:bidi w:val="0"/>
        <w:rPr>
          <w:rFonts w:hint="eastAsia"/>
          <w:b/>
          <w:bCs/>
          <w:highlight w:val="none"/>
        </w:rPr>
      </w:pPr>
      <w:r>
        <w:rPr>
          <w:rFonts w:hint="eastAsia"/>
          <w:b/>
          <w:bCs/>
          <w:highlight w:val="none"/>
        </w:rPr>
        <w:t>7—8日</w:t>
      </w:r>
    </w:p>
    <w:p w14:paraId="57BF52F3">
      <w:pPr>
        <w:rPr>
          <w:rFonts w:hint="eastAsia" w:hAnsi="宋体" w:cs="宋体"/>
          <w:highlight w:val="none"/>
        </w:rPr>
      </w:pPr>
      <w:r>
        <w:rPr>
          <w:rFonts w:hint="eastAsia" w:hAnsi="宋体" w:cs="宋体"/>
          <w:highlight w:val="none"/>
        </w:rPr>
        <w:t>韶关市对南雄巩固省卫生城市工作进行复查。市委常委、统战部长朱海兵陪同检查。</w:t>
      </w:r>
    </w:p>
    <w:p w14:paraId="57268157">
      <w:pPr>
        <w:bidi w:val="0"/>
        <w:rPr>
          <w:rFonts w:hint="eastAsia"/>
          <w:b/>
          <w:bCs/>
          <w:highlight w:val="none"/>
        </w:rPr>
      </w:pPr>
      <w:r>
        <w:rPr>
          <w:rFonts w:hint="eastAsia"/>
          <w:b/>
          <w:bCs/>
          <w:highlight w:val="none"/>
        </w:rPr>
        <w:t>10日</w:t>
      </w:r>
    </w:p>
    <w:p w14:paraId="2EC7A31A">
      <w:pPr>
        <w:rPr>
          <w:rFonts w:hint="eastAsia" w:hAnsi="宋体" w:cs="宋体"/>
          <w:highlight w:val="none"/>
        </w:rPr>
      </w:pPr>
      <w:r>
        <w:rPr>
          <w:rFonts w:hint="eastAsia" w:hAnsi="宋体" w:cs="宋体"/>
          <w:highlight w:val="none"/>
        </w:rPr>
        <w:t>部署2015年度征兵工作。王碧安、李霄山、刘悦明等市领导参加专题会议。</w:t>
      </w:r>
    </w:p>
    <w:p w14:paraId="417B9E5A">
      <w:pPr>
        <w:bidi w:val="0"/>
        <w:rPr>
          <w:rFonts w:hint="eastAsia"/>
          <w:b/>
          <w:bCs/>
          <w:highlight w:val="none"/>
        </w:rPr>
      </w:pPr>
      <w:r>
        <w:rPr>
          <w:rFonts w:hint="eastAsia"/>
          <w:b/>
          <w:bCs/>
          <w:highlight w:val="none"/>
        </w:rPr>
        <w:t>17日</w:t>
      </w:r>
    </w:p>
    <w:p w14:paraId="770944D4">
      <w:pPr>
        <w:rPr>
          <w:rFonts w:hint="eastAsia" w:hAnsi="宋体" w:cs="宋体"/>
          <w:highlight w:val="none"/>
        </w:rPr>
      </w:pPr>
      <w:r>
        <w:rPr>
          <w:rFonts w:hint="eastAsia" w:hAnsi="宋体" w:cs="宋体"/>
          <w:highlight w:val="none"/>
        </w:rPr>
        <w:t>召开党政班子会议，传达学习中共中央政治局委员、省委书记胡春华在韶调研重要讲话精神以及韶关市委十一届七次全会精神，并研究部署贯彻意见。</w:t>
      </w:r>
    </w:p>
    <w:p w14:paraId="74B8CC92">
      <w:pPr>
        <w:bidi w:val="0"/>
        <w:rPr>
          <w:rFonts w:hint="eastAsia"/>
          <w:b/>
          <w:bCs/>
          <w:highlight w:val="none"/>
        </w:rPr>
      </w:pPr>
      <w:r>
        <w:rPr>
          <w:rFonts w:hint="eastAsia"/>
          <w:b/>
          <w:bCs/>
          <w:highlight w:val="none"/>
        </w:rPr>
        <w:t>23日</w:t>
      </w:r>
    </w:p>
    <w:p w14:paraId="43E25A3C">
      <w:pPr>
        <w:rPr>
          <w:rFonts w:hint="eastAsia" w:hAnsi="宋体" w:cs="宋体"/>
          <w:highlight w:val="none"/>
        </w:rPr>
      </w:pPr>
      <w:r>
        <w:rPr>
          <w:rFonts w:hint="eastAsia" w:hAnsi="宋体" w:cs="宋体"/>
          <w:highlight w:val="none"/>
        </w:rPr>
        <w:t>召开2015年上半年经济形势分析会暨第三产业发展研讨会。上半年，全市实现地区生产总值50</w:t>
      </w:r>
      <w:r>
        <w:rPr>
          <w:rFonts w:hint="eastAsia" w:ascii="MingLiU_HKSCS" w:hAnsi="MingLiU_HKSCS" w:eastAsia="MingLiU_HKSCS" w:cs="MingLiU_HKSCS"/>
          <w:highlight w:val="none"/>
        </w:rPr>
        <w:t>.</w:t>
      </w:r>
      <w:r>
        <w:rPr>
          <w:rFonts w:hint="eastAsia" w:hAnsi="宋体" w:cs="宋体"/>
          <w:highlight w:val="none"/>
        </w:rPr>
        <w:t>14亿元，同比增长9</w:t>
      </w:r>
      <w:r>
        <w:rPr>
          <w:rFonts w:hint="eastAsia" w:ascii="MingLiU_HKSCS" w:hAnsi="MingLiU_HKSCS" w:eastAsia="MingLiU_HKSCS" w:cs="MingLiU_HKSCS"/>
          <w:highlight w:val="none"/>
        </w:rPr>
        <w:t>.</w:t>
      </w:r>
      <w:r>
        <w:rPr>
          <w:rFonts w:hint="eastAsia" w:hAnsi="宋体" w:cs="宋体"/>
          <w:highlight w:val="none"/>
        </w:rPr>
        <w:t>8%，上半年完成工业总产值63</w:t>
      </w:r>
      <w:r>
        <w:rPr>
          <w:rFonts w:hint="eastAsia" w:ascii="MingLiU_HKSCS" w:hAnsi="MingLiU_HKSCS" w:eastAsia="MingLiU_HKSCS" w:cs="MingLiU_HKSCS"/>
          <w:highlight w:val="none"/>
        </w:rPr>
        <w:t>.</w:t>
      </w:r>
      <w:r>
        <w:rPr>
          <w:rFonts w:hint="eastAsia" w:hAnsi="宋体" w:cs="宋体"/>
          <w:highlight w:val="none"/>
        </w:rPr>
        <w:t>5亿元，同比增长15</w:t>
      </w:r>
      <w:r>
        <w:rPr>
          <w:rFonts w:hint="eastAsia" w:ascii="MingLiU_HKSCS" w:hAnsi="MingLiU_HKSCS" w:eastAsia="MingLiU_HKSCS" w:cs="MingLiU_HKSCS"/>
          <w:highlight w:val="none"/>
        </w:rPr>
        <w:t>.</w:t>
      </w:r>
      <w:r>
        <w:rPr>
          <w:rFonts w:hint="eastAsia" w:hAnsi="宋体" w:cs="宋体"/>
          <w:highlight w:val="none"/>
        </w:rPr>
        <w:t>9%；固定资产投资完成40</w:t>
      </w:r>
      <w:r>
        <w:rPr>
          <w:rFonts w:hint="eastAsia" w:ascii="MingLiU_HKSCS" w:hAnsi="MingLiU_HKSCS" w:eastAsia="MingLiU_HKSCS" w:cs="MingLiU_HKSCS"/>
          <w:highlight w:val="none"/>
        </w:rPr>
        <w:t>.</w:t>
      </w:r>
      <w:r>
        <w:rPr>
          <w:rFonts w:hint="eastAsia" w:hAnsi="宋体" w:cs="宋体"/>
          <w:highlight w:val="none"/>
        </w:rPr>
        <w:t>3亿元，同比增长11</w:t>
      </w:r>
      <w:r>
        <w:rPr>
          <w:rFonts w:hint="eastAsia" w:ascii="MingLiU_HKSCS" w:hAnsi="MingLiU_HKSCS" w:eastAsia="MingLiU_HKSCS" w:cs="MingLiU_HKSCS"/>
          <w:highlight w:val="none"/>
        </w:rPr>
        <w:t>.</w:t>
      </w:r>
      <w:r>
        <w:rPr>
          <w:rFonts w:hint="eastAsia" w:hAnsi="宋体" w:cs="宋体"/>
          <w:highlight w:val="none"/>
        </w:rPr>
        <w:t>4%；社会消费品零售额完成22</w:t>
      </w:r>
      <w:r>
        <w:rPr>
          <w:rFonts w:hint="eastAsia" w:ascii="MingLiU_HKSCS" w:hAnsi="MingLiU_HKSCS" w:eastAsia="MingLiU_HKSCS" w:cs="MingLiU_HKSCS"/>
          <w:highlight w:val="none"/>
        </w:rPr>
        <w:t>.</w:t>
      </w:r>
      <w:r>
        <w:rPr>
          <w:rFonts w:hint="eastAsia" w:hAnsi="宋体" w:cs="宋体"/>
          <w:highlight w:val="none"/>
        </w:rPr>
        <w:t>52亿元，同比增长9</w:t>
      </w:r>
      <w:r>
        <w:rPr>
          <w:rFonts w:hint="eastAsia" w:ascii="MingLiU_HKSCS" w:hAnsi="MingLiU_HKSCS" w:eastAsia="MingLiU_HKSCS" w:cs="MingLiU_HKSCS"/>
          <w:highlight w:val="none"/>
        </w:rPr>
        <w:t>.</w:t>
      </w:r>
      <w:r>
        <w:rPr>
          <w:rFonts w:hint="eastAsia" w:hAnsi="宋体" w:cs="宋体"/>
          <w:highlight w:val="none"/>
        </w:rPr>
        <w:t>1%；地方公共财政预算收入2</w:t>
      </w:r>
      <w:r>
        <w:rPr>
          <w:rFonts w:hint="eastAsia" w:ascii="MingLiU_HKSCS" w:hAnsi="MingLiU_HKSCS" w:eastAsia="MingLiU_HKSCS" w:cs="MingLiU_HKSCS"/>
          <w:highlight w:val="none"/>
        </w:rPr>
        <w:t>.</w:t>
      </w:r>
      <w:r>
        <w:rPr>
          <w:rFonts w:hint="eastAsia" w:hAnsi="宋体" w:cs="宋体"/>
          <w:highlight w:val="none"/>
        </w:rPr>
        <w:t>29亿元，同比增长13%。</w:t>
      </w:r>
    </w:p>
    <w:p w14:paraId="559EEC03">
      <w:pPr>
        <w:pStyle w:val="3"/>
        <w:bidi w:val="0"/>
        <w:rPr>
          <w:rFonts w:hint="eastAsia"/>
          <w:highlight w:val="none"/>
        </w:rPr>
      </w:pPr>
      <w:r>
        <w:rPr>
          <w:rFonts w:hint="eastAsia"/>
          <w:highlight w:val="none"/>
        </w:rPr>
        <w:t>八月</w:t>
      </w:r>
    </w:p>
    <w:p w14:paraId="62928218">
      <w:pPr>
        <w:bidi w:val="0"/>
        <w:rPr>
          <w:rFonts w:hint="eastAsia"/>
          <w:b/>
          <w:bCs/>
          <w:highlight w:val="none"/>
        </w:rPr>
      </w:pPr>
      <w:r>
        <w:rPr>
          <w:rFonts w:hint="eastAsia"/>
          <w:b/>
          <w:bCs/>
          <w:highlight w:val="none"/>
        </w:rPr>
        <w:t>2日</w:t>
      </w:r>
    </w:p>
    <w:p w14:paraId="34B3AB80">
      <w:pPr>
        <w:rPr>
          <w:rFonts w:hint="eastAsia" w:hAnsi="宋体" w:cs="宋体"/>
          <w:highlight w:val="none"/>
        </w:rPr>
      </w:pPr>
      <w:r>
        <w:rPr>
          <w:rFonts w:hint="eastAsia" w:hAnsi="宋体" w:cs="宋体"/>
          <w:highlight w:val="none"/>
        </w:rPr>
        <w:t>市长王碧安、市委常委、统战部长朱海兵到黄坑、界址、乌迳等镇调研计生工作。</w:t>
      </w:r>
    </w:p>
    <w:p w14:paraId="60A8E37F">
      <w:pPr>
        <w:bidi w:val="0"/>
        <w:rPr>
          <w:rFonts w:hint="eastAsia"/>
          <w:b/>
          <w:bCs/>
          <w:highlight w:val="none"/>
        </w:rPr>
      </w:pPr>
      <w:r>
        <w:rPr>
          <w:rFonts w:hint="eastAsia"/>
          <w:b/>
          <w:bCs/>
          <w:highlight w:val="none"/>
        </w:rPr>
        <w:t>4日</w:t>
      </w:r>
    </w:p>
    <w:p w14:paraId="38BD11D7">
      <w:pPr>
        <w:rPr>
          <w:rFonts w:hint="eastAsia" w:hAnsi="宋体" w:cs="宋体"/>
          <w:highlight w:val="none"/>
        </w:rPr>
      </w:pPr>
      <w:r>
        <w:rPr>
          <w:rFonts w:hint="eastAsia" w:hAnsi="宋体" w:cs="宋体"/>
          <w:highlight w:val="none"/>
        </w:rPr>
        <w:t>市委书记、市人大常委会主任曾风保调研电子商务进农村工作和社会福利中心建设情况。</w:t>
      </w:r>
    </w:p>
    <w:p w14:paraId="326D7443">
      <w:pPr>
        <w:bidi w:val="0"/>
        <w:rPr>
          <w:rFonts w:hint="eastAsia"/>
          <w:b/>
          <w:bCs/>
          <w:highlight w:val="none"/>
        </w:rPr>
      </w:pPr>
      <w:r>
        <w:rPr>
          <w:rFonts w:hint="eastAsia"/>
          <w:b/>
          <w:bCs/>
          <w:highlight w:val="none"/>
        </w:rPr>
        <w:t>5日</w:t>
      </w:r>
    </w:p>
    <w:p w14:paraId="0CC957E5">
      <w:pPr>
        <w:rPr>
          <w:rFonts w:hint="eastAsia" w:hAnsi="宋体" w:cs="宋体"/>
          <w:highlight w:val="none"/>
        </w:rPr>
      </w:pPr>
      <w:r>
        <w:rPr>
          <w:rFonts w:hint="eastAsia" w:hAnsi="宋体" w:cs="宋体"/>
          <w:highlight w:val="none"/>
        </w:rPr>
        <w:t>召开2015年纪律教育学习月活动动员大会暨党员领导干部“三纪”教育培训班。曾风保、王碧安、何万飞等市四套班子领导参加会议。</w:t>
      </w:r>
    </w:p>
    <w:p w14:paraId="6AAA042E">
      <w:pPr>
        <w:bidi w:val="0"/>
        <w:rPr>
          <w:rFonts w:hint="eastAsia"/>
          <w:b/>
          <w:bCs/>
          <w:highlight w:val="none"/>
        </w:rPr>
      </w:pPr>
      <w:r>
        <w:rPr>
          <w:rFonts w:hint="eastAsia"/>
          <w:b/>
          <w:bCs/>
          <w:highlight w:val="none"/>
        </w:rPr>
        <w:t>是日</w:t>
      </w:r>
    </w:p>
    <w:p w14:paraId="1CD95197">
      <w:pPr>
        <w:rPr>
          <w:rFonts w:hint="eastAsia" w:hAnsi="宋体" w:cs="宋体"/>
          <w:highlight w:val="none"/>
        </w:rPr>
      </w:pPr>
      <w:r>
        <w:rPr>
          <w:rFonts w:hint="eastAsia" w:hAnsi="宋体" w:cs="宋体"/>
          <w:highlight w:val="none"/>
        </w:rPr>
        <w:t>市委常委、宣传部长卜小燕率队到邓坊镇上湖村西坑，为第十三个市爱国主义教育基地揭牌。上湖村是油山革命根据地和游击区活动组成部分。解放战争期间，中共五岭地委和“解放总队”经常在这里活动，于1948年11月在西坑村召开“中共五岭地委扩大会议”，这次会议是五岭地区武装斗争从困难走向胜利转折点。</w:t>
      </w:r>
    </w:p>
    <w:p w14:paraId="1E681379">
      <w:pPr>
        <w:bidi w:val="0"/>
        <w:rPr>
          <w:rFonts w:hint="eastAsia"/>
          <w:b/>
          <w:bCs/>
          <w:highlight w:val="none"/>
        </w:rPr>
      </w:pPr>
      <w:r>
        <w:rPr>
          <w:rFonts w:hint="eastAsia"/>
          <w:b/>
          <w:bCs/>
          <w:highlight w:val="none"/>
        </w:rPr>
        <w:t>13日</w:t>
      </w:r>
    </w:p>
    <w:p w14:paraId="277355B9">
      <w:pPr>
        <w:rPr>
          <w:rFonts w:hint="eastAsia" w:hAnsi="宋体" w:cs="宋体"/>
          <w:highlight w:val="none"/>
        </w:rPr>
      </w:pPr>
      <w:r>
        <w:rPr>
          <w:rFonts w:hint="eastAsia" w:hAnsi="宋体" w:cs="宋体"/>
          <w:highlight w:val="none"/>
        </w:rPr>
        <w:t>曾风保、王碧安、何万飞等市四套班子领导到市党风廉政教育基地参观。</w:t>
      </w:r>
    </w:p>
    <w:p w14:paraId="70317356">
      <w:pPr>
        <w:bidi w:val="0"/>
        <w:rPr>
          <w:rFonts w:hint="eastAsia"/>
          <w:b/>
          <w:bCs/>
          <w:highlight w:val="none"/>
        </w:rPr>
      </w:pPr>
      <w:r>
        <w:rPr>
          <w:rFonts w:hint="eastAsia"/>
          <w:b/>
          <w:bCs/>
          <w:highlight w:val="none"/>
        </w:rPr>
        <w:t>16日</w:t>
      </w:r>
    </w:p>
    <w:p w14:paraId="48DF7755">
      <w:pPr>
        <w:rPr>
          <w:rFonts w:hint="eastAsia" w:hAnsi="宋体" w:cs="宋体"/>
          <w:highlight w:val="none"/>
        </w:rPr>
      </w:pPr>
      <w:r>
        <w:rPr>
          <w:rFonts w:hint="eastAsia" w:hAnsi="宋体" w:cs="宋体"/>
          <w:highlight w:val="none"/>
        </w:rPr>
        <w:t>韶关市副市长王青西调研南雄中小河流治理情况。市委常委、市委办主任黄德群陪同。</w:t>
      </w:r>
    </w:p>
    <w:p w14:paraId="4B254231">
      <w:pPr>
        <w:bidi w:val="0"/>
        <w:rPr>
          <w:rFonts w:hint="eastAsia"/>
          <w:b/>
          <w:bCs/>
          <w:highlight w:val="none"/>
        </w:rPr>
      </w:pPr>
      <w:r>
        <w:rPr>
          <w:rFonts w:hint="eastAsia"/>
          <w:b/>
          <w:bCs/>
          <w:highlight w:val="none"/>
        </w:rPr>
        <w:t>19日</w:t>
      </w:r>
    </w:p>
    <w:p w14:paraId="21E5B2C7">
      <w:pPr>
        <w:rPr>
          <w:rFonts w:hint="eastAsia" w:hAnsi="宋体" w:cs="宋体"/>
          <w:highlight w:val="none"/>
        </w:rPr>
      </w:pPr>
      <w:r>
        <w:rPr>
          <w:rFonts w:hint="eastAsia" w:hAnsi="宋体" w:cs="宋体"/>
          <w:highlight w:val="none"/>
        </w:rPr>
        <w:t>广东省政协副主席唐豪到南雄调研文化旅游发展情况。韶关市政协主席李飞、副主席林嘉，南雄市领导丘德周、陈尚妹陪同调研。</w:t>
      </w:r>
    </w:p>
    <w:p w14:paraId="265892CD">
      <w:pPr>
        <w:bidi w:val="0"/>
        <w:rPr>
          <w:rFonts w:hint="eastAsia"/>
          <w:b/>
          <w:bCs/>
          <w:highlight w:val="none"/>
        </w:rPr>
      </w:pPr>
      <w:r>
        <w:rPr>
          <w:rFonts w:hint="eastAsia"/>
          <w:b/>
          <w:bCs/>
          <w:highlight w:val="none"/>
        </w:rPr>
        <w:t>21日</w:t>
      </w:r>
    </w:p>
    <w:p w14:paraId="4AE5F6D6">
      <w:pPr>
        <w:rPr>
          <w:rFonts w:hint="eastAsia" w:hAnsi="宋体" w:cs="宋体"/>
          <w:highlight w:val="none"/>
        </w:rPr>
      </w:pPr>
      <w:r>
        <w:rPr>
          <w:rFonts w:hint="eastAsia" w:hAnsi="宋体" w:cs="宋体"/>
          <w:highlight w:val="none"/>
        </w:rPr>
        <w:t>召开创建电子商务进农村综合示范市工作动员大会。市长王碧安、市委副书记丘德周出席会议。</w:t>
      </w:r>
    </w:p>
    <w:p w14:paraId="3AD78BF0">
      <w:pPr>
        <w:bidi w:val="0"/>
        <w:rPr>
          <w:rFonts w:hint="eastAsia"/>
          <w:b/>
          <w:bCs/>
          <w:highlight w:val="none"/>
        </w:rPr>
      </w:pPr>
      <w:r>
        <w:rPr>
          <w:rFonts w:hint="eastAsia"/>
          <w:b/>
          <w:bCs/>
          <w:highlight w:val="none"/>
        </w:rPr>
        <w:t>24日</w:t>
      </w:r>
    </w:p>
    <w:p w14:paraId="098A2113">
      <w:pPr>
        <w:rPr>
          <w:rFonts w:hint="eastAsia" w:hAnsi="宋体" w:cs="宋体"/>
          <w:highlight w:val="none"/>
        </w:rPr>
      </w:pPr>
      <w:r>
        <w:rPr>
          <w:rFonts w:hint="eastAsia" w:hAnsi="宋体" w:cs="宋体"/>
          <w:highlight w:val="none"/>
        </w:rPr>
        <w:t>市工商局和市质监局合并组建为市场监督管理局。标志着市工商局和市质监局由原省以下垂直管理调整地方分级管理。</w:t>
      </w:r>
    </w:p>
    <w:p w14:paraId="4F810750">
      <w:pPr>
        <w:bidi w:val="0"/>
        <w:rPr>
          <w:rFonts w:hint="eastAsia"/>
          <w:b/>
          <w:bCs/>
          <w:highlight w:val="none"/>
        </w:rPr>
      </w:pPr>
      <w:r>
        <w:rPr>
          <w:rFonts w:hint="eastAsia"/>
          <w:b/>
          <w:bCs/>
          <w:highlight w:val="none"/>
        </w:rPr>
        <w:t>26日</w:t>
      </w:r>
    </w:p>
    <w:p w14:paraId="1400C65C">
      <w:pPr>
        <w:rPr>
          <w:rFonts w:hint="eastAsia" w:hAnsi="宋体" w:cs="宋体"/>
          <w:highlight w:val="none"/>
        </w:rPr>
      </w:pPr>
      <w:r>
        <w:rPr>
          <w:rFonts w:hint="eastAsia" w:hAnsi="宋体" w:cs="宋体"/>
          <w:highlight w:val="none"/>
        </w:rPr>
        <w:t>市委召开“三严三实”主题学习研讨会，围绕“严以律己”专题，聚焦“严守党的政治纪律和政治规矩”主题，对照正反典型进行专题讨论。曾风保、王碧安、何万飞、陈玉英等市领导参加学习会。</w:t>
      </w:r>
    </w:p>
    <w:p w14:paraId="04145757">
      <w:pPr>
        <w:bidi w:val="0"/>
        <w:rPr>
          <w:rFonts w:hint="eastAsia"/>
          <w:b/>
          <w:bCs/>
          <w:highlight w:val="none"/>
        </w:rPr>
      </w:pPr>
      <w:r>
        <w:rPr>
          <w:rFonts w:hint="eastAsia"/>
          <w:b/>
          <w:bCs/>
          <w:highlight w:val="none"/>
        </w:rPr>
        <w:t>27日</w:t>
      </w:r>
    </w:p>
    <w:p w14:paraId="01A26836">
      <w:pPr>
        <w:rPr>
          <w:rFonts w:hint="eastAsia" w:hAnsi="宋体" w:cs="宋体"/>
          <w:highlight w:val="none"/>
        </w:rPr>
      </w:pPr>
      <w:r>
        <w:rPr>
          <w:rFonts w:hint="eastAsia" w:hAnsi="宋体" w:cs="宋体"/>
          <w:highlight w:val="none"/>
        </w:rPr>
        <w:t>2015年人才工作会议召开。曾风保、王碧安、何人平、叶济熊、马细妹等出席会议。</w:t>
      </w:r>
    </w:p>
    <w:p w14:paraId="0ABB6AB6">
      <w:pPr>
        <w:pStyle w:val="3"/>
        <w:bidi w:val="0"/>
        <w:rPr>
          <w:rFonts w:hint="eastAsia"/>
          <w:highlight w:val="none"/>
        </w:rPr>
      </w:pPr>
      <w:r>
        <w:rPr>
          <w:rFonts w:hint="eastAsia"/>
          <w:highlight w:val="none"/>
        </w:rPr>
        <w:t>九月</w:t>
      </w:r>
    </w:p>
    <w:p w14:paraId="03CC96D9">
      <w:pPr>
        <w:bidi w:val="0"/>
        <w:rPr>
          <w:rFonts w:hint="eastAsia"/>
          <w:b/>
          <w:bCs/>
          <w:highlight w:val="none"/>
        </w:rPr>
      </w:pPr>
      <w:r>
        <w:rPr>
          <w:rFonts w:hint="eastAsia"/>
          <w:b/>
          <w:bCs/>
          <w:highlight w:val="none"/>
        </w:rPr>
        <w:t>2日</w:t>
      </w:r>
    </w:p>
    <w:p w14:paraId="14B9867D">
      <w:pPr>
        <w:rPr>
          <w:rFonts w:hint="eastAsia" w:hAnsi="宋体" w:cs="宋体"/>
          <w:highlight w:val="none"/>
        </w:rPr>
      </w:pPr>
      <w:r>
        <w:rPr>
          <w:rFonts w:hint="eastAsia" w:hAnsi="宋体" w:cs="宋体"/>
          <w:highlight w:val="none"/>
        </w:rPr>
        <w:t>“全国百名作家走进中央苏区—南雄”采风活动启动。中国作协副主席谭谈，韶关市委常委、宣传部长柳琛子，南雄市领导曾风保、何万飞、丘德周、黄德群、卜小燕、陈玉英、马细妹出席仪式。</w:t>
      </w:r>
    </w:p>
    <w:p w14:paraId="5058972E">
      <w:pPr>
        <w:bidi w:val="0"/>
        <w:rPr>
          <w:rFonts w:hint="eastAsia"/>
          <w:b/>
          <w:bCs/>
          <w:highlight w:val="none"/>
        </w:rPr>
      </w:pPr>
      <w:r>
        <w:rPr>
          <w:rFonts w:hint="eastAsia"/>
          <w:b/>
          <w:bCs/>
          <w:highlight w:val="none"/>
        </w:rPr>
        <w:t>4日</w:t>
      </w:r>
    </w:p>
    <w:p w14:paraId="1FED68EC">
      <w:pPr>
        <w:rPr>
          <w:rFonts w:hint="eastAsia" w:hAnsi="宋体" w:cs="宋体"/>
          <w:highlight w:val="none"/>
        </w:rPr>
      </w:pPr>
      <w:r>
        <w:rPr>
          <w:rFonts w:hint="eastAsia" w:hAnsi="宋体" w:cs="宋体"/>
          <w:highlight w:val="none"/>
        </w:rPr>
        <w:t>为纪念中国人民抗日战争暨世界反法西斯战争胜利70周年，市委书记曾风保、市长王碧安分别率领党政领导与抗战老兵何欧进、李英勤座谈，倾听抗战老兵讲述抗战的艰苦岁月，对两位抗战老兵为民族独立解放出生入死、英勇战斗精神给予高度赞扬，并向他们致以崇高的敬意。</w:t>
      </w:r>
    </w:p>
    <w:p w14:paraId="40C9ECAA">
      <w:pPr>
        <w:bidi w:val="0"/>
        <w:rPr>
          <w:rFonts w:hint="eastAsia"/>
          <w:b/>
          <w:bCs/>
          <w:highlight w:val="none"/>
        </w:rPr>
      </w:pPr>
      <w:r>
        <w:rPr>
          <w:rFonts w:hint="eastAsia"/>
          <w:b/>
          <w:bCs/>
          <w:highlight w:val="none"/>
        </w:rPr>
        <w:t>8日</w:t>
      </w:r>
    </w:p>
    <w:p w14:paraId="146D0538">
      <w:pPr>
        <w:rPr>
          <w:rFonts w:hint="eastAsia" w:hAnsi="宋体" w:cs="宋体"/>
          <w:highlight w:val="none"/>
        </w:rPr>
      </w:pPr>
      <w:r>
        <w:rPr>
          <w:rFonts w:hint="eastAsia" w:hAnsi="宋体" w:cs="宋体"/>
          <w:highlight w:val="none"/>
        </w:rPr>
        <w:t>市委书记、市人大常委会主任曾风保率队到坪田镇调研银杏景区基础设施建设进展情况。黄德群、李海霞、陈玉英、刘宏伟等领导参加调研。</w:t>
      </w:r>
    </w:p>
    <w:p w14:paraId="19F711CB">
      <w:pPr>
        <w:bidi w:val="0"/>
        <w:rPr>
          <w:rFonts w:hint="eastAsia"/>
          <w:b/>
          <w:bCs/>
          <w:highlight w:val="none"/>
        </w:rPr>
      </w:pPr>
      <w:r>
        <w:rPr>
          <w:rFonts w:hint="eastAsia"/>
          <w:b/>
          <w:bCs/>
          <w:highlight w:val="none"/>
        </w:rPr>
        <w:t>9—10日</w:t>
      </w:r>
    </w:p>
    <w:p w14:paraId="5FA977FE">
      <w:pPr>
        <w:rPr>
          <w:rFonts w:hint="eastAsia" w:hAnsi="宋体" w:cs="宋体"/>
          <w:highlight w:val="none"/>
        </w:rPr>
      </w:pPr>
      <w:r>
        <w:rPr>
          <w:rFonts w:hint="eastAsia" w:hAnsi="宋体" w:cs="宋体"/>
          <w:highlight w:val="none"/>
        </w:rPr>
        <w:t>曾风保、王碧安、何万飞、丘德周、黄德群、何人平、陈玉英、马细妹等领导进行教师节慰问。</w:t>
      </w:r>
    </w:p>
    <w:p w14:paraId="205CE7E1">
      <w:pPr>
        <w:bidi w:val="0"/>
        <w:rPr>
          <w:rFonts w:hint="eastAsia"/>
          <w:b/>
          <w:bCs/>
          <w:highlight w:val="none"/>
        </w:rPr>
      </w:pPr>
      <w:r>
        <w:rPr>
          <w:rFonts w:hint="eastAsia"/>
          <w:b/>
          <w:bCs/>
          <w:highlight w:val="none"/>
        </w:rPr>
        <w:t>10日</w:t>
      </w:r>
    </w:p>
    <w:p w14:paraId="2362037F">
      <w:pPr>
        <w:rPr>
          <w:rFonts w:hint="eastAsia" w:hAnsi="宋体" w:cs="宋体"/>
          <w:highlight w:val="none"/>
        </w:rPr>
      </w:pPr>
      <w:r>
        <w:rPr>
          <w:rFonts w:hint="eastAsia" w:hAnsi="宋体" w:cs="宋体"/>
          <w:highlight w:val="none"/>
        </w:rPr>
        <w:t>召开教师节表彰大会暨创建“全国义务教育发展基本均衡县（市）”推进会。</w:t>
      </w:r>
    </w:p>
    <w:p w14:paraId="49B0AEA4">
      <w:pPr>
        <w:bidi w:val="0"/>
        <w:rPr>
          <w:rFonts w:hint="eastAsia"/>
          <w:b/>
          <w:bCs/>
          <w:highlight w:val="none"/>
        </w:rPr>
      </w:pPr>
      <w:r>
        <w:rPr>
          <w:rFonts w:hint="eastAsia"/>
          <w:b/>
          <w:bCs/>
          <w:highlight w:val="none"/>
        </w:rPr>
        <w:t>11日</w:t>
      </w:r>
    </w:p>
    <w:p w14:paraId="3FDC52A8">
      <w:pPr>
        <w:rPr>
          <w:rFonts w:hint="eastAsia" w:hAnsi="宋体" w:cs="宋体"/>
          <w:highlight w:val="none"/>
        </w:rPr>
      </w:pPr>
      <w:r>
        <w:rPr>
          <w:rFonts w:hint="eastAsia" w:hAnsi="宋体" w:cs="宋体"/>
          <w:highlight w:val="none"/>
        </w:rPr>
        <w:t>全市基层工作会议召开。要求镇（街道）抓基础强服务，着力解决农村发展实际问题，不断提高基层治理水平。</w:t>
      </w:r>
    </w:p>
    <w:p w14:paraId="7FBD5D44">
      <w:pPr>
        <w:bidi w:val="0"/>
        <w:rPr>
          <w:rFonts w:hint="eastAsia"/>
          <w:b/>
          <w:bCs/>
          <w:highlight w:val="none"/>
        </w:rPr>
      </w:pPr>
      <w:r>
        <w:rPr>
          <w:rFonts w:hint="eastAsia"/>
          <w:b/>
          <w:bCs/>
          <w:highlight w:val="none"/>
        </w:rPr>
        <w:t>15日</w:t>
      </w:r>
    </w:p>
    <w:p w14:paraId="6BDF7FDD">
      <w:pPr>
        <w:rPr>
          <w:rFonts w:hint="eastAsia" w:hAnsi="宋体" w:cs="宋体"/>
          <w:highlight w:val="none"/>
        </w:rPr>
      </w:pPr>
      <w:r>
        <w:rPr>
          <w:rFonts w:hint="eastAsia" w:hAnsi="宋体" w:cs="宋体"/>
          <w:highlight w:val="none"/>
        </w:rPr>
        <w:t>广东省检查组到南雄考核省双拥模范县（市）创建工作。曾风保、王碧安、何万飞、李霄山、陈玉英等市领导参加汇报会。</w:t>
      </w:r>
    </w:p>
    <w:p w14:paraId="4F881628">
      <w:pPr>
        <w:bidi w:val="0"/>
        <w:rPr>
          <w:rFonts w:hint="eastAsia"/>
          <w:b/>
          <w:bCs/>
          <w:highlight w:val="none"/>
        </w:rPr>
      </w:pPr>
      <w:r>
        <w:rPr>
          <w:rFonts w:hint="eastAsia"/>
          <w:b/>
          <w:bCs/>
          <w:highlight w:val="none"/>
        </w:rPr>
        <w:t>23日</w:t>
      </w:r>
    </w:p>
    <w:p w14:paraId="4D64489F">
      <w:pPr>
        <w:rPr>
          <w:rFonts w:hint="eastAsia" w:hAnsi="宋体" w:cs="宋体"/>
          <w:highlight w:val="none"/>
        </w:rPr>
      </w:pPr>
      <w:r>
        <w:rPr>
          <w:rFonts w:hint="eastAsia" w:hAnsi="宋体" w:cs="宋体"/>
          <w:highlight w:val="none"/>
        </w:rPr>
        <w:t>在广州召开第二届姓氏文化旅游新闻发布会。市领导曾风保、黄德群、卜小燕、马细妹、陈尚妹参加新闻发布会。</w:t>
      </w:r>
    </w:p>
    <w:p w14:paraId="32C276EA">
      <w:pPr>
        <w:bidi w:val="0"/>
        <w:rPr>
          <w:rFonts w:hint="eastAsia"/>
          <w:b/>
          <w:bCs/>
          <w:highlight w:val="none"/>
        </w:rPr>
      </w:pPr>
      <w:r>
        <w:rPr>
          <w:rFonts w:hint="eastAsia"/>
          <w:b/>
          <w:bCs/>
          <w:highlight w:val="none"/>
        </w:rPr>
        <w:t>30日</w:t>
      </w:r>
    </w:p>
    <w:p w14:paraId="57520EA3">
      <w:pPr>
        <w:rPr>
          <w:rFonts w:hint="eastAsia" w:hAnsi="宋体" w:cs="宋体"/>
          <w:highlight w:val="none"/>
        </w:rPr>
      </w:pPr>
      <w:r>
        <w:rPr>
          <w:rFonts w:hint="eastAsia" w:hAnsi="宋体" w:cs="宋体"/>
          <w:highlight w:val="none"/>
        </w:rPr>
        <w:t>举行烈士纪念日祭奠革命先烈活动。曾风保、何万飞等市四套班子领导参加活动。</w:t>
      </w:r>
    </w:p>
    <w:p w14:paraId="60D7A23E">
      <w:pPr>
        <w:bidi w:val="0"/>
        <w:rPr>
          <w:rFonts w:hint="eastAsia"/>
          <w:b/>
          <w:bCs/>
          <w:highlight w:val="none"/>
        </w:rPr>
      </w:pPr>
      <w:r>
        <w:rPr>
          <w:rFonts w:hint="eastAsia"/>
          <w:b/>
          <w:bCs/>
          <w:highlight w:val="none"/>
        </w:rPr>
        <w:t>是日</w:t>
      </w:r>
    </w:p>
    <w:p w14:paraId="2CBB8BF7">
      <w:pPr>
        <w:rPr>
          <w:rFonts w:hint="eastAsia" w:hAnsi="宋体" w:cs="宋体"/>
          <w:highlight w:val="none"/>
        </w:rPr>
      </w:pPr>
      <w:r>
        <w:rPr>
          <w:rFonts w:hint="eastAsia" w:hAnsi="宋体" w:cs="宋体"/>
          <w:highlight w:val="none"/>
        </w:rPr>
        <w:t>著名书画家杨金瑞和黄蜀黔受邀到南雄现场进行书画作品创作。</w:t>
      </w:r>
    </w:p>
    <w:p w14:paraId="68D80433">
      <w:pPr>
        <w:pStyle w:val="3"/>
        <w:bidi w:val="0"/>
        <w:rPr>
          <w:rFonts w:hint="eastAsia"/>
          <w:highlight w:val="none"/>
        </w:rPr>
      </w:pPr>
      <w:r>
        <w:rPr>
          <w:rFonts w:hint="eastAsia"/>
          <w:highlight w:val="none"/>
        </w:rPr>
        <w:t>十月</w:t>
      </w:r>
    </w:p>
    <w:p w14:paraId="619551F3">
      <w:pPr>
        <w:bidi w:val="0"/>
        <w:rPr>
          <w:rFonts w:hint="eastAsia"/>
          <w:b/>
          <w:bCs/>
          <w:highlight w:val="none"/>
        </w:rPr>
      </w:pPr>
      <w:r>
        <w:rPr>
          <w:rFonts w:hint="eastAsia"/>
          <w:b/>
          <w:bCs/>
          <w:highlight w:val="none"/>
        </w:rPr>
        <w:t>8日</w:t>
      </w:r>
    </w:p>
    <w:p w14:paraId="32F63A16">
      <w:pPr>
        <w:rPr>
          <w:rFonts w:hint="eastAsia" w:hAnsi="宋体" w:cs="宋体"/>
          <w:highlight w:val="none"/>
        </w:rPr>
      </w:pPr>
      <w:r>
        <w:rPr>
          <w:rFonts w:hint="eastAsia" w:hAnsi="宋体" w:cs="宋体"/>
          <w:highlight w:val="none"/>
        </w:rPr>
        <w:t>市委组织部、扶贫“双到”办、市委党校共同组织举办2015年度全市村（社区）支书、主任培训班。此次培训班举办两期，为期6天。</w:t>
      </w:r>
    </w:p>
    <w:p w14:paraId="03DC1DBB">
      <w:pPr>
        <w:bidi w:val="0"/>
        <w:rPr>
          <w:rFonts w:hint="eastAsia"/>
          <w:b/>
          <w:bCs/>
          <w:highlight w:val="none"/>
        </w:rPr>
      </w:pPr>
      <w:r>
        <w:rPr>
          <w:rFonts w:hint="eastAsia"/>
          <w:b/>
          <w:bCs/>
          <w:highlight w:val="none"/>
        </w:rPr>
        <w:t>12日</w:t>
      </w:r>
    </w:p>
    <w:p w14:paraId="3003FED7">
      <w:pPr>
        <w:rPr>
          <w:rFonts w:hint="eastAsia" w:hAnsi="宋体" w:cs="宋体"/>
          <w:highlight w:val="none"/>
        </w:rPr>
      </w:pPr>
      <w:r>
        <w:rPr>
          <w:rFonts w:hint="eastAsia" w:hAnsi="宋体" w:cs="宋体"/>
          <w:highlight w:val="none"/>
        </w:rPr>
        <w:t>广东金友米业股份有限公司在广州股权交易中心成功挂牌，代码292129。这是继康绿宝科技实业有限公司在上海股权交易中心挂牌上市的第二家上市企业。</w:t>
      </w:r>
    </w:p>
    <w:p w14:paraId="488A52E0">
      <w:pPr>
        <w:bidi w:val="0"/>
        <w:rPr>
          <w:rFonts w:hint="eastAsia"/>
          <w:b/>
          <w:bCs/>
          <w:highlight w:val="none"/>
        </w:rPr>
      </w:pPr>
      <w:r>
        <w:rPr>
          <w:rFonts w:hint="eastAsia"/>
          <w:b/>
          <w:bCs/>
          <w:highlight w:val="none"/>
        </w:rPr>
        <w:t>12—13日</w:t>
      </w:r>
    </w:p>
    <w:p w14:paraId="19DA7C69">
      <w:pPr>
        <w:rPr>
          <w:rFonts w:hint="eastAsia" w:hAnsi="宋体" w:cs="宋体"/>
          <w:highlight w:val="none"/>
        </w:rPr>
      </w:pPr>
      <w:r>
        <w:rPr>
          <w:rFonts w:hint="eastAsia" w:hAnsi="宋体" w:cs="宋体"/>
          <w:highlight w:val="none"/>
        </w:rPr>
        <w:t>广东省检查组检查验收巩固省卫生城工作，经过实地检查和查阅资料，南雄通过省卫生城市复审。</w:t>
      </w:r>
    </w:p>
    <w:p w14:paraId="7AC31F55">
      <w:pPr>
        <w:bidi w:val="0"/>
        <w:rPr>
          <w:rFonts w:hint="eastAsia"/>
          <w:b/>
          <w:bCs/>
          <w:highlight w:val="none"/>
        </w:rPr>
      </w:pPr>
      <w:r>
        <w:rPr>
          <w:rFonts w:hint="eastAsia"/>
          <w:b/>
          <w:bCs/>
          <w:highlight w:val="none"/>
        </w:rPr>
        <w:t>14日</w:t>
      </w:r>
    </w:p>
    <w:p w14:paraId="3375840D">
      <w:pPr>
        <w:rPr>
          <w:rFonts w:hint="eastAsia" w:hAnsi="宋体" w:cs="宋体"/>
          <w:highlight w:val="none"/>
        </w:rPr>
      </w:pPr>
      <w:r>
        <w:rPr>
          <w:rFonts w:hint="eastAsia" w:hAnsi="宋体" w:cs="宋体"/>
          <w:highlight w:val="none"/>
        </w:rPr>
        <w:t>加强对畜禽养殖污染减排综合治理工作，对建在饮用水源保护区、居民区等环境敏感区23家养殖场进行关闭。</w:t>
      </w:r>
    </w:p>
    <w:p w14:paraId="5D14D481">
      <w:pPr>
        <w:bidi w:val="0"/>
        <w:rPr>
          <w:rFonts w:hint="eastAsia"/>
          <w:b/>
          <w:bCs/>
          <w:highlight w:val="none"/>
        </w:rPr>
      </w:pPr>
      <w:r>
        <w:rPr>
          <w:rFonts w:hint="eastAsia"/>
          <w:b/>
          <w:bCs/>
          <w:highlight w:val="none"/>
        </w:rPr>
        <w:t>15日</w:t>
      </w:r>
    </w:p>
    <w:p w14:paraId="7B5983EB">
      <w:pPr>
        <w:rPr>
          <w:rFonts w:hint="eastAsia" w:hAnsi="宋体" w:cs="宋体"/>
          <w:highlight w:val="none"/>
        </w:rPr>
      </w:pPr>
      <w:r>
        <w:rPr>
          <w:rFonts w:hint="eastAsia" w:hAnsi="宋体" w:cs="宋体"/>
          <w:highlight w:val="none"/>
        </w:rPr>
        <w:t>韶关市委书记蓝佛安调研南雄旅游业发展情况。曾风保、黄德群、李海霞等陪同调研。</w:t>
      </w:r>
    </w:p>
    <w:p w14:paraId="48B361DD">
      <w:pPr>
        <w:bidi w:val="0"/>
        <w:rPr>
          <w:rFonts w:hint="eastAsia"/>
          <w:b/>
          <w:bCs/>
          <w:highlight w:val="none"/>
        </w:rPr>
      </w:pPr>
      <w:r>
        <w:rPr>
          <w:rFonts w:hint="eastAsia"/>
          <w:b/>
          <w:bCs/>
          <w:highlight w:val="none"/>
        </w:rPr>
        <w:t>16日</w:t>
      </w:r>
    </w:p>
    <w:p w14:paraId="79CA3AF1">
      <w:pPr>
        <w:rPr>
          <w:rFonts w:hint="eastAsia" w:hAnsi="宋体" w:cs="宋体"/>
          <w:highlight w:val="none"/>
        </w:rPr>
      </w:pPr>
      <w:r>
        <w:rPr>
          <w:rFonts w:hint="eastAsia" w:hAnsi="宋体" w:cs="宋体"/>
          <w:highlight w:val="none"/>
        </w:rPr>
        <w:t>国家卫计委督查组到南雄督查“十二五”期间卫生计生事业发展情况。韶关市副市长王伟阳，南雄市领导王碧安、朱海兵等陪同检查。</w:t>
      </w:r>
    </w:p>
    <w:p w14:paraId="111A24C6">
      <w:pPr>
        <w:bidi w:val="0"/>
        <w:rPr>
          <w:rFonts w:hint="eastAsia"/>
          <w:b/>
          <w:bCs/>
          <w:highlight w:val="none"/>
        </w:rPr>
      </w:pPr>
      <w:r>
        <w:rPr>
          <w:rFonts w:hint="eastAsia"/>
          <w:b/>
          <w:bCs/>
          <w:highlight w:val="none"/>
        </w:rPr>
        <w:t>是日</w:t>
      </w:r>
    </w:p>
    <w:p w14:paraId="09024ED3">
      <w:pPr>
        <w:rPr>
          <w:rFonts w:hint="eastAsia" w:hAnsi="宋体" w:cs="宋体"/>
          <w:highlight w:val="none"/>
        </w:rPr>
      </w:pPr>
      <w:r>
        <w:rPr>
          <w:rFonts w:hint="eastAsia" w:hAnsi="宋体" w:cs="宋体"/>
          <w:highlight w:val="none"/>
        </w:rPr>
        <w:t>在瀑布水、南山水、宝江水举行中小河流治理仪式，2015年市山区中小河流治理项目总投资1</w:t>
      </w:r>
      <w:r>
        <w:rPr>
          <w:rFonts w:hint="eastAsia" w:ascii="MingLiU_HKSCS" w:hAnsi="MingLiU_HKSCS" w:eastAsia="MingLiU_HKSCS" w:cs="MingLiU_HKSCS"/>
          <w:highlight w:val="none"/>
        </w:rPr>
        <w:t>.</w:t>
      </w:r>
      <w:r>
        <w:rPr>
          <w:rFonts w:hint="eastAsia" w:hAnsi="宋体" w:cs="宋体"/>
          <w:highlight w:val="none"/>
        </w:rPr>
        <w:t>56亿元，治理河道78</w:t>
      </w:r>
      <w:r>
        <w:rPr>
          <w:rFonts w:hint="eastAsia" w:ascii="MingLiU_HKSCS" w:hAnsi="MingLiU_HKSCS" w:eastAsia="MingLiU_HKSCS" w:cs="MingLiU_HKSCS"/>
          <w:highlight w:val="none"/>
        </w:rPr>
        <w:t>.</w:t>
      </w:r>
      <w:r>
        <w:rPr>
          <w:rFonts w:hint="eastAsia" w:hAnsi="宋体" w:cs="宋体"/>
          <w:highlight w:val="none"/>
        </w:rPr>
        <w:t>7公里。</w:t>
      </w:r>
    </w:p>
    <w:p w14:paraId="64000409">
      <w:pPr>
        <w:bidi w:val="0"/>
        <w:rPr>
          <w:rFonts w:hint="eastAsia"/>
          <w:b/>
          <w:bCs/>
          <w:highlight w:val="none"/>
        </w:rPr>
      </w:pPr>
      <w:r>
        <w:rPr>
          <w:rFonts w:hint="eastAsia"/>
          <w:b/>
          <w:bCs/>
          <w:highlight w:val="none"/>
        </w:rPr>
        <w:t>17日</w:t>
      </w:r>
    </w:p>
    <w:p w14:paraId="70C91D03">
      <w:pPr>
        <w:rPr>
          <w:rFonts w:hint="eastAsia" w:hAnsi="宋体" w:cs="宋体"/>
          <w:highlight w:val="none"/>
        </w:rPr>
      </w:pPr>
      <w:r>
        <w:rPr>
          <w:rFonts w:hint="eastAsia" w:hAnsi="宋体" w:cs="宋体"/>
          <w:highlight w:val="none"/>
        </w:rPr>
        <w:t>召开第二届姓氏文化旅游节大会。现场3000多名来自海内外、珠三角等地的珠玑巷后裔共享“吾家珠玑”这一独具地方特色文化盛宴。国务院原参事任玉岭，中国作协副主席谭谈，国家旅游局巡视员唐洪广，文化部海外文化设施建设管理中心主任白国庆，民政部基层政权与社会建设司副司长汤普苏，国家发改委社会发展研究所所长杨宜勇，广东广府人珠玑巷后裔海外联谊会会长黎子流、执行会长佀志广，广东省人大常委会副秘书长黄创强，韶关市领导陈波、柳琛子、兰茵等领导出席大会。</w:t>
      </w:r>
    </w:p>
    <w:p w14:paraId="4F2C87E1">
      <w:pPr>
        <w:bidi w:val="0"/>
        <w:rPr>
          <w:rFonts w:hint="eastAsia"/>
          <w:b/>
          <w:bCs/>
          <w:highlight w:val="none"/>
        </w:rPr>
      </w:pPr>
      <w:r>
        <w:rPr>
          <w:rFonts w:hint="eastAsia"/>
          <w:b/>
          <w:bCs/>
          <w:highlight w:val="none"/>
        </w:rPr>
        <w:t>是日</w:t>
      </w:r>
    </w:p>
    <w:p w14:paraId="6282F092">
      <w:pPr>
        <w:rPr>
          <w:rFonts w:hint="eastAsia" w:hAnsi="宋体" w:cs="宋体"/>
          <w:highlight w:val="none"/>
        </w:rPr>
      </w:pPr>
      <w:r>
        <w:rPr>
          <w:rFonts w:hint="eastAsia" w:hAnsi="宋体" w:cs="宋体"/>
          <w:highlight w:val="none"/>
        </w:rPr>
        <w:t>南雄首届美食节评选出南雄“十大名菜”和“十大名小吃”。“十大名菜”：酿豆腐、黄焖鸭、鹅王、梅菜扣肉、田螺鸡煲、清蒸牛肉丸、韭菜鱼饼、酸笋田螺鸭煲、黄焖鸭三宝、美极猪手。“十大名小吃”：牛干脯、腐皮卷、铜勺饼、饺俚糍、香脆网油卷、大佬匡辣椒酱、芋丝饼、香煎番茄玉米饼、银杏酥、美味石螺。</w:t>
      </w:r>
    </w:p>
    <w:p w14:paraId="6BD9690B">
      <w:pPr>
        <w:bidi w:val="0"/>
        <w:rPr>
          <w:rFonts w:hint="eastAsia"/>
          <w:b/>
          <w:bCs/>
          <w:highlight w:val="none"/>
        </w:rPr>
      </w:pPr>
      <w:r>
        <w:rPr>
          <w:rFonts w:hint="eastAsia"/>
          <w:b/>
          <w:bCs/>
          <w:highlight w:val="none"/>
        </w:rPr>
        <w:t>21日</w:t>
      </w:r>
    </w:p>
    <w:p w14:paraId="01013ED3">
      <w:pPr>
        <w:rPr>
          <w:rFonts w:hint="eastAsia" w:hAnsi="宋体" w:cs="宋体"/>
          <w:highlight w:val="none"/>
        </w:rPr>
      </w:pPr>
      <w:r>
        <w:rPr>
          <w:rFonts w:hint="eastAsia" w:hAnsi="宋体" w:cs="宋体"/>
          <w:highlight w:val="none"/>
        </w:rPr>
        <w:t>韶关市委副书记、代市长骆蔚峰到挂点联系村主田镇塘山村调研指导软弱涣散党组织整顿工作。曾风保、黄德群等陪同调研。</w:t>
      </w:r>
    </w:p>
    <w:p w14:paraId="3350CB9A">
      <w:pPr>
        <w:bidi w:val="0"/>
        <w:rPr>
          <w:rFonts w:hint="eastAsia"/>
          <w:b/>
          <w:bCs/>
          <w:highlight w:val="none"/>
        </w:rPr>
      </w:pPr>
      <w:r>
        <w:rPr>
          <w:rFonts w:hint="eastAsia"/>
          <w:b/>
          <w:bCs/>
          <w:highlight w:val="none"/>
        </w:rPr>
        <w:t>是日</w:t>
      </w:r>
    </w:p>
    <w:p w14:paraId="16BB2112">
      <w:pPr>
        <w:rPr>
          <w:rFonts w:hint="eastAsia" w:hAnsi="宋体" w:cs="宋体"/>
          <w:highlight w:val="none"/>
        </w:rPr>
      </w:pPr>
      <w:r>
        <w:rPr>
          <w:rFonts w:hint="eastAsia" w:hAnsi="宋体" w:cs="宋体"/>
          <w:highlight w:val="none"/>
        </w:rPr>
        <w:t>市委书记、市人大常委会主任曾风保率队先后到坪田镇、主田镇调研指导银杏景区开发建设、旅游大道建设等工作。黄德群、陈玉英等参加活动。</w:t>
      </w:r>
    </w:p>
    <w:p w14:paraId="0FD1EBC3">
      <w:pPr>
        <w:bidi w:val="0"/>
        <w:rPr>
          <w:rFonts w:hint="eastAsia"/>
          <w:b/>
          <w:bCs/>
          <w:highlight w:val="none"/>
        </w:rPr>
      </w:pPr>
      <w:r>
        <w:rPr>
          <w:rFonts w:hint="eastAsia"/>
          <w:b/>
          <w:bCs/>
          <w:highlight w:val="none"/>
        </w:rPr>
        <w:t>26—29日</w:t>
      </w:r>
    </w:p>
    <w:p w14:paraId="423EB80B">
      <w:pPr>
        <w:rPr>
          <w:rFonts w:hint="eastAsia" w:hAnsi="宋体" w:cs="宋体"/>
          <w:highlight w:val="none"/>
        </w:rPr>
      </w:pPr>
      <w:r>
        <w:rPr>
          <w:rFonts w:hint="eastAsia" w:hAnsi="宋体" w:cs="宋体"/>
          <w:highlight w:val="none"/>
        </w:rPr>
        <w:t>市委书记、市人大常委会主任曾风保带队参加韶关市考察团，到琼海市学习新型城镇建设经验，探讨农业和旅游业融合发展之路。</w:t>
      </w:r>
    </w:p>
    <w:p w14:paraId="0BDB768C">
      <w:pPr>
        <w:bidi w:val="0"/>
        <w:rPr>
          <w:rFonts w:hint="eastAsia"/>
          <w:b/>
          <w:bCs/>
          <w:highlight w:val="none"/>
        </w:rPr>
      </w:pPr>
      <w:r>
        <w:rPr>
          <w:rFonts w:hint="eastAsia"/>
          <w:b/>
          <w:bCs/>
          <w:highlight w:val="none"/>
        </w:rPr>
        <w:t>28日</w:t>
      </w:r>
    </w:p>
    <w:p w14:paraId="56748CFF">
      <w:pPr>
        <w:rPr>
          <w:rFonts w:hint="eastAsia" w:hAnsi="宋体" w:cs="宋体"/>
          <w:highlight w:val="none"/>
        </w:rPr>
      </w:pPr>
      <w:r>
        <w:rPr>
          <w:rFonts w:hint="eastAsia" w:hAnsi="宋体" w:cs="宋体"/>
          <w:highlight w:val="none"/>
        </w:rPr>
        <w:t>市十四届人大常委会召开第四十次会议，审议通过有关人事任免事项，审查和批准市政府关于2015年第二次预算调整，听取和审议市政府《关于贯彻执行〈中华人民共和国人民警察法〉情况的报告》。</w:t>
      </w:r>
    </w:p>
    <w:p w14:paraId="496E71D3">
      <w:pPr>
        <w:pStyle w:val="3"/>
        <w:bidi w:val="0"/>
        <w:rPr>
          <w:rFonts w:hint="eastAsia"/>
          <w:highlight w:val="none"/>
        </w:rPr>
      </w:pPr>
      <w:r>
        <w:rPr>
          <w:rFonts w:hint="eastAsia"/>
          <w:highlight w:val="none"/>
        </w:rPr>
        <w:t>十一月</w:t>
      </w:r>
    </w:p>
    <w:p w14:paraId="1B73F8E1">
      <w:pPr>
        <w:bidi w:val="0"/>
        <w:rPr>
          <w:rFonts w:hint="eastAsia"/>
          <w:b/>
          <w:bCs/>
          <w:highlight w:val="none"/>
        </w:rPr>
      </w:pPr>
      <w:r>
        <w:rPr>
          <w:rFonts w:hint="eastAsia"/>
          <w:b/>
          <w:bCs/>
          <w:highlight w:val="none"/>
        </w:rPr>
        <w:t>2日</w:t>
      </w:r>
    </w:p>
    <w:p w14:paraId="1F52758C">
      <w:pPr>
        <w:rPr>
          <w:rFonts w:hint="eastAsia" w:hAnsi="宋体" w:cs="宋体"/>
          <w:highlight w:val="none"/>
        </w:rPr>
      </w:pPr>
      <w:r>
        <w:rPr>
          <w:rFonts w:hint="eastAsia" w:hAnsi="宋体" w:cs="宋体"/>
          <w:highlight w:val="none"/>
        </w:rPr>
        <w:t>国家教育督导组对南雄创建“全国义务教育发展基本均衡县”进行督导检查。市长王碧安、副市长马细妹陪同检查。</w:t>
      </w:r>
    </w:p>
    <w:p w14:paraId="32A9A32F">
      <w:pPr>
        <w:bidi w:val="0"/>
        <w:rPr>
          <w:rFonts w:hint="eastAsia"/>
          <w:b/>
          <w:bCs/>
          <w:highlight w:val="none"/>
        </w:rPr>
      </w:pPr>
      <w:r>
        <w:rPr>
          <w:rFonts w:hint="eastAsia"/>
          <w:b/>
          <w:bCs/>
          <w:highlight w:val="none"/>
        </w:rPr>
        <w:t>3日</w:t>
      </w:r>
    </w:p>
    <w:p w14:paraId="401E1613">
      <w:pPr>
        <w:rPr>
          <w:rFonts w:hint="eastAsia" w:hAnsi="宋体" w:cs="宋体"/>
          <w:highlight w:val="none"/>
        </w:rPr>
      </w:pPr>
      <w:r>
        <w:rPr>
          <w:rFonts w:hint="eastAsia" w:hAnsi="宋体" w:cs="宋体"/>
          <w:highlight w:val="none"/>
        </w:rPr>
        <w:t>中国能源建设股份有限公司投资分公司在南雄投资开发风力发电项目——犁牛坪风电项目举行开工仪式。</w:t>
      </w:r>
    </w:p>
    <w:p w14:paraId="01C44B77">
      <w:pPr>
        <w:bidi w:val="0"/>
        <w:rPr>
          <w:rFonts w:hint="eastAsia"/>
          <w:b/>
          <w:bCs/>
          <w:highlight w:val="none"/>
        </w:rPr>
      </w:pPr>
      <w:r>
        <w:rPr>
          <w:rFonts w:hint="eastAsia"/>
          <w:b/>
          <w:bCs/>
          <w:highlight w:val="none"/>
        </w:rPr>
        <w:t>4日</w:t>
      </w:r>
    </w:p>
    <w:p w14:paraId="438A3CE2">
      <w:pPr>
        <w:rPr>
          <w:rFonts w:hint="eastAsia" w:hAnsi="宋体" w:cs="宋体"/>
          <w:highlight w:val="none"/>
        </w:rPr>
      </w:pPr>
      <w:r>
        <w:rPr>
          <w:rFonts w:hint="eastAsia" w:hAnsi="宋体" w:cs="宋体"/>
          <w:highlight w:val="none"/>
        </w:rPr>
        <w:t>韶关市委常委、组织部长华旭初率队到南雄调研经济社会发展情况。曾风保、黄德群、叶济熊等陪同调研。</w:t>
      </w:r>
    </w:p>
    <w:p w14:paraId="1960284C">
      <w:pPr>
        <w:bidi w:val="0"/>
        <w:rPr>
          <w:rFonts w:hint="eastAsia"/>
          <w:b/>
          <w:bCs/>
          <w:highlight w:val="none"/>
        </w:rPr>
      </w:pPr>
      <w:r>
        <w:rPr>
          <w:rFonts w:hint="eastAsia"/>
          <w:b/>
          <w:bCs/>
          <w:highlight w:val="none"/>
        </w:rPr>
        <w:t>5日</w:t>
      </w:r>
    </w:p>
    <w:p w14:paraId="30234E6F">
      <w:pPr>
        <w:rPr>
          <w:rFonts w:hint="eastAsia" w:hAnsi="宋体" w:cs="宋体"/>
          <w:highlight w:val="none"/>
        </w:rPr>
      </w:pPr>
      <w:r>
        <w:rPr>
          <w:rFonts w:hint="eastAsia" w:hAnsi="宋体" w:cs="宋体"/>
          <w:highlight w:val="none"/>
        </w:rPr>
        <w:t>召开“十三五”规划专项编制工作会议，听取电力、国土等6个单位“十三五”规划纲要编制情况汇报。</w:t>
      </w:r>
    </w:p>
    <w:p w14:paraId="016D6732">
      <w:pPr>
        <w:bidi w:val="0"/>
        <w:rPr>
          <w:rFonts w:hint="eastAsia"/>
          <w:b/>
          <w:bCs/>
          <w:highlight w:val="none"/>
        </w:rPr>
      </w:pPr>
      <w:r>
        <w:rPr>
          <w:rFonts w:hint="eastAsia"/>
          <w:b/>
          <w:bCs/>
          <w:highlight w:val="none"/>
        </w:rPr>
        <w:t>是日</w:t>
      </w:r>
    </w:p>
    <w:p w14:paraId="2F2C4ECC">
      <w:pPr>
        <w:rPr>
          <w:rFonts w:hint="eastAsia" w:hAnsi="宋体" w:cs="宋体"/>
          <w:highlight w:val="none"/>
        </w:rPr>
      </w:pPr>
      <w:r>
        <w:rPr>
          <w:rFonts w:hint="eastAsia" w:hAnsi="宋体" w:cs="宋体"/>
          <w:highlight w:val="none"/>
        </w:rPr>
        <w:t>市委中心组围绕“如何树立正确的权力观”主题，举行“三严三实”专题教育第三次学习研讨。曾风保、王碧安等参加学习。</w:t>
      </w:r>
    </w:p>
    <w:p w14:paraId="31B750F5">
      <w:pPr>
        <w:bidi w:val="0"/>
        <w:rPr>
          <w:rFonts w:hint="eastAsia"/>
          <w:b/>
          <w:bCs/>
          <w:highlight w:val="none"/>
        </w:rPr>
      </w:pPr>
      <w:r>
        <w:rPr>
          <w:rFonts w:hint="eastAsia"/>
          <w:b/>
          <w:bCs/>
          <w:highlight w:val="none"/>
        </w:rPr>
        <w:t>12日</w:t>
      </w:r>
    </w:p>
    <w:p w14:paraId="7A631027">
      <w:pPr>
        <w:rPr>
          <w:rFonts w:hint="eastAsia" w:hAnsi="宋体" w:cs="宋体"/>
          <w:highlight w:val="none"/>
        </w:rPr>
      </w:pPr>
      <w:r>
        <w:rPr>
          <w:rFonts w:hint="eastAsia" w:hAnsi="宋体" w:cs="宋体"/>
          <w:highlight w:val="none"/>
        </w:rPr>
        <w:t>召开第四季度防范重特大生产安全事故暨冬春火灾防控工作会议。市委常委、常务副市长何人平参加会议。</w:t>
      </w:r>
    </w:p>
    <w:p w14:paraId="61DBE640">
      <w:pPr>
        <w:bidi w:val="0"/>
        <w:rPr>
          <w:rFonts w:hint="eastAsia"/>
          <w:b/>
          <w:bCs/>
          <w:highlight w:val="none"/>
        </w:rPr>
      </w:pPr>
      <w:r>
        <w:rPr>
          <w:rFonts w:hint="eastAsia"/>
          <w:b/>
          <w:bCs/>
          <w:highlight w:val="none"/>
        </w:rPr>
        <w:t>15日</w:t>
      </w:r>
    </w:p>
    <w:p w14:paraId="69913ADE">
      <w:pPr>
        <w:rPr>
          <w:rFonts w:hint="eastAsia" w:hAnsi="宋体" w:cs="宋体"/>
          <w:highlight w:val="none"/>
        </w:rPr>
      </w:pPr>
      <w:r>
        <w:rPr>
          <w:rFonts w:hint="eastAsia" w:hAnsi="宋体" w:cs="宋体"/>
          <w:highlight w:val="none"/>
        </w:rPr>
        <w:t>市委书记、市人大常委会主任曾风保率队到坪田银杏景区检查旅游设施建设情况和服务工作。谢志铎、黄德群、李海霞、陈玉英等参加检查。</w:t>
      </w:r>
    </w:p>
    <w:p w14:paraId="2C222BD3">
      <w:pPr>
        <w:bidi w:val="0"/>
        <w:rPr>
          <w:rFonts w:hint="eastAsia"/>
          <w:b/>
          <w:bCs/>
          <w:highlight w:val="none"/>
        </w:rPr>
      </w:pPr>
      <w:r>
        <w:rPr>
          <w:rFonts w:hint="eastAsia"/>
          <w:b/>
          <w:bCs/>
          <w:highlight w:val="none"/>
        </w:rPr>
        <w:t>17日</w:t>
      </w:r>
    </w:p>
    <w:p w14:paraId="3738E055">
      <w:pPr>
        <w:rPr>
          <w:rFonts w:hint="eastAsia" w:hAnsi="宋体" w:cs="宋体"/>
          <w:highlight w:val="none"/>
        </w:rPr>
      </w:pPr>
      <w:r>
        <w:rPr>
          <w:rFonts w:hint="eastAsia" w:hAnsi="宋体" w:cs="宋体"/>
          <w:highlight w:val="none"/>
        </w:rPr>
        <w:t>韶关市副市长许志新率韶关市政府督导组到南雄进行2015年度经济发展目标落实情况调研督导。王碧安、丘德周、何人平、李海霞等参加调研。</w:t>
      </w:r>
    </w:p>
    <w:p w14:paraId="27F35F8E">
      <w:pPr>
        <w:bidi w:val="0"/>
        <w:rPr>
          <w:rFonts w:hint="eastAsia"/>
          <w:b/>
          <w:bCs/>
          <w:highlight w:val="none"/>
        </w:rPr>
      </w:pPr>
      <w:r>
        <w:rPr>
          <w:rFonts w:hint="eastAsia"/>
          <w:b/>
          <w:bCs/>
          <w:highlight w:val="none"/>
        </w:rPr>
        <w:t>18日</w:t>
      </w:r>
    </w:p>
    <w:p w14:paraId="46EE820A">
      <w:pPr>
        <w:rPr>
          <w:rFonts w:hint="eastAsia" w:hAnsi="宋体" w:cs="宋体"/>
          <w:highlight w:val="none"/>
        </w:rPr>
      </w:pPr>
      <w:r>
        <w:rPr>
          <w:rFonts w:hint="eastAsia" w:hAnsi="宋体" w:cs="宋体"/>
          <w:highlight w:val="none"/>
        </w:rPr>
        <w:t>市委书记、市人大常委会主任曾风保率队调研华电、图书馆两大重点项目进展情况。黄德群、何人平、马细妹等陪同调研。</w:t>
      </w:r>
    </w:p>
    <w:p w14:paraId="64BD82FE">
      <w:pPr>
        <w:bidi w:val="0"/>
        <w:rPr>
          <w:rFonts w:hint="eastAsia"/>
          <w:b/>
          <w:bCs/>
          <w:highlight w:val="none"/>
        </w:rPr>
      </w:pPr>
      <w:r>
        <w:rPr>
          <w:rFonts w:hint="eastAsia"/>
          <w:b/>
          <w:bCs/>
          <w:highlight w:val="none"/>
        </w:rPr>
        <w:t>19日</w:t>
      </w:r>
    </w:p>
    <w:p w14:paraId="111487D9">
      <w:pPr>
        <w:rPr>
          <w:rFonts w:hint="eastAsia" w:hAnsi="宋体" w:cs="宋体"/>
          <w:highlight w:val="none"/>
        </w:rPr>
      </w:pPr>
      <w:r>
        <w:rPr>
          <w:rFonts w:hint="eastAsia" w:hAnsi="宋体" w:cs="宋体"/>
          <w:highlight w:val="none"/>
        </w:rPr>
        <w:t>市委书记、市人大常委会主任曾风保到乌迳镇、黄坑镇调研新农村建设和居家养老工作。市委常委、市委办主任黄德群陪同。</w:t>
      </w:r>
    </w:p>
    <w:p w14:paraId="1C9F011F">
      <w:pPr>
        <w:bidi w:val="0"/>
        <w:rPr>
          <w:rFonts w:hint="eastAsia"/>
          <w:b/>
          <w:bCs/>
          <w:highlight w:val="none"/>
        </w:rPr>
      </w:pPr>
      <w:r>
        <w:rPr>
          <w:rFonts w:hint="eastAsia"/>
          <w:b/>
          <w:bCs/>
          <w:highlight w:val="none"/>
        </w:rPr>
        <w:t>23日</w:t>
      </w:r>
    </w:p>
    <w:p w14:paraId="6BE7A956">
      <w:pPr>
        <w:rPr>
          <w:rFonts w:hint="eastAsia" w:hAnsi="宋体" w:cs="宋体"/>
          <w:highlight w:val="none"/>
        </w:rPr>
      </w:pPr>
      <w:r>
        <w:rPr>
          <w:rFonts w:hint="eastAsia" w:hAnsi="宋体" w:cs="宋体"/>
          <w:highlight w:val="none"/>
        </w:rPr>
        <w:t>世界著名恐龙足迹学家马丁·洛克利和中国古生物专家邢立达继续在油山杨梅坑的鸭嘴龙足迹保护区进行科考。经过仔细发掘，埋藏在红砂石下恐龙足迹已完全显露出来，能清晰地看到远古时期恐龙留下印记。据专家判断，这些恐龙足迹属于大型鸟脚类恐龙，是这次在南雄科考发现的目前中国最年轻的恐龙足迹。</w:t>
      </w:r>
    </w:p>
    <w:p w14:paraId="1E3C481E">
      <w:pPr>
        <w:bidi w:val="0"/>
        <w:rPr>
          <w:rFonts w:hint="eastAsia"/>
          <w:b/>
          <w:bCs/>
          <w:highlight w:val="none"/>
        </w:rPr>
      </w:pPr>
      <w:r>
        <w:rPr>
          <w:rFonts w:hint="eastAsia"/>
          <w:b/>
          <w:bCs/>
          <w:highlight w:val="none"/>
        </w:rPr>
        <w:t>26日</w:t>
      </w:r>
    </w:p>
    <w:p w14:paraId="08A05528">
      <w:pPr>
        <w:rPr>
          <w:rFonts w:hint="eastAsia" w:hAnsi="宋体" w:cs="宋体"/>
          <w:highlight w:val="none"/>
        </w:rPr>
      </w:pPr>
      <w:r>
        <w:rPr>
          <w:rFonts w:hint="eastAsia" w:hAnsi="宋体" w:cs="宋体"/>
          <w:highlight w:val="none"/>
        </w:rPr>
        <w:t>首例行政机关负责人出庭应诉行政案件，原告雄州街道水南村委会第五村小组，不服被告雄州街道办事处作出关于肖雪美等11人农村集体经济组织成员资格认定。作为复议行政机关南雄市人民政府，市委常委、常务副市长何人平到庭应诉。</w:t>
      </w:r>
    </w:p>
    <w:p w14:paraId="45E58FE8">
      <w:pPr>
        <w:bidi w:val="0"/>
        <w:rPr>
          <w:rFonts w:hint="eastAsia"/>
          <w:b/>
          <w:bCs/>
          <w:highlight w:val="none"/>
        </w:rPr>
      </w:pPr>
      <w:r>
        <w:rPr>
          <w:rFonts w:hint="eastAsia"/>
          <w:b/>
          <w:bCs/>
          <w:highlight w:val="none"/>
        </w:rPr>
        <w:t>27日</w:t>
      </w:r>
    </w:p>
    <w:p w14:paraId="12C7F3AC">
      <w:pPr>
        <w:rPr>
          <w:rFonts w:hint="eastAsia" w:hAnsi="宋体" w:cs="宋体"/>
          <w:highlight w:val="none"/>
        </w:rPr>
      </w:pPr>
      <w:r>
        <w:rPr>
          <w:rFonts w:hint="eastAsia" w:hAnsi="宋体" w:cs="宋体"/>
          <w:highlight w:val="none"/>
        </w:rPr>
        <w:t>仁化县委书记刘锋率团到南雄考察坪田银杏景区旅游开发运营方式。曾风保、黄德群、卜小燕等陪同考察。</w:t>
      </w:r>
    </w:p>
    <w:p w14:paraId="69330C0A">
      <w:pPr>
        <w:bidi w:val="0"/>
        <w:rPr>
          <w:rFonts w:hint="eastAsia"/>
          <w:b/>
          <w:bCs/>
          <w:highlight w:val="none"/>
        </w:rPr>
      </w:pPr>
      <w:r>
        <w:rPr>
          <w:rFonts w:hint="eastAsia"/>
          <w:b/>
          <w:bCs/>
          <w:highlight w:val="none"/>
        </w:rPr>
        <w:t>是日</w:t>
      </w:r>
    </w:p>
    <w:p w14:paraId="4E738ED4">
      <w:pPr>
        <w:rPr>
          <w:rFonts w:hint="eastAsia" w:hAnsi="宋体" w:cs="宋体"/>
          <w:highlight w:val="none"/>
        </w:rPr>
      </w:pPr>
      <w:r>
        <w:rPr>
          <w:rFonts w:hint="eastAsia" w:hAnsi="宋体" w:cs="宋体"/>
          <w:highlight w:val="none"/>
        </w:rPr>
        <w:t>市人大常委会组织省、韶关、南雄三级人大代表视察2015年市政府“九件实事”落实进展情况。</w:t>
      </w:r>
    </w:p>
    <w:p w14:paraId="4C75EBDC">
      <w:pPr>
        <w:pStyle w:val="3"/>
        <w:bidi w:val="0"/>
        <w:rPr>
          <w:rFonts w:hint="eastAsia"/>
          <w:highlight w:val="none"/>
        </w:rPr>
      </w:pPr>
      <w:r>
        <w:rPr>
          <w:rFonts w:hint="eastAsia"/>
          <w:highlight w:val="none"/>
        </w:rPr>
        <w:t>十二月</w:t>
      </w:r>
    </w:p>
    <w:p w14:paraId="0F097261">
      <w:pPr>
        <w:bidi w:val="0"/>
        <w:rPr>
          <w:rFonts w:hint="eastAsia"/>
          <w:b/>
          <w:bCs/>
          <w:highlight w:val="none"/>
        </w:rPr>
      </w:pPr>
      <w:r>
        <w:rPr>
          <w:rFonts w:hint="eastAsia"/>
          <w:b/>
          <w:bCs/>
          <w:highlight w:val="none"/>
        </w:rPr>
        <w:t>1日</w:t>
      </w:r>
    </w:p>
    <w:p w14:paraId="07DEE013">
      <w:pPr>
        <w:rPr>
          <w:rFonts w:hint="eastAsia" w:hAnsi="宋体" w:cs="宋体"/>
          <w:highlight w:val="none"/>
        </w:rPr>
      </w:pPr>
      <w:r>
        <w:rPr>
          <w:rFonts w:hint="eastAsia" w:hAnsi="宋体" w:cs="宋体"/>
          <w:highlight w:val="none"/>
        </w:rPr>
        <w:t>韶关市人大常委会代理主任李石保到南雄慰问省级人大代表。市委书记、市人大常委会主任曾风保陪同慰问。</w:t>
      </w:r>
    </w:p>
    <w:p w14:paraId="14BE50B3">
      <w:pPr>
        <w:bidi w:val="0"/>
        <w:rPr>
          <w:rFonts w:hint="eastAsia"/>
          <w:b/>
          <w:bCs/>
          <w:highlight w:val="none"/>
        </w:rPr>
      </w:pPr>
      <w:r>
        <w:rPr>
          <w:rFonts w:hint="eastAsia"/>
          <w:b/>
          <w:bCs/>
          <w:highlight w:val="none"/>
        </w:rPr>
        <w:t>5日</w:t>
      </w:r>
    </w:p>
    <w:p w14:paraId="182645BC">
      <w:pPr>
        <w:rPr>
          <w:rFonts w:hint="eastAsia" w:hAnsi="宋体" w:cs="宋体"/>
          <w:highlight w:val="none"/>
        </w:rPr>
      </w:pPr>
      <w:r>
        <w:rPr>
          <w:rFonts w:hint="eastAsia" w:hAnsi="宋体" w:cs="宋体"/>
          <w:highlight w:val="none"/>
        </w:rPr>
        <w:t>举行祭拜炎帝、黄帝和广府人先祖盛大典礼。来自世界50多个国家和地区的1000多名广府人嘉宾相聚在珠玑古巷，隆重祭拜炎黄二帝和广府人先祖。</w:t>
      </w:r>
    </w:p>
    <w:p w14:paraId="203BF77E">
      <w:pPr>
        <w:bidi w:val="0"/>
        <w:rPr>
          <w:rFonts w:hint="eastAsia"/>
          <w:b/>
          <w:bCs/>
          <w:highlight w:val="none"/>
        </w:rPr>
      </w:pPr>
      <w:r>
        <w:rPr>
          <w:rFonts w:hint="eastAsia"/>
          <w:b/>
          <w:bCs/>
          <w:highlight w:val="none"/>
        </w:rPr>
        <w:t>8日</w:t>
      </w:r>
    </w:p>
    <w:p w14:paraId="067E4A68">
      <w:pPr>
        <w:rPr>
          <w:rFonts w:hint="eastAsia" w:hAnsi="宋体" w:cs="宋体"/>
          <w:highlight w:val="none"/>
        </w:rPr>
      </w:pPr>
      <w:r>
        <w:rPr>
          <w:rFonts w:hint="eastAsia" w:hAnsi="宋体" w:cs="宋体"/>
          <w:highlight w:val="none"/>
        </w:rPr>
        <w:t>举行华电南雄热电联产工程奠基暨市重点项目签约动工投产仪式。华电南雄项目是中国华电集团和各级各部门历经8年不懈努力收获的重大成果，华电南雄热电联产工程等29个重点项目奠基及签约动工投产，将进一步助推南雄产业大发展。</w:t>
      </w:r>
    </w:p>
    <w:p w14:paraId="4EC5F3FE">
      <w:pPr>
        <w:bidi w:val="0"/>
        <w:rPr>
          <w:rFonts w:hint="eastAsia"/>
          <w:b/>
          <w:bCs/>
          <w:highlight w:val="none"/>
        </w:rPr>
      </w:pPr>
      <w:r>
        <w:rPr>
          <w:rFonts w:hint="eastAsia"/>
          <w:b/>
          <w:bCs/>
          <w:highlight w:val="none"/>
        </w:rPr>
        <w:t>10日</w:t>
      </w:r>
    </w:p>
    <w:p w14:paraId="073B8576">
      <w:pPr>
        <w:rPr>
          <w:rFonts w:hint="eastAsia" w:hAnsi="宋体" w:cs="宋体"/>
          <w:highlight w:val="none"/>
        </w:rPr>
      </w:pPr>
      <w:r>
        <w:rPr>
          <w:rFonts w:hint="eastAsia" w:hAnsi="宋体" w:cs="宋体"/>
          <w:highlight w:val="none"/>
        </w:rPr>
        <w:t>广东省食品药品监督管理局局长段宇飞调研南雄食品药品安全网格化监管工作。市委书记、市人大常委会主任曾风保陪同调研。</w:t>
      </w:r>
    </w:p>
    <w:p w14:paraId="13E124E4">
      <w:pPr>
        <w:bidi w:val="0"/>
        <w:rPr>
          <w:rFonts w:hint="eastAsia"/>
          <w:b/>
          <w:bCs/>
          <w:highlight w:val="none"/>
        </w:rPr>
      </w:pPr>
      <w:r>
        <w:rPr>
          <w:rFonts w:hint="eastAsia"/>
          <w:b/>
          <w:bCs/>
          <w:highlight w:val="none"/>
        </w:rPr>
        <w:t>15日</w:t>
      </w:r>
    </w:p>
    <w:p w14:paraId="5377288F">
      <w:pPr>
        <w:rPr>
          <w:rFonts w:hint="eastAsia" w:hAnsi="宋体" w:cs="宋体"/>
          <w:highlight w:val="none"/>
        </w:rPr>
      </w:pPr>
      <w:r>
        <w:rPr>
          <w:rFonts w:hint="eastAsia" w:hAnsi="宋体" w:cs="宋体"/>
          <w:highlight w:val="none"/>
        </w:rPr>
        <w:t>广东省文化厅厅长方健宏到南雄调研文化工作。韶关市副市长王伟阳，南雄市领导曾风保、王碧安、李海霞、马细妹等陪同调研。</w:t>
      </w:r>
    </w:p>
    <w:p w14:paraId="2A389B9F">
      <w:pPr>
        <w:bidi w:val="0"/>
        <w:rPr>
          <w:rFonts w:hint="eastAsia"/>
          <w:b/>
          <w:bCs/>
          <w:highlight w:val="none"/>
        </w:rPr>
      </w:pPr>
      <w:r>
        <w:rPr>
          <w:rFonts w:hint="eastAsia"/>
          <w:b/>
          <w:bCs/>
          <w:highlight w:val="none"/>
        </w:rPr>
        <w:t>17日</w:t>
      </w:r>
    </w:p>
    <w:p w14:paraId="4C2B6E07">
      <w:pPr>
        <w:rPr>
          <w:rFonts w:hint="eastAsia" w:hAnsi="宋体" w:cs="宋体"/>
          <w:highlight w:val="none"/>
        </w:rPr>
      </w:pPr>
      <w:r>
        <w:rPr>
          <w:rFonts w:hint="eastAsia" w:hAnsi="宋体" w:cs="宋体"/>
          <w:highlight w:val="none"/>
        </w:rPr>
        <w:t>在第三批省级新农村连片示范工程遴选中，南雄脱颖而出，荣获第一名，成功竞得2016年省级新农村示范片建设项目。将获得省级财政给予1亿元资金补助，用于村居建设、环保设施、公益设施和文化设施建设。</w:t>
      </w:r>
    </w:p>
    <w:p w14:paraId="36BCD7AF">
      <w:pPr>
        <w:bidi w:val="0"/>
        <w:rPr>
          <w:rFonts w:hint="eastAsia"/>
          <w:b/>
          <w:bCs/>
          <w:highlight w:val="none"/>
        </w:rPr>
      </w:pPr>
      <w:r>
        <w:rPr>
          <w:rFonts w:hint="eastAsia"/>
          <w:b/>
          <w:bCs/>
          <w:highlight w:val="none"/>
        </w:rPr>
        <w:t>23日</w:t>
      </w:r>
    </w:p>
    <w:p w14:paraId="5E5783B6">
      <w:pPr>
        <w:rPr>
          <w:rFonts w:hint="eastAsia" w:hAnsi="宋体" w:cs="宋体"/>
          <w:highlight w:val="none"/>
        </w:rPr>
      </w:pPr>
      <w:r>
        <w:rPr>
          <w:rFonts w:hint="eastAsia" w:hAnsi="宋体" w:cs="宋体"/>
          <w:highlight w:val="none"/>
        </w:rPr>
        <w:t>韶关市委副书记、代市长骆蔚峰调研南雄扶贫开发工作。王碧安、罗战勇等陪同。</w:t>
      </w:r>
    </w:p>
    <w:p w14:paraId="2536E1C4">
      <w:pPr>
        <w:bidi w:val="0"/>
        <w:rPr>
          <w:rFonts w:hint="eastAsia"/>
          <w:b/>
          <w:bCs/>
          <w:highlight w:val="none"/>
        </w:rPr>
      </w:pPr>
      <w:r>
        <w:rPr>
          <w:rFonts w:hint="eastAsia"/>
          <w:b/>
          <w:bCs/>
          <w:highlight w:val="none"/>
        </w:rPr>
        <w:t>25日</w:t>
      </w:r>
    </w:p>
    <w:p w14:paraId="5815EE39">
      <w:pPr>
        <w:rPr>
          <w:rFonts w:hint="eastAsia" w:hAnsi="宋体" w:cs="宋体"/>
          <w:highlight w:val="none"/>
        </w:rPr>
      </w:pPr>
      <w:r>
        <w:rPr>
          <w:rFonts w:hint="eastAsia" w:hAnsi="宋体" w:cs="宋体"/>
          <w:highlight w:val="none"/>
        </w:rPr>
        <w:t>召开农村土地承包经营权确权登记颁证工作动员大会。据统计，全市耕地面积为65</w:t>
      </w:r>
      <w:r>
        <w:rPr>
          <w:rFonts w:hint="eastAsia" w:ascii="MingLiU_HKSCS" w:hAnsi="MingLiU_HKSCS" w:eastAsia="MingLiU_HKSCS" w:cs="MingLiU_HKSCS"/>
          <w:highlight w:val="none"/>
        </w:rPr>
        <w:t>.</w:t>
      </w:r>
      <w:r>
        <w:rPr>
          <w:rFonts w:hint="eastAsia" w:hAnsi="宋体" w:cs="宋体"/>
          <w:highlight w:val="none"/>
        </w:rPr>
        <w:t>2万亩，涉及农户近9万户，涉及地块数99万块。王碧安、罗战勇等参加会议。</w:t>
      </w:r>
    </w:p>
    <w:p w14:paraId="02D3DBB6">
      <w:pPr>
        <w:bidi w:val="0"/>
        <w:rPr>
          <w:rFonts w:hint="eastAsia"/>
          <w:b/>
          <w:bCs/>
          <w:highlight w:val="none"/>
        </w:rPr>
      </w:pPr>
      <w:r>
        <w:rPr>
          <w:rFonts w:hint="eastAsia"/>
          <w:b/>
          <w:bCs/>
          <w:highlight w:val="none"/>
        </w:rPr>
        <w:t>28日</w:t>
      </w:r>
    </w:p>
    <w:p w14:paraId="5B9E8EDC">
      <w:pPr>
        <w:rPr>
          <w:rFonts w:hint="eastAsia" w:hAnsi="宋体" w:cs="宋体"/>
          <w:highlight w:val="none"/>
        </w:rPr>
      </w:pPr>
      <w:r>
        <w:rPr>
          <w:rFonts w:hint="eastAsia" w:hAnsi="宋体" w:cs="宋体"/>
          <w:highlight w:val="none"/>
        </w:rPr>
        <w:t>市十四届人大常委会召开第四十二次会议，会议听取市人民政府关于办理等相关议案的落实情况报告。审议、通过市政府以及司法局、环保局、供电局3个评议对象单位等6个报告，经民主测评，3个评议单位的整改情况被评定为“满意”等次。</w:t>
      </w:r>
    </w:p>
    <w:p w14:paraId="54A29A7D">
      <w:pPr>
        <w:bidi w:val="0"/>
        <w:rPr>
          <w:rFonts w:hint="eastAsia"/>
          <w:b/>
          <w:bCs/>
          <w:highlight w:val="none"/>
        </w:rPr>
      </w:pPr>
      <w:r>
        <w:rPr>
          <w:rFonts w:hint="eastAsia"/>
          <w:b/>
          <w:bCs/>
          <w:highlight w:val="none"/>
        </w:rPr>
        <w:t>29日</w:t>
      </w:r>
    </w:p>
    <w:p w14:paraId="214D61C7">
      <w:pPr>
        <w:rPr>
          <w:rFonts w:hint="eastAsia" w:hAnsi="宋体" w:cs="宋体"/>
          <w:highlight w:val="none"/>
        </w:rPr>
      </w:pPr>
      <w:r>
        <w:rPr>
          <w:rFonts w:hint="eastAsia" w:hAnsi="宋体" w:cs="宋体"/>
          <w:highlight w:val="none"/>
        </w:rPr>
        <w:t>举行不动产登记中心揭牌暨韶关市首批不动产权证书颁发仪式。王碧安、何人平等参加仪式。</w:t>
      </w:r>
    </w:p>
    <w:p w14:paraId="70CD92B6">
      <w:pPr>
        <w:bidi w:val="0"/>
        <w:rPr>
          <w:rFonts w:hint="eastAsia"/>
          <w:b/>
          <w:bCs/>
          <w:highlight w:val="none"/>
        </w:rPr>
      </w:pPr>
      <w:r>
        <w:rPr>
          <w:rFonts w:hint="eastAsia"/>
          <w:b/>
          <w:bCs/>
          <w:highlight w:val="none"/>
        </w:rPr>
        <w:t>30日</w:t>
      </w:r>
    </w:p>
    <w:p w14:paraId="77218AF1">
      <w:pPr>
        <w:rPr>
          <w:rFonts w:hint="eastAsia" w:hAnsi="宋体" w:cs="宋体"/>
          <w:highlight w:val="none"/>
        </w:rPr>
      </w:pPr>
      <w:r>
        <w:rPr>
          <w:rFonts w:hint="eastAsia" w:hAnsi="宋体" w:cs="宋体"/>
          <w:highlight w:val="none"/>
        </w:rPr>
        <w:t>召开党政领导班子“三严三实”专题民主生活会。韶关市市委常委、市委秘书长孔云龙到会指导，曾风保、王碧安等市党政班子领导分别作了个人对照检查发言。</w:t>
      </w:r>
    </w:p>
    <w:p w14:paraId="7AABA462">
      <w:pPr>
        <w:jc w:val="right"/>
        <w:rPr>
          <w:rFonts w:hint="eastAsia" w:hAnsi="宋体" w:cs="宋体"/>
          <w:highlight w:val="none"/>
        </w:rPr>
      </w:pPr>
      <w:r>
        <w:rPr>
          <w:rFonts w:hint="eastAsia" w:hAnsi="宋体" w:cs="宋体"/>
          <w:highlight w:val="none"/>
        </w:rPr>
        <w:t>（谢平）</w:t>
      </w:r>
    </w:p>
    <w:p w14:paraId="06AFC852">
      <w:pPr>
        <w:pStyle w:val="2"/>
        <w:rPr>
          <w:rFonts w:hint="eastAsia"/>
          <w:highlight w:val="none"/>
        </w:rPr>
      </w:pPr>
      <w:r>
        <w:rPr>
          <w:rFonts w:hint="eastAsia"/>
          <w:highlight w:val="none"/>
        </w:rPr>
        <w:t>全市概况</w:t>
      </w:r>
    </w:p>
    <w:p w14:paraId="3777FA3C">
      <w:pPr>
        <w:pStyle w:val="3"/>
        <w:bidi w:val="0"/>
        <w:rPr>
          <w:rFonts w:hint="eastAsia"/>
          <w:highlight w:val="none"/>
        </w:rPr>
      </w:pPr>
      <w:r>
        <w:rPr>
          <w:rFonts w:hint="eastAsia"/>
          <w:highlight w:val="none"/>
        </w:rPr>
        <w:t>历史·地理·人文</w:t>
      </w:r>
    </w:p>
    <w:p w14:paraId="7CB70778">
      <w:pPr>
        <w:pStyle w:val="4"/>
        <w:bidi w:val="0"/>
        <w:rPr>
          <w:rFonts w:hint="eastAsia"/>
          <w:highlight w:val="none"/>
        </w:rPr>
      </w:pPr>
      <w:r>
        <w:rPr>
          <w:rFonts w:hint="eastAsia"/>
          <w:highlight w:val="none"/>
        </w:rPr>
        <w:t>【位置】</w:t>
      </w:r>
    </w:p>
    <w:p w14:paraId="6773D7F1">
      <w:pPr>
        <w:rPr>
          <w:rFonts w:hint="eastAsia" w:hAnsi="宋体" w:cs="宋体"/>
          <w:highlight w:val="none"/>
        </w:rPr>
      </w:pPr>
      <w:r>
        <w:rPr>
          <w:rFonts w:hint="eastAsia" w:hAnsi="宋体" w:cs="宋体"/>
          <w:highlight w:val="none"/>
        </w:rPr>
        <w:t>南雄市位于大庾岭南麓，东经113°55′30″—114°44′38″，北纬24°56′59″—25°25′20″，东连江西省信丰县，东南界江西省全南县，西南比邻始兴县，西北与仁化县接壤，北界江西省大余县。四周群山环抱，中为丘陵。东西极限84公里，南北极限52公里。全市面积2316</w:t>
      </w:r>
      <w:r>
        <w:rPr>
          <w:rFonts w:hint="eastAsia" w:ascii="MingLiU_HKSCS" w:hAnsi="MingLiU_HKSCS" w:eastAsia="MingLiU_HKSCS" w:cs="MingLiU_HKSCS"/>
          <w:highlight w:val="none"/>
        </w:rPr>
        <w:t>.</w:t>
      </w:r>
      <w:r>
        <w:rPr>
          <w:rFonts w:hint="eastAsia" w:hAnsi="宋体" w:cs="宋体"/>
          <w:highlight w:val="none"/>
        </w:rPr>
        <w:t>4平方公里。</w:t>
      </w:r>
    </w:p>
    <w:p w14:paraId="6A95343A">
      <w:pPr>
        <w:pStyle w:val="4"/>
        <w:bidi w:val="0"/>
        <w:rPr>
          <w:rFonts w:hint="eastAsia"/>
          <w:highlight w:val="none"/>
        </w:rPr>
      </w:pPr>
      <w:r>
        <w:rPr>
          <w:rFonts w:hint="eastAsia"/>
          <w:highlight w:val="none"/>
        </w:rPr>
        <w:t>【建置沿革】</w:t>
      </w:r>
    </w:p>
    <w:p w14:paraId="2AA7F599">
      <w:pPr>
        <w:rPr>
          <w:rFonts w:hint="eastAsia" w:hAnsi="宋体" w:cs="宋体"/>
          <w:highlight w:val="none"/>
        </w:rPr>
      </w:pPr>
      <w:r>
        <w:rPr>
          <w:rFonts w:hint="eastAsia" w:hAnsi="宋体" w:cs="宋体"/>
          <w:highlight w:val="none"/>
        </w:rPr>
        <w:t>南雄地域，春秋为百越地，战国属楚，秦属南海郡，两汉为南野县，属豫章郡。东汉顺帝建康时属桂阳郡之曲江县。三国孙吴时南野县属庐陵郡，吴景帝永安六年（263年）分南野置始兴县，南雄地属之。吴末帝甘露元年（265年）分始兴置斜阶县，南雄地属之，隶于始兴郡。晋废斜阶复南野，改属庐陵郡。南朝宋因之，齐复置令阶县，梁复置安远县，均辖南雄地。陈改安远县为安远郡，隶属东衡州，即韶州。隋废诸郡，改安远为大庾县，隶于广州总管府。旋废大庾入始兴。大业三年（607年）属南海郡，唐武德四年（621年）属番州，不久更名为东衡州。贞观元年（627年）改为韶州。光宅元年（684年）划始兴县的化南、横山两乡置浈昌县，因境内浈、昌二水而取名。县治设在今雄州。</w:t>
      </w:r>
    </w:p>
    <w:p w14:paraId="39EFA840">
      <w:pPr>
        <w:rPr>
          <w:rFonts w:hint="eastAsia" w:hAnsi="宋体" w:cs="宋体"/>
          <w:highlight w:val="none"/>
        </w:rPr>
      </w:pPr>
      <w:r>
        <w:rPr>
          <w:rFonts w:hint="eastAsia" w:hAnsi="宋体" w:cs="宋体"/>
          <w:highlight w:val="none"/>
        </w:rPr>
        <w:t>南汉乾亨四年（920年）在浈昌县置雄州，辖浈昌、始兴两县。宋开宝四年（971年）改雄州为南雄州，与河北雄州别，属广南东路。天圣元年（1023年）因避仁宗赵祯讳，改浈昌为保昌。宣和二年（1120年）赐保昌为郡。元至元十五年（1278年）改南雄州为南雄路，领保昌、始兴两县。明洪武元年（1368年）改路为府，辖保昌、始兴两县，属广东道。洪武二年改行中书省，九年改行省为承宣布政使司，南雄府属相随。清嘉庆十二年（1807年）改府为直隶南雄州，直隶广东布政使司，裁去保昌县，领始兴一县。嘉庆十六年复升为府，次年又降为直隶州，直至清末。</w:t>
      </w:r>
    </w:p>
    <w:p w14:paraId="5D68AE25">
      <w:pPr>
        <w:rPr>
          <w:rFonts w:hint="eastAsia" w:hAnsi="宋体" w:cs="宋体"/>
          <w:highlight w:val="none"/>
        </w:rPr>
      </w:pPr>
      <w:r>
        <w:rPr>
          <w:rFonts w:hint="eastAsia" w:hAnsi="宋体" w:cs="宋体"/>
          <w:highlight w:val="none"/>
        </w:rPr>
        <w:t>民国开始，改南雄州为南雄县，隶属广东省。中华人民共和国建立后，沿袭不变。1958年12月，南雄县与始兴县合并称南雄县，1960年10月复分为南雄县、始兴县，隶属广东省韶关专员公署。1982年6月实行市管县体制后，隶属韶关市。1996年6月，撤县设市（县级），由韶关市代管。</w:t>
      </w:r>
    </w:p>
    <w:p w14:paraId="5330B534">
      <w:pPr>
        <w:pStyle w:val="4"/>
        <w:bidi w:val="0"/>
        <w:rPr>
          <w:rFonts w:hint="eastAsia"/>
          <w:highlight w:val="none"/>
        </w:rPr>
      </w:pPr>
      <w:r>
        <w:rPr>
          <w:rFonts w:hint="eastAsia"/>
          <w:highlight w:val="none"/>
        </w:rPr>
        <w:t>【地形地貌】</w:t>
      </w:r>
    </w:p>
    <w:p w14:paraId="49D95626">
      <w:pPr>
        <w:rPr>
          <w:rFonts w:hint="eastAsia" w:hAnsi="宋体" w:cs="宋体"/>
          <w:highlight w:val="none"/>
        </w:rPr>
      </w:pPr>
      <w:r>
        <w:rPr>
          <w:rFonts w:hint="eastAsia" w:hAnsi="宋体" w:cs="宋体"/>
          <w:highlight w:val="none"/>
        </w:rPr>
        <w:t>市境地质属燕山期花岗岩体及寒武纪震旦纪变质岩体。中部盆地在2亿年前是个大淡水湖，7000万年前干涸成陆地，属中生代白垩纪紫色砂页岩体。在紫色砂页岩上面间或分布有新生代第四纪卵石层和网纹状红土，在盆地周围与低山丘陵之间或分布有老第三纪红色岩系。</w:t>
      </w:r>
    </w:p>
    <w:p w14:paraId="6C95748B">
      <w:pPr>
        <w:rPr>
          <w:rFonts w:hint="eastAsia" w:hAnsi="宋体" w:cs="宋体"/>
          <w:highlight w:val="none"/>
        </w:rPr>
      </w:pPr>
      <w:r>
        <w:rPr>
          <w:rFonts w:hint="eastAsia" w:hAnsi="宋体" w:cs="宋体"/>
          <w:highlight w:val="none"/>
        </w:rPr>
        <w:t>南雄地处大庾岭南麓，北宽南狭，南北两面群山连绵，中部盆地丘陵起伏。古来对南北山区称之为“南山”“北山”。南山自西南向东北延伸，以青嶂山为主峰，海拔917米，西南行有高峰（海拔840米）、寨顶埂、山角寨（海拔858米）等山岭；东北走有目龙埂、鸦子寨（海拔872米）、龙王脑（海拔616米）、猪头寨（海拔592）、洪泰山（海拔716米）等山岭，南行有王石寨（海拔761人）等山岭。北山由西南向东北伸展，以观音栋、帽子峰、油山为主峰。观音栋海拔1429米，为全市最高峰，东有老殿顶（海拔1395米）、龙华山（海拔1224米），北有白沙髻（海拔1342米）、盘墙虎（海拔1262米），西有粑子岭（海拔1190米）、花髻脑（海拔971米）等山岭。帽子峰海拔1058米，东南行有中岭（海拔902米）、巾子岭（海拔824米）、亚机（海拔875米）等山岭，西行有五峰山（海拔1224米）、俚木山（海拔1045米）、南山（海拔1303米）、云前脑（海拔1131米）、月岭寨（海拔1010米）等山岭。油山海拔1073米，东行有穆公寨（海拔789米），南行有西厢寨（海拔965米）、琵琶寨（海拔938米），西行有梅岭、仙人岭（海拔756米）等山岭。</w:t>
      </w:r>
    </w:p>
    <w:p w14:paraId="5005FCE5">
      <w:pPr>
        <w:rPr>
          <w:rFonts w:hint="eastAsia" w:hAnsi="宋体" w:cs="宋体"/>
          <w:highlight w:val="none"/>
        </w:rPr>
      </w:pPr>
      <w:r>
        <w:rPr>
          <w:rFonts w:hint="eastAsia" w:hAnsi="宋体" w:cs="宋体"/>
          <w:highlight w:val="none"/>
        </w:rPr>
        <w:t>南雄市地貌独特，按地势可分三个层次，高层形似驼峰，海拔多在1000米以上，约占山地总面积的6%；中层山峰连绵，海拔600米左右，约占山地总面积的24%；底层（山座）海拔200—600米，约占山地总面积的30%；基座庞大，约占山地总面积的40%。南北山地均以40度以上倾角向盆地倾斜。东西向则倾斜平缓，倾角一般10°—20°。中部丘陵自东北向西南沿浈江两岸伸展，浈江斜贯其中，形成一狭长大盆地，地质学称之为“南雄盆地”。</w:t>
      </w:r>
    </w:p>
    <w:p w14:paraId="05CCB1C6">
      <w:pPr>
        <w:pStyle w:val="4"/>
        <w:bidi w:val="0"/>
        <w:rPr>
          <w:rFonts w:hint="eastAsia"/>
          <w:highlight w:val="none"/>
        </w:rPr>
      </w:pPr>
      <w:r>
        <w:rPr>
          <w:rFonts w:hint="eastAsia"/>
          <w:highlight w:val="none"/>
        </w:rPr>
        <w:t>【气候水文】</w:t>
      </w:r>
    </w:p>
    <w:p w14:paraId="79F12FAA">
      <w:pPr>
        <w:rPr>
          <w:rFonts w:hint="eastAsia" w:hAnsi="宋体" w:cs="宋体"/>
          <w:highlight w:val="none"/>
        </w:rPr>
      </w:pPr>
      <w:r>
        <w:rPr>
          <w:rFonts w:hint="eastAsia" w:hAnsi="宋体" w:cs="宋体"/>
          <w:highlight w:val="none"/>
        </w:rPr>
        <w:t>南雄属中亚热带湿润型季风气候区，冬季盛行东北季风，夏季盛行西南和东南季风。四季特点为春季阴雨连绵，秋季降水偏少，冬季寒冷，夏季偏热。2015年平均气温为20</w:t>
      </w:r>
      <w:r>
        <w:rPr>
          <w:rFonts w:hint="eastAsia" w:ascii="MingLiU_HKSCS" w:hAnsi="MingLiU_HKSCS" w:eastAsia="MingLiU_HKSCS" w:cs="MingLiU_HKSCS"/>
          <w:highlight w:val="none"/>
        </w:rPr>
        <w:t>.</w:t>
      </w:r>
      <w:r>
        <w:rPr>
          <w:rFonts w:hint="eastAsia" w:hAnsi="宋体" w:cs="宋体"/>
          <w:highlight w:val="none"/>
        </w:rPr>
        <w:t>6℃</w:t>
      </w:r>
      <w:r>
        <w:rPr>
          <w:rFonts w:hint="eastAsia" w:hAnsi="宋体" w:cs="宋体"/>
          <w:highlight w:val="none"/>
          <w:lang w:eastAsia="zh-CN"/>
        </w:rPr>
        <w:t>，</w:t>
      </w:r>
      <w:r>
        <w:rPr>
          <w:rFonts w:hint="eastAsia" w:hAnsi="宋体" w:cs="宋体"/>
          <w:highlight w:val="none"/>
        </w:rPr>
        <w:t>与上年持平。极端最高气温为37</w:t>
      </w:r>
      <w:r>
        <w:rPr>
          <w:rFonts w:hint="eastAsia" w:ascii="MingLiU_HKSCS" w:hAnsi="MingLiU_HKSCS" w:eastAsia="MingLiU_HKSCS" w:cs="MingLiU_HKSCS"/>
          <w:highlight w:val="none"/>
        </w:rPr>
        <w:t>.</w:t>
      </w:r>
      <w:r>
        <w:rPr>
          <w:rFonts w:hint="eastAsia" w:hAnsi="宋体" w:cs="宋体"/>
          <w:highlight w:val="none"/>
        </w:rPr>
        <w:t>4℃，出现在7月14日，极端最低气温为1</w:t>
      </w:r>
      <w:r>
        <w:rPr>
          <w:rFonts w:hint="eastAsia" w:ascii="MingLiU_HKSCS" w:hAnsi="MingLiU_HKSCS" w:eastAsia="MingLiU_HKSCS" w:cs="MingLiU_HKSCS"/>
          <w:highlight w:val="none"/>
        </w:rPr>
        <w:t>.</w:t>
      </w:r>
      <w:r>
        <w:rPr>
          <w:rFonts w:hint="eastAsia" w:hAnsi="宋体" w:cs="宋体"/>
          <w:highlight w:val="none"/>
        </w:rPr>
        <w:t>8℃，出现在12月18日，年降雨量为1866</w:t>
      </w:r>
      <w:r>
        <w:rPr>
          <w:rFonts w:hint="eastAsia" w:ascii="MingLiU_HKSCS" w:hAnsi="MingLiU_HKSCS" w:eastAsia="MingLiU_HKSCS" w:cs="MingLiU_HKSCS"/>
          <w:highlight w:val="none"/>
        </w:rPr>
        <w:t>.</w:t>
      </w:r>
      <w:r>
        <w:rPr>
          <w:rFonts w:hint="eastAsia" w:hAnsi="宋体" w:cs="宋体"/>
          <w:highlight w:val="none"/>
        </w:rPr>
        <w:t>8毫米，与上年相比偏多415</w:t>
      </w:r>
      <w:r>
        <w:rPr>
          <w:rFonts w:hint="eastAsia" w:ascii="MingLiU_HKSCS" w:hAnsi="MingLiU_HKSCS" w:eastAsia="MingLiU_HKSCS" w:cs="MingLiU_HKSCS"/>
          <w:highlight w:val="none"/>
        </w:rPr>
        <w:t>.</w:t>
      </w:r>
      <w:r>
        <w:rPr>
          <w:rFonts w:hint="eastAsia" w:hAnsi="宋体" w:cs="宋体"/>
          <w:highlight w:val="none"/>
        </w:rPr>
        <w:t>1毫米。年总日照时数为1425</w:t>
      </w:r>
      <w:r>
        <w:rPr>
          <w:rFonts w:hint="eastAsia" w:ascii="MingLiU_HKSCS" w:hAnsi="MingLiU_HKSCS" w:eastAsia="MingLiU_HKSCS" w:cs="MingLiU_HKSCS"/>
          <w:highlight w:val="none"/>
        </w:rPr>
        <w:t>.</w:t>
      </w:r>
      <w:r>
        <w:rPr>
          <w:rFonts w:hint="eastAsia" w:hAnsi="宋体" w:cs="宋体"/>
          <w:highlight w:val="none"/>
        </w:rPr>
        <w:t>2小时，比上年偏少352小时。2015年全市没有出现重大气象灾害，气候属于一般年景。</w:t>
      </w:r>
    </w:p>
    <w:p w14:paraId="294199EF">
      <w:pPr>
        <w:rPr>
          <w:rFonts w:hint="eastAsia" w:hAnsi="宋体" w:cs="宋体"/>
          <w:highlight w:val="none"/>
        </w:rPr>
      </w:pPr>
      <w:r>
        <w:rPr>
          <w:rFonts w:hint="eastAsia" w:hAnsi="宋体" w:cs="宋体"/>
          <w:highlight w:val="none"/>
        </w:rPr>
        <w:t>境内河道属珠江流域，主要河道有一级河浈江一条，总长96</w:t>
      </w:r>
      <w:r>
        <w:rPr>
          <w:rFonts w:hint="eastAsia" w:ascii="MingLiU_HKSCS" w:hAnsi="MingLiU_HKSCS" w:eastAsia="MingLiU_HKSCS" w:cs="MingLiU_HKSCS"/>
          <w:highlight w:val="none"/>
        </w:rPr>
        <w:t>.</w:t>
      </w:r>
      <w:r>
        <w:rPr>
          <w:rFonts w:hint="eastAsia" w:hAnsi="宋体" w:cs="宋体"/>
          <w:highlight w:val="none"/>
        </w:rPr>
        <w:t>3千米；二级河道凌江、南山水、瀑布水、新龙水、江头水、大坪水、大源水、黄坑水、邓坊水、下洞水、宝江水、南亩水等12条，总长356</w:t>
      </w:r>
      <w:r>
        <w:rPr>
          <w:rFonts w:hint="eastAsia" w:ascii="MingLiU_HKSCS" w:hAnsi="MingLiU_HKSCS" w:eastAsia="MingLiU_HKSCS" w:cs="MingLiU_HKSCS"/>
          <w:highlight w:val="none"/>
        </w:rPr>
        <w:t>.</w:t>
      </w:r>
      <w:r>
        <w:rPr>
          <w:rFonts w:hint="eastAsia" w:hAnsi="宋体" w:cs="宋体"/>
          <w:highlight w:val="none"/>
        </w:rPr>
        <w:t>7千米，河网密度5</w:t>
      </w:r>
      <w:r>
        <w:rPr>
          <w:rFonts w:hint="eastAsia" w:ascii="MingLiU_HKSCS" w:hAnsi="MingLiU_HKSCS" w:eastAsia="MingLiU_HKSCS" w:cs="MingLiU_HKSCS"/>
          <w:highlight w:val="none"/>
        </w:rPr>
        <w:t>.</w:t>
      </w:r>
      <w:r>
        <w:rPr>
          <w:rFonts w:hint="eastAsia" w:hAnsi="宋体" w:cs="宋体"/>
          <w:highlight w:val="none"/>
        </w:rPr>
        <w:t>21千米/平方千米，径流总量18</w:t>
      </w:r>
      <w:r>
        <w:rPr>
          <w:rFonts w:hint="eastAsia" w:ascii="MingLiU_HKSCS" w:hAnsi="MingLiU_HKSCS" w:eastAsia="MingLiU_HKSCS" w:cs="MingLiU_HKSCS"/>
          <w:highlight w:val="none"/>
        </w:rPr>
        <w:t>.</w:t>
      </w:r>
      <w:r>
        <w:rPr>
          <w:rFonts w:hint="eastAsia" w:hAnsi="宋体" w:cs="宋体"/>
          <w:highlight w:val="none"/>
        </w:rPr>
        <w:t>333亿立方米。境内最大河流为浈江，从孔江水库至古市镇小水流经境内，长96</w:t>
      </w:r>
      <w:r>
        <w:rPr>
          <w:rFonts w:hint="eastAsia" w:ascii="MingLiU_HKSCS" w:hAnsi="MingLiU_HKSCS" w:eastAsia="MingLiU_HKSCS" w:cs="MingLiU_HKSCS"/>
          <w:highlight w:val="none"/>
        </w:rPr>
        <w:t>.</w:t>
      </w:r>
      <w:r>
        <w:rPr>
          <w:rFonts w:hint="eastAsia" w:hAnsi="宋体" w:cs="宋体"/>
          <w:highlight w:val="none"/>
        </w:rPr>
        <w:t>3千米，流域面积1765平方千米，年均流量43</w:t>
      </w:r>
      <w:r>
        <w:rPr>
          <w:rFonts w:hint="eastAsia" w:ascii="MingLiU_HKSCS" w:hAnsi="MingLiU_HKSCS" w:eastAsia="MingLiU_HKSCS" w:cs="MingLiU_HKSCS"/>
          <w:highlight w:val="none"/>
        </w:rPr>
        <w:t>.</w:t>
      </w:r>
      <w:r>
        <w:rPr>
          <w:rFonts w:hint="eastAsia" w:hAnsi="宋体" w:cs="宋体"/>
          <w:highlight w:val="none"/>
        </w:rPr>
        <w:t>53立方米/秒，主要支流有凌江、南山水、瀑布水、新龙水、江头水、大坪水、大源水、黄坑水、邓坊水、下洞水、宝江水、南亩水等。</w:t>
      </w:r>
    </w:p>
    <w:p w14:paraId="3A21A82D">
      <w:pPr>
        <w:pStyle w:val="4"/>
        <w:bidi w:val="0"/>
        <w:rPr>
          <w:rFonts w:hint="eastAsia"/>
          <w:highlight w:val="none"/>
        </w:rPr>
      </w:pPr>
      <w:r>
        <w:rPr>
          <w:rFonts w:hint="eastAsia"/>
          <w:highlight w:val="none"/>
        </w:rPr>
        <w:t>【行政区划】</w:t>
      </w:r>
    </w:p>
    <w:p w14:paraId="5C20B33E">
      <w:pPr>
        <w:rPr>
          <w:rFonts w:hint="eastAsia" w:hAnsi="宋体" w:cs="宋体"/>
          <w:highlight w:val="none"/>
        </w:rPr>
      </w:pPr>
      <w:r>
        <w:rPr>
          <w:rFonts w:hint="eastAsia" w:hAnsi="宋体" w:cs="宋体"/>
          <w:highlight w:val="none"/>
        </w:rPr>
        <w:t>南雄市有17个镇和1个街道办事处，17个镇为乌迳镇、黄坑镇、水口镇、湖口镇、珠玑镇、界址镇、百顺镇、澜河镇、古市镇、坪田镇、邓坊镇、主田镇、油山镇、南亩镇、江头镇、全安镇、帽子峰镇；1个街道办事处为雄州街道办事处；全市有208个村委会、24个居委会。</w:t>
      </w:r>
    </w:p>
    <w:p w14:paraId="4B2225AA">
      <w:pPr>
        <w:rPr>
          <w:rFonts w:hint="eastAsia" w:hAnsi="宋体" w:cs="宋体"/>
          <w:highlight w:val="none"/>
        </w:rPr>
      </w:pPr>
      <w:r>
        <w:rPr>
          <w:rFonts w:hint="eastAsia" w:hAnsi="宋体" w:cs="宋体"/>
          <w:highlight w:val="none"/>
        </w:rPr>
        <w:t>各镇（街道）的村（居、社区）委会名称表：</w:t>
      </w:r>
    </w:p>
    <w:p w14:paraId="1B5E3207">
      <w:pPr>
        <w:ind w:left="0" w:leftChars="0" w:firstLine="0" w:firstLineChars="0"/>
        <w:jc w:val="center"/>
        <w:rPr>
          <w:rFonts w:hint="eastAsia" w:hAnsi="宋体" w:cs="宋体"/>
          <w:highlight w:val="none"/>
        </w:rPr>
      </w:pPr>
      <w:r>
        <w:rPr>
          <w:rFonts w:hint="eastAsia" w:hAnsi="宋体" w:cs="宋体"/>
          <w:highlight w:val="none"/>
        </w:rPr>
        <w:t>南雄市各镇（街道）的村（居、社区）委会名称表</w:t>
      </w:r>
    </w:p>
    <w:p w14:paraId="36725DBF">
      <w:pPr>
        <w:rPr>
          <w:rFonts w:hint="eastAsia" w:hAnsi="宋体" w:cs="宋体"/>
          <w:highlight w:val="none"/>
        </w:rPr>
      </w:pPr>
      <w:r>
        <w:rPr>
          <w:rFonts w:hint="eastAsia" w:hAnsi="宋体" w:cs="宋体"/>
          <w:highlight w:val="none"/>
        </w:rPr>
        <w:t>表1</w:t>
      </w:r>
    </w:p>
    <w:tbl>
      <w:tblPr>
        <w:tblStyle w:val="7"/>
        <w:tblW w:w="5000" w:type="pct"/>
        <w:jc w:val="center"/>
        <w:tblLayout w:type="fixed"/>
        <w:tblCellMar>
          <w:top w:w="0" w:type="dxa"/>
          <w:left w:w="108" w:type="dxa"/>
          <w:bottom w:w="0" w:type="dxa"/>
          <w:right w:w="108" w:type="dxa"/>
        </w:tblCellMar>
      </w:tblPr>
      <w:tblGrid>
        <w:gridCol w:w="1172"/>
        <w:gridCol w:w="6272"/>
        <w:gridCol w:w="1172"/>
      </w:tblGrid>
      <w:tr w14:paraId="30628A72">
        <w:tblPrEx>
          <w:tblCellMar>
            <w:top w:w="0" w:type="dxa"/>
            <w:left w:w="108" w:type="dxa"/>
            <w:bottom w:w="0" w:type="dxa"/>
            <w:right w:w="108" w:type="dxa"/>
          </w:tblCellMar>
        </w:tblPrEx>
        <w:trPr>
          <w:trHeight w:val="61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3C491D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镇（街道）</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2128F1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村委会</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406323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居委会</w:t>
            </w:r>
          </w:p>
          <w:p w14:paraId="17EEA0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社区</w:t>
            </w:r>
          </w:p>
        </w:tc>
      </w:tr>
      <w:tr w14:paraId="3EC99AA6">
        <w:tblPrEx>
          <w:tblCellMar>
            <w:top w:w="0" w:type="dxa"/>
            <w:left w:w="108" w:type="dxa"/>
            <w:bottom w:w="0" w:type="dxa"/>
            <w:right w:w="108" w:type="dxa"/>
          </w:tblCellMar>
        </w:tblPrEx>
        <w:trPr>
          <w:trHeight w:val="46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4B845B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雄州街道</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2497BF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河南、郊区、莲塘、铺背、水南、黎口、观新、荆岗、勋口、上坪、下坪、五洲、迳口</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73AA87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八一、新城东、建国、民主、胜利、幸福、新城西</w:t>
            </w:r>
          </w:p>
        </w:tc>
      </w:tr>
      <w:tr w14:paraId="5883B988">
        <w:trPr>
          <w:trHeight w:val="58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7D63E1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46E953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乌迳、山下、鱼塘、新田、高溯、长龙、白龙、坪塘、响联、龙迳、黄塘、官门楼、孔塘、庙前、水松、黄洞、白胜、田心、大竹、孔江、兰丘</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133632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w:t>
            </w:r>
          </w:p>
        </w:tc>
      </w:tr>
      <w:tr w14:paraId="1FE02F78">
        <w:tblPrEx>
          <w:tblCellMar>
            <w:top w:w="0" w:type="dxa"/>
            <w:left w:w="108" w:type="dxa"/>
            <w:bottom w:w="0" w:type="dxa"/>
            <w:right w:w="108" w:type="dxa"/>
          </w:tblCellMar>
        </w:tblPrEx>
        <w:trPr>
          <w:trHeight w:val="40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616A5C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6DF93B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下屋、崇化、赵屋、界址、百罗、大坊、大坑、马芫</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5C043A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w:t>
            </w:r>
          </w:p>
        </w:tc>
      </w:tr>
      <w:tr w14:paraId="3403C772">
        <w:tblPrEx>
          <w:tblCellMar>
            <w:top w:w="0" w:type="dxa"/>
            <w:left w:w="108" w:type="dxa"/>
            <w:bottom w:w="0" w:type="dxa"/>
            <w:right w:w="108" w:type="dxa"/>
          </w:tblCellMar>
        </w:tblPrEx>
        <w:trPr>
          <w:trHeight w:val="39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7B26E2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55DD14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坪田、新墟、坪湖、龙头、迳洞、老宅、中坪、长坑、老龙、背迳、龙口、横岭、小塘、官陂</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3886AC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w:t>
            </w:r>
          </w:p>
        </w:tc>
      </w:tr>
      <w:tr w14:paraId="5F1B6C5F">
        <w:trPr>
          <w:trHeight w:val="22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485F10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2A6855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黄坑、社前、小陂、塘源、溪塘、耶溪、中心、园岭、许村、上象</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41792B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w:t>
            </w:r>
          </w:p>
        </w:tc>
      </w:tr>
      <w:tr w14:paraId="4485C635">
        <w:tblPrEx>
          <w:tblCellMar>
            <w:top w:w="0" w:type="dxa"/>
            <w:left w:w="108" w:type="dxa"/>
            <w:bottom w:w="0" w:type="dxa"/>
            <w:right w:w="108" w:type="dxa"/>
          </w:tblCellMar>
        </w:tblPrEx>
        <w:trPr>
          <w:trHeight w:val="36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0DE44B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0BEB7F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邓坊、里源、赤石、洋西、赤马、马战、茶头背、上湖、兰田</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32677F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w:t>
            </w:r>
          </w:p>
        </w:tc>
      </w:tr>
      <w:tr w14:paraId="4156FE73">
        <w:tblPrEx>
          <w:tblCellMar>
            <w:top w:w="0" w:type="dxa"/>
            <w:left w:w="108" w:type="dxa"/>
            <w:bottom w:w="0" w:type="dxa"/>
            <w:right w:w="108" w:type="dxa"/>
          </w:tblCellMar>
        </w:tblPrEx>
        <w:trPr>
          <w:trHeight w:val="22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7D1375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62FFB8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坪田坳、莲山、大兰、平林、黄地、爱敬、浆田、上浆、孔村、延村、锦陂、上朔、夹河口、大塘、黄田、下惠、古城</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11F295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w:t>
            </w:r>
          </w:p>
        </w:tc>
      </w:tr>
      <w:tr w14:paraId="3050FAE7">
        <w:tblPrEx>
          <w:tblCellMar>
            <w:top w:w="0" w:type="dxa"/>
            <w:left w:w="108" w:type="dxa"/>
            <w:bottom w:w="0" w:type="dxa"/>
            <w:right w:w="108" w:type="dxa"/>
          </w:tblCellMar>
        </w:tblPrEx>
        <w:trPr>
          <w:trHeight w:val="22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6849F8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08C8A9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长洞、水塘、中寺、岭下、中岭、水尾、芙蓉、鱼鲜、南亩、樟屋、官田</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5370A9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w:t>
            </w:r>
          </w:p>
        </w:tc>
      </w:tr>
      <w:tr w14:paraId="1E02CDB2">
        <w:tblPrEx>
          <w:tblCellMar>
            <w:top w:w="0" w:type="dxa"/>
            <w:left w:w="108" w:type="dxa"/>
            <w:bottom w:w="0" w:type="dxa"/>
            <w:right w:w="108" w:type="dxa"/>
          </w:tblCellMar>
        </w:tblPrEx>
        <w:trPr>
          <w:trHeight w:val="36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76F2F2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水口镇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4E5765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云西、弱过、水口、大部、河村、大坪、沙头、下湖、赤岭、群星、石庄、下楼、泷头</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1066C6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水口</w:t>
            </w:r>
          </w:p>
        </w:tc>
      </w:tr>
      <w:tr w14:paraId="025D6A95">
        <w:tblPrEx>
          <w:tblCellMar>
            <w:top w:w="0" w:type="dxa"/>
            <w:left w:w="108" w:type="dxa"/>
            <w:bottom w:w="0" w:type="dxa"/>
            <w:right w:w="108" w:type="dxa"/>
          </w:tblCellMar>
        </w:tblPrEx>
        <w:trPr>
          <w:trHeight w:val="22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0C9424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728600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坪岗、涌溪、元甫、江头、鱼仙、大汉、南甫、武岭、小竹</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76F907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w:t>
            </w:r>
          </w:p>
        </w:tc>
      </w:tr>
      <w:tr w14:paraId="14D1B2E9">
        <w:tblPrEx>
          <w:tblCellMar>
            <w:top w:w="0" w:type="dxa"/>
            <w:left w:w="108" w:type="dxa"/>
            <w:bottom w:w="0" w:type="dxa"/>
            <w:right w:w="108" w:type="dxa"/>
          </w:tblCellMar>
        </w:tblPrEx>
        <w:trPr>
          <w:trHeight w:val="22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6F9DFD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湖口镇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2F1749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里和、三角、三水、积塔、长市、新湖、新迳、矿石、岗围、湖口、太和、承平</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5768B2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湖口</w:t>
            </w:r>
          </w:p>
        </w:tc>
      </w:tr>
      <w:tr w14:paraId="6E5B1043">
        <w:tblPrEx>
          <w:tblCellMar>
            <w:top w:w="0" w:type="dxa"/>
            <w:left w:w="108" w:type="dxa"/>
            <w:bottom w:w="0" w:type="dxa"/>
            <w:right w:w="108" w:type="dxa"/>
          </w:tblCellMar>
        </w:tblPrEx>
        <w:trPr>
          <w:trHeight w:val="225"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5951F6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4CC53E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珠玑、洋湖、聪辈、长迳、新村、古田、叟里元、上嵩、里仁、塘东、石塘、里东、灵潭、祗芫、下汾、罗田、南山、梅关、梅岭、泰源、中站、角湾</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4966D9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w:t>
            </w:r>
          </w:p>
        </w:tc>
      </w:tr>
      <w:tr w14:paraId="3CC2F79D">
        <w:tblPrEx>
          <w:tblCellMar>
            <w:top w:w="0" w:type="dxa"/>
            <w:left w:w="108" w:type="dxa"/>
            <w:bottom w:w="0" w:type="dxa"/>
            <w:right w:w="108" w:type="dxa"/>
          </w:tblCellMar>
        </w:tblPrEx>
        <w:trPr>
          <w:trHeight w:val="21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0AD359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主田镇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707E37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大坝、主田、城门、塘山、西坪、西洞、窑合、高峰</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760F92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大凤</w:t>
            </w:r>
          </w:p>
        </w:tc>
      </w:tr>
      <w:tr w14:paraId="01B6E06C">
        <w:tblPrEx>
          <w:tblCellMar>
            <w:top w:w="0" w:type="dxa"/>
            <w:left w:w="108" w:type="dxa"/>
            <w:bottom w:w="0" w:type="dxa"/>
            <w:right w:w="108" w:type="dxa"/>
          </w:tblCellMar>
        </w:tblPrEx>
        <w:trPr>
          <w:trHeight w:val="36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3B66D5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古市镇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2B64D4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小坑、三角岭、溪口、修仁、丰源、柴岭、古市、丹布</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3172E4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古禄</w:t>
            </w:r>
          </w:p>
        </w:tc>
      </w:tr>
      <w:tr w14:paraId="47BB355B">
        <w:tblPrEx>
          <w:tblCellMar>
            <w:top w:w="0" w:type="dxa"/>
            <w:left w:w="108" w:type="dxa"/>
            <w:bottom w:w="0" w:type="dxa"/>
            <w:right w:w="108" w:type="dxa"/>
          </w:tblCellMar>
        </w:tblPrEx>
        <w:trPr>
          <w:trHeight w:val="21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6BAD16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79DE38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全安、陂头、羊角、古塘、王亭石、河塘、杨沥、荔迳、密下水、苍石、大坪、兰溪、章禾洞</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701C19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w:t>
            </w:r>
          </w:p>
        </w:tc>
      </w:tr>
      <w:tr w14:paraId="04BE36B5">
        <w:tblPrEx>
          <w:tblCellMar>
            <w:top w:w="0" w:type="dxa"/>
            <w:left w:w="108" w:type="dxa"/>
            <w:bottom w:w="0" w:type="dxa"/>
            <w:right w:w="108" w:type="dxa"/>
          </w:tblCellMar>
        </w:tblPrEx>
        <w:trPr>
          <w:trHeight w:val="21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42E7AA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3C5B73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百顺、大沙洲、邓洞、东坑、湖地、尚睦、溪头、杨梅、朱安</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486E57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w:t>
            </w:r>
          </w:p>
        </w:tc>
      </w:tr>
      <w:tr w14:paraId="76058E3F">
        <w:tblPrEx>
          <w:tblCellMar>
            <w:top w:w="0" w:type="dxa"/>
            <w:left w:w="108" w:type="dxa"/>
            <w:bottom w:w="0" w:type="dxa"/>
            <w:right w:w="108" w:type="dxa"/>
          </w:tblCellMar>
        </w:tblPrEx>
        <w:trPr>
          <w:trHeight w:val="510"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center"/>
          </w:tcPr>
          <w:p w14:paraId="5A1181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澜河镇</w:t>
            </w:r>
          </w:p>
        </w:tc>
        <w:tc>
          <w:tcPr>
            <w:tcW w:w="6840" w:type="dxa"/>
            <w:tcBorders>
              <w:top w:val="single" w:color="auto" w:sz="6" w:space="0"/>
              <w:left w:val="single" w:color="auto" w:sz="6" w:space="0"/>
              <w:bottom w:val="single" w:color="auto" w:sz="6" w:space="0"/>
              <w:right w:val="single" w:color="auto" w:sz="6" w:space="0"/>
            </w:tcBorders>
            <w:noWrap w:val="0"/>
            <w:vAlign w:val="center"/>
          </w:tcPr>
          <w:p w14:paraId="44EDA4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白云、洞底、葛坪、澜河、上带、上澜</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44A347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新街</w:t>
            </w:r>
          </w:p>
        </w:tc>
      </w:tr>
      <w:tr w14:paraId="6724CE38">
        <w:tblPrEx>
          <w:tblCellMar>
            <w:top w:w="0" w:type="dxa"/>
            <w:left w:w="108" w:type="dxa"/>
            <w:bottom w:w="0" w:type="dxa"/>
            <w:right w:w="108" w:type="dxa"/>
          </w:tblCellMar>
        </w:tblPrEx>
        <w:trPr>
          <w:trHeight w:val="259" w:hRule="atLeast"/>
          <w:jc w:val="center"/>
        </w:trPr>
        <w:tc>
          <w:tcPr>
            <w:tcW w:w="1260" w:type="dxa"/>
            <w:tcBorders>
              <w:top w:val="single" w:color="auto" w:sz="6" w:space="0"/>
              <w:left w:val="single" w:color="auto" w:sz="6" w:space="0"/>
              <w:bottom w:val="single" w:color="auto" w:sz="6" w:space="0"/>
              <w:right w:val="single" w:color="auto" w:sz="6" w:space="0"/>
            </w:tcBorders>
            <w:noWrap w:val="0"/>
            <w:vAlign w:val="top"/>
          </w:tcPr>
          <w:p w14:paraId="193252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帽子峰镇</w:t>
            </w:r>
          </w:p>
        </w:tc>
        <w:tc>
          <w:tcPr>
            <w:tcW w:w="6840" w:type="dxa"/>
            <w:tcBorders>
              <w:top w:val="single" w:color="auto" w:sz="6" w:space="0"/>
              <w:left w:val="single" w:color="auto" w:sz="6" w:space="0"/>
              <w:bottom w:val="single" w:color="auto" w:sz="6" w:space="0"/>
              <w:right w:val="single" w:color="auto" w:sz="6" w:space="0"/>
            </w:tcBorders>
            <w:noWrap w:val="0"/>
            <w:vAlign w:val="top"/>
          </w:tcPr>
          <w:p w14:paraId="5BC462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洞头、富竹、梨树、坪山、上龙</w:t>
            </w:r>
          </w:p>
        </w:tc>
        <w:tc>
          <w:tcPr>
            <w:tcW w:w="1260" w:type="dxa"/>
            <w:tcBorders>
              <w:top w:val="single" w:color="auto" w:sz="6" w:space="0"/>
              <w:left w:val="single" w:color="auto" w:sz="6" w:space="0"/>
              <w:bottom w:val="single" w:color="auto" w:sz="6" w:space="0"/>
              <w:right w:val="single" w:color="auto" w:sz="6" w:space="0"/>
            </w:tcBorders>
            <w:noWrap w:val="0"/>
            <w:vAlign w:val="top"/>
          </w:tcPr>
          <w:p w14:paraId="1EC9BC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富竹</w:t>
            </w:r>
          </w:p>
        </w:tc>
      </w:tr>
    </w:tbl>
    <w:p w14:paraId="3F6C8ED2">
      <w:pPr>
        <w:pStyle w:val="4"/>
        <w:bidi w:val="0"/>
        <w:rPr>
          <w:rFonts w:hint="eastAsia"/>
          <w:highlight w:val="none"/>
        </w:rPr>
      </w:pPr>
      <w:r>
        <w:rPr>
          <w:rFonts w:hint="eastAsia"/>
          <w:highlight w:val="none"/>
        </w:rPr>
        <w:t>【人口】</w:t>
      </w:r>
    </w:p>
    <w:p w14:paraId="3346A349">
      <w:pPr>
        <w:rPr>
          <w:rFonts w:hint="eastAsia" w:hAnsi="宋体" w:cs="宋体"/>
          <w:highlight w:val="none"/>
        </w:rPr>
      </w:pPr>
      <w:r>
        <w:rPr>
          <w:rFonts w:hint="eastAsia" w:hAnsi="宋体" w:cs="宋体"/>
          <w:highlight w:val="none"/>
        </w:rPr>
        <w:t>2015年，全市年末常住人口33</w:t>
      </w:r>
      <w:r>
        <w:rPr>
          <w:rFonts w:hint="eastAsia" w:ascii="MingLiU_HKSCS" w:hAnsi="MingLiU_HKSCS" w:eastAsia="MingLiU_HKSCS" w:cs="MingLiU_HKSCS"/>
          <w:highlight w:val="none"/>
        </w:rPr>
        <w:t>.</w:t>
      </w:r>
      <w:r>
        <w:rPr>
          <w:rFonts w:hint="eastAsia" w:hAnsi="宋体" w:cs="宋体"/>
          <w:highlight w:val="none"/>
        </w:rPr>
        <w:t>03万人，比上年增加0</w:t>
      </w:r>
      <w:r>
        <w:rPr>
          <w:rFonts w:hint="eastAsia" w:ascii="MingLiU_HKSCS" w:hAnsi="MingLiU_HKSCS" w:eastAsia="MingLiU_HKSCS" w:cs="MingLiU_HKSCS"/>
          <w:highlight w:val="none"/>
        </w:rPr>
        <w:t>.</w:t>
      </w:r>
      <w:r>
        <w:rPr>
          <w:rFonts w:hint="eastAsia" w:hAnsi="宋体" w:cs="宋体"/>
          <w:highlight w:val="none"/>
        </w:rPr>
        <w:t>26万人，增长0</w:t>
      </w:r>
      <w:r>
        <w:rPr>
          <w:rFonts w:hint="eastAsia" w:ascii="MingLiU_HKSCS" w:hAnsi="MingLiU_HKSCS" w:eastAsia="MingLiU_HKSCS" w:cs="MingLiU_HKSCS"/>
          <w:highlight w:val="none"/>
        </w:rPr>
        <w:t>.</w:t>
      </w:r>
      <w:r>
        <w:rPr>
          <w:rFonts w:hint="eastAsia" w:hAnsi="宋体" w:cs="宋体"/>
          <w:highlight w:val="none"/>
        </w:rPr>
        <w:t>79%。城镇常住人口比重45</w:t>
      </w:r>
      <w:r>
        <w:rPr>
          <w:rFonts w:hint="eastAsia" w:ascii="MingLiU_HKSCS" w:hAnsi="MingLiU_HKSCS" w:eastAsia="MingLiU_HKSCS" w:cs="MingLiU_HKSCS"/>
          <w:highlight w:val="none"/>
        </w:rPr>
        <w:t>.</w:t>
      </w:r>
      <w:r>
        <w:rPr>
          <w:rFonts w:hint="eastAsia" w:hAnsi="宋体" w:cs="宋体"/>
          <w:highlight w:val="none"/>
        </w:rPr>
        <w:t>87%，比上年提高0</w:t>
      </w:r>
      <w:r>
        <w:rPr>
          <w:rFonts w:hint="eastAsia" w:ascii="MingLiU_HKSCS" w:hAnsi="MingLiU_HKSCS" w:eastAsia="MingLiU_HKSCS" w:cs="MingLiU_HKSCS"/>
          <w:highlight w:val="none"/>
        </w:rPr>
        <w:t>.</w:t>
      </w:r>
      <w:r>
        <w:rPr>
          <w:rFonts w:hint="eastAsia" w:hAnsi="宋体" w:cs="宋体"/>
          <w:highlight w:val="none"/>
        </w:rPr>
        <w:t>65个百分点。全市户籍人口48</w:t>
      </w:r>
      <w:r>
        <w:rPr>
          <w:rFonts w:hint="eastAsia" w:ascii="MingLiU_HKSCS" w:hAnsi="MingLiU_HKSCS" w:eastAsia="MingLiU_HKSCS" w:cs="MingLiU_HKSCS"/>
          <w:highlight w:val="none"/>
        </w:rPr>
        <w:t>.</w:t>
      </w:r>
      <w:r>
        <w:rPr>
          <w:rFonts w:hint="eastAsia" w:hAnsi="宋体" w:cs="宋体"/>
          <w:highlight w:val="none"/>
        </w:rPr>
        <w:t>12万人，其中，城镇人口14</w:t>
      </w:r>
      <w:r>
        <w:rPr>
          <w:rFonts w:hint="eastAsia" w:ascii="MingLiU_HKSCS" w:hAnsi="MingLiU_HKSCS" w:eastAsia="MingLiU_HKSCS" w:cs="MingLiU_HKSCS"/>
          <w:highlight w:val="none"/>
        </w:rPr>
        <w:t>.</w:t>
      </w:r>
      <w:r>
        <w:rPr>
          <w:rFonts w:hint="eastAsia" w:hAnsi="宋体" w:cs="宋体"/>
          <w:highlight w:val="none"/>
        </w:rPr>
        <w:t>96万人，乡村人口33</w:t>
      </w:r>
      <w:r>
        <w:rPr>
          <w:rFonts w:hint="eastAsia" w:ascii="MingLiU_HKSCS" w:hAnsi="MingLiU_HKSCS" w:eastAsia="MingLiU_HKSCS" w:cs="MingLiU_HKSCS"/>
          <w:highlight w:val="none"/>
        </w:rPr>
        <w:t>.</w:t>
      </w:r>
      <w:r>
        <w:rPr>
          <w:rFonts w:hint="eastAsia" w:hAnsi="宋体" w:cs="宋体"/>
          <w:highlight w:val="none"/>
        </w:rPr>
        <w:t>16万人。全年出生人口6120人，人口出生率12</w:t>
      </w:r>
      <w:r>
        <w:rPr>
          <w:rFonts w:hint="eastAsia" w:ascii="MingLiU_HKSCS" w:hAnsi="MingLiU_HKSCS" w:eastAsia="MingLiU_HKSCS" w:cs="MingLiU_HKSCS"/>
          <w:highlight w:val="none"/>
        </w:rPr>
        <w:t>.</w:t>
      </w:r>
      <w:r>
        <w:rPr>
          <w:rFonts w:hint="eastAsia" w:hAnsi="宋体" w:cs="宋体"/>
          <w:highlight w:val="none"/>
        </w:rPr>
        <w:t>42‰；死亡人口2579人，人口死亡率5</w:t>
      </w:r>
      <w:r>
        <w:rPr>
          <w:rFonts w:hint="eastAsia" w:ascii="MingLiU_HKSCS" w:hAnsi="MingLiU_HKSCS" w:eastAsia="MingLiU_HKSCS" w:cs="MingLiU_HKSCS"/>
          <w:highlight w:val="none"/>
        </w:rPr>
        <w:t>.</w:t>
      </w:r>
      <w:r>
        <w:rPr>
          <w:rFonts w:hint="eastAsia" w:hAnsi="宋体" w:cs="宋体"/>
          <w:highlight w:val="none"/>
        </w:rPr>
        <w:t>23‰；人口自然增长率7</w:t>
      </w:r>
      <w:r>
        <w:rPr>
          <w:rFonts w:hint="eastAsia" w:ascii="MingLiU_HKSCS" w:hAnsi="MingLiU_HKSCS" w:eastAsia="MingLiU_HKSCS" w:cs="MingLiU_HKSCS"/>
          <w:highlight w:val="none"/>
        </w:rPr>
        <w:t>.</w:t>
      </w:r>
      <w:r>
        <w:rPr>
          <w:rFonts w:hint="eastAsia" w:hAnsi="宋体" w:cs="宋体"/>
          <w:highlight w:val="none"/>
        </w:rPr>
        <w:t>19‰。</w:t>
      </w:r>
    </w:p>
    <w:p w14:paraId="4CB777C9">
      <w:pPr>
        <w:pStyle w:val="4"/>
        <w:bidi w:val="0"/>
        <w:rPr>
          <w:rFonts w:hint="eastAsia"/>
          <w:highlight w:val="none"/>
        </w:rPr>
      </w:pPr>
      <w:r>
        <w:rPr>
          <w:rFonts w:hint="eastAsia"/>
          <w:highlight w:val="none"/>
        </w:rPr>
        <w:t>【民族】</w:t>
      </w:r>
    </w:p>
    <w:p w14:paraId="45D521D6">
      <w:pPr>
        <w:rPr>
          <w:rFonts w:hint="eastAsia" w:hAnsi="宋体" w:cs="宋体"/>
          <w:highlight w:val="none"/>
        </w:rPr>
      </w:pPr>
      <w:r>
        <w:rPr>
          <w:rFonts w:hint="eastAsia" w:hAnsi="宋体" w:cs="宋体"/>
          <w:highlight w:val="none"/>
        </w:rPr>
        <w:t>民族以汉族为主，少数民族总人口约5200人，大部分为畲族，占少数民族总人口约88%，其余少数民族以婚嫁妇女为主。</w:t>
      </w:r>
    </w:p>
    <w:p w14:paraId="67046606">
      <w:pPr>
        <w:pStyle w:val="4"/>
        <w:bidi w:val="0"/>
        <w:rPr>
          <w:rFonts w:hint="eastAsia"/>
          <w:highlight w:val="none"/>
        </w:rPr>
      </w:pPr>
      <w:r>
        <w:rPr>
          <w:rFonts w:hint="eastAsia"/>
          <w:highlight w:val="none"/>
        </w:rPr>
        <w:t>【宗教】</w:t>
      </w:r>
    </w:p>
    <w:p w14:paraId="2CF52988">
      <w:pPr>
        <w:rPr>
          <w:rFonts w:hint="eastAsia" w:hAnsi="宋体" w:cs="宋体"/>
          <w:highlight w:val="none"/>
        </w:rPr>
      </w:pPr>
      <w:r>
        <w:rPr>
          <w:rFonts w:hint="eastAsia" w:hAnsi="宋体" w:cs="宋体"/>
          <w:highlight w:val="none"/>
        </w:rPr>
        <w:t>南雄市现有佛教、道教、基督教、天主教4个宗教，宗教活动场所7个，即洞真古观（道教）、大雄禅寺（佛教）、莲开净寺（佛教）、万善庵（佛教）、南雄天主堂、荆岗天主堂（天主教）、南雄福音堂（基督教）。</w:t>
      </w:r>
    </w:p>
    <w:p w14:paraId="2ECBA012">
      <w:pPr>
        <w:pStyle w:val="4"/>
        <w:bidi w:val="0"/>
        <w:rPr>
          <w:rFonts w:hint="eastAsia"/>
          <w:highlight w:val="none"/>
        </w:rPr>
      </w:pPr>
      <w:r>
        <w:rPr>
          <w:rFonts w:hint="eastAsia"/>
          <w:highlight w:val="none"/>
        </w:rPr>
        <w:t>【民俗风情】</w:t>
      </w:r>
    </w:p>
    <w:p w14:paraId="3F7B93B2">
      <w:pPr>
        <w:rPr>
          <w:rFonts w:hint="eastAsia" w:hAnsi="宋体" w:cs="宋体"/>
          <w:highlight w:val="none"/>
        </w:rPr>
      </w:pPr>
      <w:r>
        <w:rPr>
          <w:rFonts w:hint="eastAsia" w:hAnsi="宋体" w:cs="宋体"/>
          <w:highlight w:val="none"/>
        </w:rPr>
        <w:t>一方水土养一方人。千百年来，南雄人在这块土地上生息繁衍，逐步形成独特、富于生命气息的民情民俗。南雄民情民俗是中原与岭南文化融合，粤赣之间民情交汇。</w:t>
      </w:r>
    </w:p>
    <w:p w14:paraId="61518C1A">
      <w:pPr>
        <w:rPr>
          <w:rFonts w:hint="eastAsia" w:hAnsi="宋体" w:cs="宋体"/>
          <w:highlight w:val="none"/>
        </w:rPr>
      </w:pPr>
      <w:r>
        <w:rPr>
          <w:rFonts w:hint="eastAsia" w:hAnsi="宋体" w:cs="宋体"/>
          <w:highlight w:val="none"/>
        </w:rPr>
        <w:t>服饰穿戴：南雄男女穿着比较朴素，与周边县区没有多大区别，其中只有女子的围身裙（袍肚俚）、头帕颇有客家女特色。女子围身裙，常取黑色布，带子用白色，中青年妇女围裙镶花边，上方加“蓝头”（饰边）以装饰。裙带左右各一条，用棉线织成，末端有缨子。中青年多用白色，老年人用黑色。围身裙与头帕既方便劳动又朴素大方，现逐已简化。</w:t>
      </w:r>
    </w:p>
    <w:p w14:paraId="43B3C045">
      <w:pPr>
        <w:rPr>
          <w:rFonts w:hint="eastAsia" w:hAnsi="宋体" w:cs="宋体"/>
          <w:highlight w:val="none"/>
        </w:rPr>
      </w:pPr>
      <w:r>
        <w:rPr>
          <w:rFonts w:hint="eastAsia" w:hAnsi="宋体" w:cs="宋体"/>
          <w:highlight w:val="none"/>
        </w:rPr>
        <w:t>饮食嗜好：吃辣椒，南雄人喜欢吃辣椒，几乎餐餐有辣，无菜不辣。还加工成蒜蓉辣椒酱、禾麦辣椒酱，通常作佐料。每家都储存辣椒干，以备常年吃用，最有辣味特色的菜肴是梅岭鹅王，以辣和香闻名。吃酸笋，酸笋是南雄传统调味佳品。菜肴中加入少量酸笋，其味浓郁绵长，城乡多数家庭都备有酸笋缸，较为有特色的菜肴有黄焖酸笋鸭、黄焖酸笋鱼干、酸笋炒猪大肠、炒茄子。现形成地方特色菜有梅岭鹅王、乌迳酸笋鸭、水口黄焖鱼。吸烟，南雄盛产黄烟，吸烟之风甚盛，以本地产烟叶为主，自己加工切丝，自卷自抽。饮布荆土茶，每年取布荆籽或嫩叶晒干收藏，一年四季用此物煲水喝。特别是夏收夏种时节，农家习惯用大锅烧煮布荆茶，既可生津止渴解暑，又能祛风散气预防感冒。此外，有的还饮藤婆茶、森俚茶、石板树茶、清明籽茶等。</w:t>
      </w:r>
    </w:p>
    <w:p w14:paraId="298AE8E5">
      <w:pPr>
        <w:rPr>
          <w:rFonts w:hint="eastAsia" w:hAnsi="宋体" w:cs="宋体"/>
          <w:highlight w:val="none"/>
        </w:rPr>
      </w:pPr>
      <w:r>
        <w:rPr>
          <w:rFonts w:hint="eastAsia" w:hAnsi="宋体" w:cs="宋体"/>
          <w:highlight w:val="none"/>
        </w:rPr>
        <w:t>传统食品：钻缸酒，该酒是自酿传统酒。举凡红白二事或年节家宴，尽管备有其他美酒，也一定要出敬自酿的钻缸酒。番薯糟，为丘陵地区农民的传统食品，每年冬季将番薯切成片煮至半熟，晒干，用煮薯片的汤或清水掺湿，进甑蒸熟，取出再晒干，然后倒入未取酒的酒糟里掺匀掺湿，置于酒埕密封。次岁春夏农忙时取出食用，其味芳香甜美。酿豆腐，将做好的豆腐块，用食油炸至金黄色、空心。按生活的丰俭制馅，一般是用芋头刷成糊状加上猪油渣、虾米、香菇、葱蒜、萝卜、冬笋等佐料，将馅料混匀下锅炒至半熟，然后酿入油炸豆腐内，煮（蒸）熟即可。逢年过节或设宴请客，多有酿豆腐，以示南雄特有风味。糍类有10多种，是各个时节的传统食品，如油糍、黄年糍、麻糍、饺俚糍、包菜糍、芋圆仂、豆浆糍、蕉叶糍、铜勺饼、艾糍、锅巴糍、状元糕、豆角酥、猪膏团、米花糕、荡皮等。春节腊味，是传统的冬春时令佳肴。每年冬至前后，家家必做腊味，品种有腊鸭、腊肉、腊肠、腊鸡、腊鹅、腊鱼，其中又以腊鸭最为出名。</w:t>
      </w:r>
    </w:p>
    <w:p w14:paraId="35BF7023">
      <w:pPr>
        <w:rPr>
          <w:rFonts w:hint="eastAsia" w:hAnsi="宋体" w:cs="宋体"/>
          <w:highlight w:val="none"/>
        </w:rPr>
      </w:pPr>
      <w:r>
        <w:rPr>
          <w:rFonts w:hint="eastAsia" w:hAnsi="宋体" w:cs="宋体"/>
          <w:highlight w:val="none"/>
        </w:rPr>
        <w:t>过姓氏节：除传统节日外，南雄乌迳、界址、坪田、南亩、大塘、油山、黄坑等镇，盛行过姓氏节。一般以该族祖先的生日或对该氏族具有重大意义的日子为姓氏节节日。届时，由轮值首事（头人）牵头筹办，公堂出资，设坛祭祀，抬菩萨（祖像）出行游村，请戏班日夜演戏</w:t>
      </w:r>
      <w:r>
        <w:rPr>
          <w:rFonts w:hint="eastAsia" w:hAnsi="宋体" w:cs="宋体"/>
          <w:highlight w:val="none"/>
          <w:lang w:eastAsia="zh-CN"/>
        </w:rPr>
        <w:t>（</w:t>
      </w:r>
      <w:r>
        <w:rPr>
          <w:rFonts w:hint="eastAsia" w:hAnsi="宋体" w:cs="宋体"/>
          <w:highlight w:val="none"/>
        </w:rPr>
        <w:t>或放电影</w:t>
      </w:r>
      <w:r>
        <w:rPr>
          <w:rFonts w:hint="eastAsia" w:hAnsi="宋体" w:cs="宋体"/>
          <w:highlight w:val="none"/>
          <w:lang w:eastAsia="zh-CN"/>
        </w:rPr>
        <w:t>）</w:t>
      </w:r>
      <w:r>
        <w:rPr>
          <w:rFonts w:hint="eastAsia" w:hAnsi="宋体" w:cs="宋体"/>
          <w:highlight w:val="none"/>
        </w:rPr>
        <w:t>。各户则广邀亲戚朋友前来做客，为时3天，合家团圆，全族聚会，各姓亲朋相庆，热闹非凡，胜于过春节、元宵。一姓过节，百家联欢。姓氏节流行至今，日期依旧，内容简化。</w:t>
      </w:r>
    </w:p>
    <w:p w14:paraId="4055FCF7">
      <w:pPr>
        <w:pStyle w:val="4"/>
        <w:bidi w:val="0"/>
        <w:rPr>
          <w:rFonts w:hint="eastAsia"/>
          <w:highlight w:val="none"/>
        </w:rPr>
      </w:pPr>
      <w:r>
        <w:rPr>
          <w:rFonts w:hint="eastAsia"/>
          <w:highlight w:val="none"/>
        </w:rPr>
        <w:t>【旅游景观】</w:t>
      </w:r>
    </w:p>
    <w:p w14:paraId="57C15B45">
      <w:pPr>
        <w:rPr>
          <w:rFonts w:hint="eastAsia" w:hAnsi="宋体" w:cs="宋体"/>
          <w:highlight w:val="none"/>
        </w:rPr>
      </w:pPr>
      <w:r>
        <w:rPr>
          <w:rFonts w:hint="eastAsia" w:hAnsi="宋体" w:cs="宋体"/>
          <w:highlight w:val="none"/>
        </w:rPr>
        <w:t>南雄物华天宝，人杰地灵；山川秀丽，风光旖旎。旅游资源较为丰富，尤其文物古迹甚多。珠玑古巷、梅关古道、三影千年古塔、恐龙等古生物化石、古银杏群被称为“南雄五古”，享誉海内外。南亩鱼鲜村、乌迳新田村、黄坑溪塘村、百顺黄屋城、水口篛过村古村落，人文价值颇高，先后被列为“广东省古村落”。孔江国家湿地公园、青嶂山省级自然保护区、苍石寨风景区，奇异独特，风光秀丽。坪田古银杏群景色迷人，是深秋看黄叶的好地方；帽子峰省级森林公园被誉为“小九寨沟”。还有莲开净寺、大雄禅寺佛教圣地，具有古建筑艺术和历史文化价值的广州会馆。南雄还是一块红色革命土地，是广东省重点老区县（市）之一。尤其第二次国内革命战争时期，南雄属中央苏区县之一，是中国工农红军长征经过的地方。毛泽东、朱德、彭德怀多次率部转战南雄，领导和指挥著名的“水口战役”。项英、陈毅等在油山一带领导粤赣边三年游击战争。抗日战争时期中共广东省委旧址瑶坑、油山革命纪念碑、水口战役纪念公园等是爱国主义教育基地，具有红色旅游特色。</w:t>
      </w:r>
    </w:p>
    <w:p w14:paraId="3CE108EB">
      <w:pPr>
        <w:pStyle w:val="4"/>
        <w:bidi w:val="0"/>
        <w:rPr>
          <w:rFonts w:hint="eastAsia"/>
          <w:highlight w:val="none"/>
        </w:rPr>
      </w:pPr>
      <w:r>
        <w:rPr>
          <w:rFonts w:hint="eastAsia"/>
          <w:highlight w:val="none"/>
        </w:rPr>
        <w:t>【南雄黄烟】</w:t>
      </w:r>
    </w:p>
    <w:p w14:paraId="7D388209">
      <w:pPr>
        <w:rPr>
          <w:rFonts w:hint="eastAsia" w:hAnsi="宋体" w:cs="宋体"/>
          <w:highlight w:val="none"/>
        </w:rPr>
      </w:pPr>
      <w:r>
        <w:rPr>
          <w:rFonts w:hint="eastAsia" w:hAnsi="宋体" w:cs="宋体"/>
          <w:highlight w:val="none"/>
        </w:rPr>
        <w:t>南雄烟叶色金黄，俗称黄烟。南雄的土质、气候适宜烟草生长，产出优质烟叶。南雄黄烟以叶色金黄、烟味醇香、易燃灰白三大特性而素负盛名，为当今各大烟厂生产卷烟必需之原料。烟草种植自清初由闽南传入，清道光四年《直隶南雄州志》记载：“烟叶，近四五十年日渐增植，每年货银约百万两，其利几与禾稻等”。1933年（民国22年）南雄烟叶产量3000吨，新中国成立后，黄烟生产在起伏中逐步发展，烟叶成为最大宗的农业商品，地方财政收入的支柱，烟区农民主要经济来源。1996年南雄被授予“中国黄烟之乡”称号，1999年南雄列为全国六大国际型优质烤烟生产基地之一和全国名优晒烟基地。2015年黄烟种植6109公顷，收购烟叶1</w:t>
      </w:r>
      <w:r>
        <w:rPr>
          <w:rFonts w:hint="eastAsia" w:ascii="MingLiU_HKSCS" w:hAnsi="MingLiU_HKSCS" w:eastAsia="MingLiU_HKSCS" w:cs="MingLiU_HKSCS"/>
          <w:highlight w:val="none"/>
        </w:rPr>
        <w:t>.</w:t>
      </w:r>
      <w:r>
        <w:rPr>
          <w:rFonts w:hint="eastAsia" w:hAnsi="宋体" w:cs="宋体"/>
          <w:highlight w:val="none"/>
        </w:rPr>
        <w:t>32万吨，收购资金3</w:t>
      </w:r>
      <w:r>
        <w:rPr>
          <w:rFonts w:hint="eastAsia" w:ascii="MingLiU_HKSCS" w:hAnsi="MingLiU_HKSCS" w:eastAsia="MingLiU_HKSCS" w:cs="MingLiU_HKSCS"/>
          <w:highlight w:val="none"/>
        </w:rPr>
        <w:t>.</w:t>
      </w:r>
      <w:r>
        <w:rPr>
          <w:rFonts w:hint="eastAsia" w:hAnsi="宋体" w:cs="宋体"/>
          <w:highlight w:val="none"/>
        </w:rPr>
        <w:t>25亿元。</w:t>
      </w:r>
    </w:p>
    <w:p w14:paraId="47646F47">
      <w:pPr>
        <w:pStyle w:val="3"/>
        <w:bidi w:val="0"/>
        <w:rPr>
          <w:rFonts w:hint="eastAsia"/>
          <w:highlight w:val="none"/>
        </w:rPr>
      </w:pPr>
      <w:r>
        <w:rPr>
          <w:rFonts w:hint="eastAsia"/>
          <w:highlight w:val="none"/>
        </w:rPr>
        <w:t>社会·经济</w:t>
      </w:r>
    </w:p>
    <w:p w14:paraId="6A1383C9">
      <w:pPr>
        <w:pStyle w:val="4"/>
        <w:bidi w:val="0"/>
        <w:rPr>
          <w:rFonts w:hint="eastAsia"/>
          <w:highlight w:val="none"/>
        </w:rPr>
      </w:pPr>
      <w:r>
        <w:rPr>
          <w:rFonts w:hint="eastAsia"/>
          <w:highlight w:val="none"/>
        </w:rPr>
        <w:t>【经济发展状况】</w:t>
      </w:r>
    </w:p>
    <w:p w14:paraId="430A8724">
      <w:pPr>
        <w:rPr>
          <w:rFonts w:hint="eastAsia" w:hAnsi="宋体" w:cs="宋体"/>
          <w:highlight w:val="none"/>
        </w:rPr>
      </w:pPr>
      <w:r>
        <w:rPr>
          <w:rFonts w:hint="eastAsia" w:hAnsi="宋体" w:cs="宋体"/>
          <w:highlight w:val="none"/>
        </w:rPr>
        <w:t>2015年，南雄市生产总值125</w:t>
      </w:r>
      <w:r>
        <w:rPr>
          <w:rFonts w:hint="eastAsia" w:ascii="MingLiU_HKSCS" w:hAnsi="MingLiU_HKSCS" w:eastAsia="MingLiU_HKSCS" w:cs="MingLiU_HKSCS"/>
          <w:highlight w:val="none"/>
        </w:rPr>
        <w:t>.</w:t>
      </w:r>
      <w:r>
        <w:rPr>
          <w:rFonts w:hint="eastAsia" w:hAnsi="宋体" w:cs="宋体"/>
          <w:highlight w:val="none"/>
        </w:rPr>
        <w:t>05亿元，比上年增长10</w:t>
      </w:r>
      <w:r>
        <w:rPr>
          <w:rFonts w:hint="eastAsia" w:ascii="MingLiU_HKSCS" w:hAnsi="MingLiU_HKSCS" w:eastAsia="MingLiU_HKSCS" w:cs="MingLiU_HKSCS"/>
          <w:highlight w:val="none"/>
        </w:rPr>
        <w:t>.</w:t>
      </w:r>
      <w:r>
        <w:rPr>
          <w:rFonts w:hint="eastAsia" w:hAnsi="宋体" w:cs="宋体"/>
          <w:highlight w:val="none"/>
        </w:rPr>
        <w:t>2%。其中；第一产业增加值为25</w:t>
      </w:r>
      <w:r>
        <w:rPr>
          <w:rFonts w:hint="eastAsia" w:ascii="MingLiU_HKSCS" w:hAnsi="MingLiU_HKSCS" w:eastAsia="MingLiU_HKSCS" w:cs="MingLiU_HKSCS"/>
          <w:highlight w:val="none"/>
        </w:rPr>
        <w:t>.</w:t>
      </w:r>
      <w:r>
        <w:rPr>
          <w:rFonts w:hint="eastAsia" w:hAnsi="宋体" w:cs="宋体"/>
          <w:highlight w:val="none"/>
        </w:rPr>
        <w:t>9亿元，增长4</w:t>
      </w:r>
      <w:r>
        <w:rPr>
          <w:rFonts w:hint="eastAsia" w:ascii="MingLiU_HKSCS" w:hAnsi="MingLiU_HKSCS" w:eastAsia="MingLiU_HKSCS" w:cs="MingLiU_HKSCS"/>
          <w:highlight w:val="none"/>
        </w:rPr>
        <w:t>.</w:t>
      </w:r>
      <w:r>
        <w:rPr>
          <w:rFonts w:hint="eastAsia" w:hAnsi="宋体" w:cs="宋体"/>
          <w:highlight w:val="none"/>
        </w:rPr>
        <w:t>2%；第二产业增加值为50</w:t>
      </w:r>
      <w:r>
        <w:rPr>
          <w:rFonts w:hint="eastAsia" w:ascii="MingLiU_HKSCS" w:hAnsi="MingLiU_HKSCS" w:eastAsia="MingLiU_HKSCS" w:cs="MingLiU_HKSCS"/>
          <w:highlight w:val="none"/>
        </w:rPr>
        <w:t>.</w:t>
      </w:r>
      <w:r>
        <w:rPr>
          <w:rFonts w:hint="eastAsia" w:hAnsi="宋体" w:cs="宋体"/>
          <w:highlight w:val="none"/>
        </w:rPr>
        <w:t>14亿元，增长15</w:t>
      </w:r>
      <w:r>
        <w:rPr>
          <w:rFonts w:hint="eastAsia" w:ascii="MingLiU_HKSCS" w:hAnsi="MingLiU_HKSCS" w:eastAsia="MingLiU_HKSCS" w:cs="MingLiU_HKSCS"/>
          <w:highlight w:val="none"/>
        </w:rPr>
        <w:t>.</w:t>
      </w:r>
      <w:r>
        <w:rPr>
          <w:rFonts w:hint="eastAsia" w:hAnsi="宋体" w:cs="宋体"/>
          <w:highlight w:val="none"/>
        </w:rPr>
        <w:t>4%；工业增加值41</w:t>
      </w:r>
      <w:r>
        <w:rPr>
          <w:rFonts w:hint="eastAsia" w:ascii="MingLiU_HKSCS" w:hAnsi="MingLiU_HKSCS" w:eastAsia="MingLiU_HKSCS" w:cs="MingLiU_HKSCS"/>
          <w:highlight w:val="none"/>
        </w:rPr>
        <w:t>.</w:t>
      </w:r>
      <w:r>
        <w:rPr>
          <w:rFonts w:hint="eastAsia" w:hAnsi="宋体" w:cs="宋体"/>
          <w:highlight w:val="none"/>
        </w:rPr>
        <w:t>07亿元，增长17</w:t>
      </w:r>
      <w:r>
        <w:rPr>
          <w:rFonts w:hint="eastAsia" w:ascii="MingLiU_HKSCS" w:hAnsi="MingLiU_HKSCS" w:eastAsia="MingLiU_HKSCS" w:cs="MingLiU_HKSCS"/>
          <w:highlight w:val="none"/>
        </w:rPr>
        <w:t>.</w:t>
      </w:r>
      <w:r>
        <w:rPr>
          <w:rFonts w:hint="eastAsia" w:hAnsi="宋体" w:cs="宋体"/>
          <w:highlight w:val="none"/>
        </w:rPr>
        <w:t>8%；第三产业增加值为49亿元，增长7</w:t>
      </w:r>
      <w:r>
        <w:rPr>
          <w:rFonts w:hint="eastAsia" w:ascii="MingLiU_HKSCS" w:hAnsi="MingLiU_HKSCS" w:eastAsia="MingLiU_HKSCS" w:cs="MingLiU_HKSCS"/>
          <w:highlight w:val="none"/>
        </w:rPr>
        <w:t>.</w:t>
      </w:r>
      <w:r>
        <w:rPr>
          <w:rFonts w:hint="eastAsia" w:hAnsi="宋体" w:cs="宋体"/>
          <w:highlight w:val="none"/>
        </w:rPr>
        <w:t>8%。人均地区生产总值38009元，增长9</w:t>
      </w:r>
      <w:r>
        <w:rPr>
          <w:rFonts w:hint="eastAsia" w:ascii="MingLiU_HKSCS" w:hAnsi="MingLiU_HKSCS" w:eastAsia="MingLiU_HKSCS" w:cs="MingLiU_HKSCS"/>
          <w:highlight w:val="none"/>
        </w:rPr>
        <w:t>.</w:t>
      </w:r>
      <w:r>
        <w:rPr>
          <w:rFonts w:hint="eastAsia" w:hAnsi="宋体" w:cs="宋体"/>
          <w:highlight w:val="none"/>
        </w:rPr>
        <w:t>5%。规模以上工业总产值145</w:t>
      </w:r>
      <w:r>
        <w:rPr>
          <w:rFonts w:hint="eastAsia" w:ascii="MingLiU_HKSCS" w:hAnsi="MingLiU_HKSCS" w:eastAsia="MingLiU_HKSCS" w:cs="MingLiU_HKSCS"/>
          <w:highlight w:val="none"/>
        </w:rPr>
        <w:t>.</w:t>
      </w:r>
      <w:r>
        <w:rPr>
          <w:rFonts w:hint="eastAsia" w:hAnsi="宋体" w:cs="宋体"/>
          <w:highlight w:val="none"/>
        </w:rPr>
        <w:t>37亿元，增长20</w:t>
      </w:r>
      <w:r>
        <w:rPr>
          <w:rFonts w:hint="eastAsia" w:ascii="MingLiU_HKSCS" w:hAnsi="MingLiU_HKSCS" w:eastAsia="MingLiU_HKSCS" w:cs="MingLiU_HKSCS"/>
          <w:highlight w:val="none"/>
        </w:rPr>
        <w:t>.</w:t>
      </w:r>
      <w:r>
        <w:rPr>
          <w:rFonts w:hint="eastAsia" w:hAnsi="宋体" w:cs="宋体"/>
          <w:highlight w:val="none"/>
        </w:rPr>
        <w:t>4%。农林牧渔业总产值41</w:t>
      </w:r>
      <w:r>
        <w:rPr>
          <w:rFonts w:hint="eastAsia" w:ascii="MingLiU_HKSCS" w:hAnsi="MingLiU_HKSCS" w:eastAsia="MingLiU_HKSCS" w:cs="MingLiU_HKSCS"/>
          <w:highlight w:val="none"/>
        </w:rPr>
        <w:t>.</w:t>
      </w:r>
      <w:r>
        <w:rPr>
          <w:rFonts w:hint="eastAsia" w:hAnsi="宋体" w:cs="宋体"/>
          <w:highlight w:val="none"/>
        </w:rPr>
        <w:t>92亿元，增长4%。固定资产投资106</w:t>
      </w:r>
      <w:r>
        <w:rPr>
          <w:rFonts w:hint="eastAsia" w:ascii="MingLiU_HKSCS" w:hAnsi="MingLiU_HKSCS" w:eastAsia="MingLiU_HKSCS" w:cs="MingLiU_HKSCS"/>
          <w:highlight w:val="none"/>
        </w:rPr>
        <w:t>.</w:t>
      </w:r>
      <w:r>
        <w:rPr>
          <w:rFonts w:hint="eastAsia" w:hAnsi="宋体" w:cs="宋体"/>
          <w:highlight w:val="none"/>
        </w:rPr>
        <w:t>9亿元，增长16</w:t>
      </w:r>
      <w:r>
        <w:rPr>
          <w:rFonts w:hint="eastAsia" w:ascii="MingLiU_HKSCS" w:hAnsi="MingLiU_HKSCS" w:eastAsia="MingLiU_HKSCS" w:cs="MingLiU_HKSCS"/>
          <w:highlight w:val="none"/>
        </w:rPr>
        <w:t>.</w:t>
      </w:r>
      <w:r>
        <w:rPr>
          <w:rFonts w:hint="eastAsia" w:hAnsi="宋体" w:cs="宋体"/>
          <w:highlight w:val="none"/>
        </w:rPr>
        <w:t>4%。社会消费品零售总额45</w:t>
      </w:r>
      <w:r>
        <w:rPr>
          <w:rFonts w:hint="eastAsia" w:ascii="MingLiU_HKSCS" w:hAnsi="MingLiU_HKSCS" w:eastAsia="MingLiU_HKSCS" w:cs="MingLiU_HKSCS"/>
          <w:highlight w:val="none"/>
        </w:rPr>
        <w:t>.</w:t>
      </w:r>
      <w:r>
        <w:rPr>
          <w:rFonts w:hint="eastAsia" w:hAnsi="宋体" w:cs="宋体"/>
          <w:highlight w:val="none"/>
        </w:rPr>
        <w:t>63亿元，增长11</w:t>
      </w:r>
      <w:r>
        <w:rPr>
          <w:rFonts w:hint="eastAsia" w:ascii="MingLiU_HKSCS" w:hAnsi="MingLiU_HKSCS" w:eastAsia="MingLiU_HKSCS" w:cs="MingLiU_HKSCS"/>
          <w:highlight w:val="none"/>
        </w:rPr>
        <w:t>.</w:t>
      </w:r>
      <w:r>
        <w:rPr>
          <w:rFonts w:hint="eastAsia" w:hAnsi="宋体" w:cs="宋体"/>
          <w:highlight w:val="none"/>
        </w:rPr>
        <w:t>1%。外贸出口总额4565</w:t>
      </w:r>
      <w:r>
        <w:rPr>
          <w:rFonts w:hint="eastAsia" w:ascii="MingLiU_HKSCS" w:hAnsi="MingLiU_HKSCS" w:eastAsia="MingLiU_HKSCS" w:cs="MingLiU_HKSCS"/>
          <w:highlight w:val="none"/>
        </w:rPr>
        <w:t>.</w:t>
      </w:r>
      <w:r>
        <w:rPr>
          <w:rFonts w:hint="eastAsia" w:hAnsi="宋体" w:cs="宋体"/>
          <w:highlight w:val="none"/>
        </w:rPr>
        <w:t>7万美元，增长15</w:t>
      </w:r>
      <w:r>
        <w:rPr>
          <w:rFonts w:hint="eastAsia" w:ascii="MingLiU_HKSCS" w:hAnsi="MingLiU_HKSCS" w:eastAsia="MingLiU_HKSCS" w:cs="MingLiU_HKSCS"/>
          <w:highlight w:val="none"/>
        </w:rPr>
        <w:t>.</w:t>
      </w:r>
      <w:r>
        <w:rPr>
          <w:rFonts w:hint="eastAsia" w:hAnsi="宋体" w:cs="宋体"/>
          <w:highlight w:val="none"/>
        </w:rPr>
        <w:t>6%。实际利用外资804万美元，下降67%。地方公共财政预算收入6亿元，增长7</w:t>
      </w:r>
      <w:r>
        <w:rPr>
          <w:rFonts w:hint="eastAsia" w:ascii="MingLiU_HKSCS" w:hAnsi="MingLiU_HKSCS" w:eastAsia="MingLiU_HKSCS" w:cs="MingLiU_HKSCS"/>
          <w:highlight w:val="none"/>
        </w:rPr>
        <w:t>.</w:t>
      </w:r>
      <w:r>
        <w:rPr>
          <w:rFonts w:hint="eastAsia" w:hAnsi="宋体" w:cs="宋体"/>
          <w:highlight w:val="none"/>
        </w:rPr>
        <w:t>6%。城镇居民人均可支配收入20455</w:t>
      </w:r>
      <w:r>
        <w:rPr>
          <w:rFonts w:hint="eastAsia" w:ascii="MingLiU_HKSCS" w:hAnsi="MingLiU_HKSCS" w:eastAsia="MingLiU_HKSCS" w:cs="MingLiU_HKSCS"/>
          <w:highlight w:val="none"/>
        </w:rPr>
        <w:t>.</w:t>
      </w:r>
      <w:r>
        <w:rPr>
          <w:rFonts w:hint="eastAsia" w:hAnsi="宋体" w:cs="宋体"/>
          <w:highlight w:val="none"/>
        </w:rPr>
        <w:t>7元，增长9</w:t>
      </w:r>
      <w:r>
        <w:rPr>
          <w:rFonts w:hint="eastAsia" w:ascii="MingLiU_HKSCS" w:hAnsi="MingLiU_HKSCS" w:eastAsia="MingLiU_HKSCS" w:cs="MingLiU_HKSCS"/>
          <w:highlight w:val="none"/>
        </w:rPr>
        <w:t>.</w:t>
      </w:r>
      <w:r>
        <w:rPr>
          <w:rFonts w:hint="eastAsia" w:hAnsi="宋体" w:cs="宋体"/>
          <w:highlight w:val="none"/>
        </w:rPr>
        <w:t>8%。农村居民人均可支配收入11106</w:t>
      </w:r>
      <w:r>
        <w:rPr>
          <w:rFonts w:hint="eastAsia" w:ascii="MingLiU_HKSCS" w:hAnsi="MingLiU_HKSCS" w:eastAsia="MingLiU_HKSCS" w:cs="MingLiU_HKSCS"/>
          <w:highlight w:val="none"/>
        </w:rPr>
        <w:t>.</w:t>
      </w:r>
      <w:r>
        <w:rPr>
          <w:rFonts w:hint="eastAsia" w:hAnsi="宋体" w:cs="宋体"/>
          <w:highlight w:val="none"/>
        </w:rPr>
        <w:t>8元，增长10</w:t>
      </w:r>
      <w:r>
        <w:rPr>
          <w:rFonts w:hint="eastAsia" w:ascii="MingLiU_HKSCS" w:hAnsi="MingLiU_HKSCS" w:eastAsia="MingLiU_HKSCS" w:cs="MingLiU_HKSCS"/>
          <w:highlight w:val="none"/>
        </w:rPr>
        <w:t>.</w:t>
      </w:r>
      <w:r>
        <w:rPr>
          <w:rFonts w:hint="eastAsia" w:hAnsi="宋体" w:cs="宋体"/>
          <w:highlight w:val="none"/>
        </w:rPr>
        <w:t>9%。</w:t>
      </w:r>
    </w:p>
    <w:p w14:paraId="61A23E72">
      <w:pPr>
        <w:pStyle w:val="4"/>
        <w:bidi w:val="0"/>
        <w:rPr>
          <w:rFonts w:hint="eastAsia"/>
          <w:highlight w:val="none"/>
        </w:rPr>
      </w:pPr>
      <w:r>
        <w:rPr>
          <w:rFonts w:hint="eastAsia"/>
          <w:highlight w:val="none"/>
        </w:rPr>
        <w:t>【全国劳动模范李步荣】</w:t>
      </w:r>
    </w:p>
    <w:p w14:paraId="1785DACB">
      <w:pPr>
        <w:rPr>
          <w:rFonts w:hint="eastAsia" w:hAnsi="宋体" w:cs="宋体"/>
          <w:highlight w:val="none"/>
        </w:rPr>
      </w:pPr>
      <w:r>
        <w:rPr>
          <w:rFonts w:hint="eastAsia" w:hAnsi="宋体" w:cs="宋体"/>
          <w:highlight w:val="none"/>
        </w:rPr>
        <w:t>李步荣1961年生，汉族，广东南雄市人，现任南雄市浈江电业有限公司生产技术组组长。扎根基层38年，任劳任怨，刻苦钻研，好学上进，由一名普通技术员成长为公司技术骨干，并充分发挥其技术特长，为公司生产、技改、增效等作出突出贡献。在他的主持下，10多年来公司着手完成30多座电站水轮机、发电机的技术改造。28台500千瓦以下机组可控硅励磁系统升级；10多千米10—35千伏上网输电线路优化，提高公司设备完好率和运行效率，取得明显经济效益。顾全大局，勇于担当，体现共产党员无私情怀。2008年春节期间，南雄遭遇50年一遇特大冰灾，造成全市高寒地带输电线路全面停电，其中，公司35千伏苍石、小流坑线路，10千伏百顺、大坪线路也遭受严重倒杆、断线等。为尽快恢复供电，公司在无外援情况下，李步荣带头放弃春节假期，带领班组成员现场抢修，冒着寒冷冰雪天气，起早摸黑在工作现场竖杆、蹬杆、拉线、砍伐线路，吃睡在工地。经过半个多月努力，不但恢复公司电站发电，同时还带领公司抢修队一起帮助周边私营小水电站百顺上南山、下南山等2座电站抢修其供电35千伏输电线路2</w:t>
      </w:r>
      <w:r>
        <w:rPr>
          <w:rFonts w:hint="eastAsia" w:ascii="MingLiU_HKSCS" w:hAnsi="MingLiU_HKSCS" w:eastAsia="MingLiU_HKSCS" w:cs="MingLiU_HKSCS"/>
          <w:highlight w:val="none"/>
        </w:rPr>
        <w:t>.</w:t>
      </w:r>
      <w:r>
        <w:rPr>
          <w:rFonts w:hint="eastAsia" w:hAnsi="宋体" w:cs="宋体"/>
          <w:highlight w:val="none"/>
        </w:rPr>
        <w:t>6公里，节省抢修费3万多元，比预期提前半个月供发电，确保当地村民用电。2015年5月，李步荣被评为全国劳动模范。</w:t>
      </w:r>
    </w:p>
    <w:p w14:paraId="602D2FE2">
      <w:pPr>
        <w:pStyle w:val="4"/>
        <w:bidi w:val="0"/>
        <w:rPr>
          <w:rFonts w:hint="eastAsia"/>
          <w:highlight w:val="none"/>
        </w:rPr>
      </w:pPr>
      <w:r>
        <w:rPr>
          <w:rFonts w:hint="eastAsia"/>
          <w:highlight w:val="none"/>
        </w:rPr>
        <w:t>【南雄被列入国家电子商务进农村综合示范县】</w:t>
      </w:r>
    </w:p>
    <w:p w14:paraId="1B3C3F32">
      <w:pPr>
        <w:rPr>
          <w:rFonts w:hint="eastAsia" w:hAnsi="宋体" w:cs="宋体"/>
          <w:highlight w:val="none"/>
        </w:rPr>
      </w:pPr>
      <w:r>
        <w:rPr>
          <w:rFonts w:hint="eastAsia" w:hAnsi="宋体" w:cs="宋体"/>
          <w:highlight w:val="none"/>
        </w:rPr>
        <w:t>5月，南雄被财政部、商务部列入2015年电商进农村综合示范工作200个示范县之一，2015年获得国家商务部1000万元该项目扶持资金。随着淘宝电商兴起，南雄抢抓机遇，利用南雄丰富农产品资源和交通区位优势，鼓励商家逐步加入电商行业，通过网络渠道将铜勺饼、猪糕团、板鸭、白果、香菇、腐竹等具有南雄特色产品销售出去。邮政部门建立南雄第一个“南雄电子商务创业园”，已有8家网商签约进驻。较为完备的电子商务通讯网络、迅速发展的农村物流系统、南雄市丰富的农土特产品，都为南雄电商提供发展利好。2014年累计投入5000多万元开展网络基础建设，建成4G基站64个、3G基站88个，实现22817户宽带覆盖，完成19个圩镇光网改造升级覆盖。</w:t>
      </w:r>
    </w:p>
    <w:p w14:paraId="25CA2261">
      <w:pPr>
        <w:pStyle w:val="4"/>
        <w:bidi w:val="0"/>
        <w:rPr>
          <w:rFonts w:hint="eastAsia"/>
          <w:highlight w:val="none"/>
        </w:rPr>
      </w:pPr>
      <w:r>
        <w:rPr>
          <w:rFonts w:hint="eastAsia"/>
          <w:highlight w:val="none"/>
        </w:rPr>
        <w:t>【全国文明村镇珠玑镇】</w:t>
      </w:r>
    </w:p>
    <w:p w14:paraId="1E5828B6">
      <w:pPr>
        <w:rPr>
          <w:rFonts w:hint="eastAsia" w:hAnsi="宋体" w:cs="宋体"/>
          <w:highlight w:val="none"/>
        </w:rPr>
      </w:pPr>
      <w:r>
        <w:rPr>
          <w:rFonts w:hint="eastAsia" w:hAnsi="宋体" w:cs="宋体"/>
          <w:highlight w:val="none"/>
        </w:rPr>
        <w:t>珠玑镇位于市区东北部，是广东省中心镇，距市区9公里，辖22个村和1个居委会，辖区面积197</w:t>
      </w:r>
      <w:r>
        <w:rPr>
          <w:rFonts w:hint="eastAsia" w:ascii="MingLiU_HKSCS" w:hAnsi="MingLiU_HKSCS" w:eastAsia="MingLiU_HKSCS" w:cs="MingLiU_HKSCS"/>
          <w:highlight w:val="none"/>
        </w:rPr>
        <w:t>.</w:t>
      </w:r>
      <w:r>
        <w:rPr>
          <w:rFonts w:hint="eastAsia" w:hAnsi="宋体" w:cs="宋体"/>
          <w:highlight w:val="none"/>
        </w:rPr>
        <w:t>52平方公里，人口44372人。韶赣铁路、韶赣高速公路和国道G323线公路贯通全境，辖区人文历史悠久，文化底蕴深厚，旅游资源独特，被誉为“广府人故居”的珠玑古巷、“红色景区”梅关古道、“祈福圣地”大雄禅寺等旅游景点闻名遐迩。珠玑镇是全国重点镇，是南雄市新型城镇化建设重点和龙头，科学规划，在城镇规划建设制定《珠玑镇中心总体规划》，镇村建设规划合理布局，扩容提质，推进城镇有序开发建设，加强基础配套设施和公共服务设施建设。实施珠玑古巷主街道改造工程。古巷周边楼房进行古色古香、修旧如旧立面改造。开展孝廉文化进社区、孝廉文化进校园、孝廉文化进农家等活动，祟文重教，尊老爱幼，蔚然成风。珠玑镇作为中原文化与岭南文化相互融合的重要驿站，民俗风情特色鲜明、民间艺术丰富多彩。其中有珠玑村龙船歌、珠玑飘色，叟里元九十九节龙，洋湖村舞青草狮、鲤鱼跳龙门、闹春牛、里东村双狮舞龙等，成立珠玑镇民间艺术保护小组，制定长效保障机制，组织成立多个民间艺术团体，如珠玑古巷民间艺术协会、叟里元民间艺术团、洋湖村民间艺术队等。民间音乐《龙船歌》与民间文学《珠玑巷人南迁传说》成功申报为省级非物质文化遗产项目。在珠玑巷建立龙船歌传习所，珠玑镇在各村（社区）建立村级文化室，文化建设卓有成效。实施乡村清洁工程，建垃圾屋和垃圾池52个，在道路沿线及人口聚集处放置330个垃圾桶，购置3辆垃圾清运车，9台盘式拖拉机，开展环境卫生整治工作，卫生保洁工作实现常态化管理。各村主干道路和公路卫生整洁，公共场所干净，村容村貌焕然一新。2015年5月珠玑镇荣获“全国文明村镇”称号。</w:t>
      </w:r>
    </w:p>
    <w:p w14:paraId="5E3A9225">
      <w:pPr>
        <w:pStyle w:val="4"/>
        <w:bidi w:val="0"/>
        <w:rPr>
          <w:rFonts w:hint="eastAsia"/>
          <w:highlight w:val="none"/>
        </w:rPr>
      </w:pPr>
      <w:r>
        <w:rPr>
          <w:rFonts w:hint="eastAsia"/>
          <w:highlight w:val="none"/>
        </w:rPr>
        <w:t>【华电南雄热电联产工程奠基】</w:t>
      </w:r>
    </w:p>
    <w:p w14:paraId="534A92A5">
      <w:pPr>
        <w:rPr>
          <w:rFonts w:hint="eastAsia" w:hAnsi="宋体" w:cs="宋体"/>
          <w:highlight w:val="none"/>
        </w:rPr>
      </w:pPr>
      <w:r>
        <w:rPr>
          <w:rFonts w:hint="eastAsia" w:hAnsi="宋体" w:cs="宋体"/>
          <w:highlight w:val="none"/>
        </w:rPr>
        <w:t>12月8日，华电南雄热电联产工程项目奠基，此次奠基为华电南雄热电一期工程，该项目为华电南雄“上大压小”热电联产工程。项目厂址位于南雄市全安镇，规划总用地45公顷，一期工程计划投资约35亿元，预计2017年底可实现投产。项目投产后，实现年产值约20亿元，利税约2亿元。对南雄将起到积极的能源支撑作用，可有效带动当地运输、建材等行业发展，同时提供3000多个就业岗位。</w:t>
      </w:r>
    </w:p>
    <w:p w14:paraId="00FACCC4">
      <w:pPr>
        <w:pStyle w:val="4"/>
        <w:bidi w:val="0"/>
        <w:rPr>
          <w:rFonts w:hint="eastAsia"/>
          <w:highlight w:val="none"/>
        </w:rPr>
      </w:pPr>
      <w:r>
        <w:rPr>
          <w:rFonts w:hint="eastAsia"/>
          <w:highlight w:val="none"/>
        </w:rPr>
        <w:t>【南雄犁牛坪风电项目开工】</w:t>
      </w:r>
    </w:p>
    <w:p w14:paraId="3ABF67E2">
      <w:pPr>
        <w:rPr>
          <w:rFonts w:hint="eastAsia" w:hAnsi="宋体" w:cs="宋体"/>
          <w:highlight w:val="none"/>
        </w:rPr>
      </w:pPr>
      <w:r>
        <w:rPr>
          <w:rFonts w:hint="eastAsia" w:hAnsi="宋体" w:cs="宋体"/>
          <w:highlight w:val="none"/>
        </w:rPr>
        <w:t>中国能源建设股份有限公司投资分公司在南雄投资开发风力发电项目——犁牛坪风电项目于11月3日上午举行开工仪式。项目位于邓坊镇和油山镇西北方向山脉之上，由中国能源建设集团投资建设，总投资4</w:t>
      </w:r>
      <w:r>
        <w:rPr>
          <w:rFonts w:hint="eastAsia" w:ascii="MingLiU_HKSCS" w:hAnsi="MingLiU_HKSCS" w:eastAsia="MingLiU_HKSCS" w:cs="MingLiU_HKSCS"/>
          <w:highlight w:val="none"/>
        </w:rPr>
        <w:t>.</w:t>
      </w:r>
      <w:r>
        <w:rPr>
          <w:rFonts w:hint="eastAsia" w:hAnsi="宋体" w:cs="宋体"/>
          <w:highlight w:val="none"/>
        </w:rPr>
        <w:t>3亿，将建设25台2兆瓦风机，总装机容量50兆瓦。项目建成后，每年将为南雄提供1亿度清洁能源，1000万元纳税和节能减排60万吨二氧化碳。标志着南雄市在深入贯彻落实广东省循环经济发展规划，立足县域资源优势，抢先发展新型能源产业，着力打造粤北新能源基地征程上迈出跨越式一步。</w:t>
      </w:r>
    </w:p>
    <w:p w14:paraId="77D8ECAF">
      <w:pPr>
        <w:pStyle w:val="4"/>
        <w:bidi w:val="0"/>
        <w:rPr>
          <w:rFonts w:hint="eastAsia"/>
          <w:highlight w:val="none"/>
        </w:rPr>
      </w:pPr>
      <w:r>
        <w:rPr>
          <w:rFonts w:hint="eastAsia"/>
          <w:highlight w:val="none"/>
        </w:rPr>
        <w:t>【基础设施不断完善】</w:t>
      </w:r>
    </w:p>
    <w:p w14:paraId="6A55B43D">
      <w:pPr>
        <w:rPr>
          <w:rFonts w:hint="eastAsia" w:hAnsi="宋体" w:cs="宋体"/>
          <w:highlight w:val="none"/>
        </w:rPr>
      </w:pPr>
      <w:r>
        <w:rPr>
          <w:rFonts w:hint="eastAsia" w:hAnsi="宋体" w:cs="宋体"/>
          <w:highlight w:val="none"/>
        </w:rPr>
        <w:t>2015年，国道G323线小梅关至头塘铺段升级改造基本完成，富俚至中里洞、主田旅游大道等公路建设快速推进，新建城乡道路近百公里；电网完成投资5300万元；农田水利设施完成投资2</w:t>
      </w:r>
      <w:r>
        <w:rPr>
          <w:rFonts w:hint="eastAsia" w:ascii="MingLiU_HKSCS" w:hAnsi="MingLiU_HKSCS" w:eastAsia="MingLiU_HKSCS" w:cs="MingLiU_HKSCS"/>
          <w:highlight w:val="none"/>
        </w:rPr>
        <w:t>.</w:t>
      </w:r>
      <w:r>
        <w:rPr>
          <w:rFonts w:hint="eastAsia" w:hAnsi="宋体" w:cs="宋体"/>
          <w:highlight w:val="none"/>
        </w:rPr>
        <w:t>3亿元，推进灌区节水改造、中小河流治理等36宗水利项目。城区时代广场投入使用，南雄建材大市场竣工，雄州公园完成6</w:t>
      </w:r>
      <w:r>
        <w:rPr>
          <w:rFonts w:hint="eastAsia" w:ascii="MingLiU_HKSCS" w:hAnsi="MingLiU_HKSCS" w:eastAsia="MingLiU_HKSCS" w:cs="MingLiU_HKSCS"/>
          <w:highlight w:val="none"/>
        </w:rPr>
        <w:t>.</w:t>
      </w:r>
      <w:r>
        <w:rPr>
          <w:rFonts w:hint="eastAsia" w:hAnsi="宋体" w:cs="宋体"/>
          <w:highlight w:val="none"/>
        </w:rPr>
        <w:t>9公里园路建设。2015年，投入1000万元，建成小公园、小广场、小运动场等“五小”场所37个。投入1300多万元，建成路灯1</w:t>
      </w:r>
      <w:r>
        <w:rPr>
          <w:rFonts w:hint="eastAsia" w:ascii="MingLiU_HKSCS" w:hAnsi="MingLiU_HKSCS" w:eastAsia="MingLiU_HKSCS" w:cs="MingLiU_HKSCS"/>
          <w:highlight w:val="none"/>
        </w:rPr>
        <w:t>.</w:t>
      </w:r>
      <w:r>
        <w:rPr>
          <w:rFonts w:hint="eastAsia" w:hAnsi="宋体" w:cs="宋体"/>
          <w:highlight w:val="none"/>
        </w:rPr>
        <w:t>3万盏，实现行政村全覆盖。</w:t>
      </w:r>
    </w:p>
    <w:p w14:paraId="53D5304B">
      <w:pPr>
        <w:pStyle w:val="4"/>
        <w:bidi w:val="0"/>
        <w:rPr>
          <w:rFonts w:hint="eastAsia"/>
          <w:highlight w:val="none"/>
        </w:rPr>
      </w:pPr>
      <w:r>
        <w:rPr>
          <w:rFonts w:hint="eastAsia"/>
          <w:highlight w:val="none"/>
        </w:rPr>
        <w:t>【环境治理力度不断加大】</w:t>
      </w:r>
    </w:p>
    <w:p w14:paraId="45DEA40D">
      <w:pPr>
        <w:rPr>
          <w:rFonts w:hint="eastAsia" w:hAnsi="宋体" w:cs="宋体"/>
          <w:highlight w:val="none"/>
        </w:rPr>
      </w:pPr>
      <w:r>
        <w:rPr>
          <w:rFonts w:hint="eastAsia" w:hAnsi="宋体" w:cs="宋体"/>
          <w:highlight w:val="none"/>
        </w:rPr>
        <w:t>2015年，建成珠玑、黄坑、乌迳3个中心镇污水处理厂和城市生活无害化垃圾填埋场，关停28家环境敏感区域养殖企业。从2013年全面开展生活垃圾综合整治，投入6000多万元，完善镇级垃圾中转站、村级垃圾池（屋）、县级无害化垃圾填埋场等建设，新建垃圾中转站18个，新建垃圾池，配备统一垃圾桶2536个，购置垃圾运输车辆72台，其中每个镇（街）配置1辆载重量为5吨垃圾清运车，54台拖拉机型垃圾运输车；其中投入1789万元用于长效机制建设，确保农村保洁员工资、补贴。</w:t>
      </w:r>
    </w:p>
    <w:p w14:paraId="7DEE8CAC">
      <w:pPr>
        <w:pStyle w:val="4"/>
        <w:bidi w:val="0"/>
        <w:rPr>
          <w:rFonts w:hint="eastAsia"/>
          <w:highlight w:val="none"/>
        </w:rPr>
      </w:pPr>
      <w:r>
        <w:rPr>
          <w:rFonts w:hint="eastAsia"/>
          <w:highlight w:val="none"/>
        </w:rPr>
        <w:t>【旅游业持续兴旺】</w:t>
      </w:r>
    </w:p>
    <w:p w14:paraId="5FC19563">
      <w:pPr>
        <w:rPr>
          <w:rFonts w:hint="eastAsia" w:hAnsi="宋体" w:cs="宋体"/>
          <w:highlight w:val="none"/>
        </w:rPr>
      </w:pPr>
      <w:r>
        <w:rPr>
          <w:rFonts w:hint="eastAsia" w:hAnsi="宋体" w:cs="宋体"/>
          <w:highlight w:val="none"/>
        </w:rPr>
        <w:t>2015年，主田两岸花博园、邓坊泉水谷漂流度假村等旅游项目建成开业，珠玑、坪田、帽子峰景区停车场及珠玑游客服务中心投入使用，形成珠玑·梅岭文化、主田生态休闲和帽子峰—坪田生态体验旅游片区。南雄市被列为全国休闲农业与乡村旅游示范县。2015年接待游客337万人次，增长21</w:t>
      </w:r>
      <w:r>
        <w:rPr>
          <w:rFonts w:hint="eastAsia" w:ascii="MingLiU_HKSCS" w:hAnsi="MingLiU_HKSCS" w:eastAsia="MingLiU_HKSCS" w:cs="MingLiU_HKSCS"/>
          <w:highlight w:val="none"/>
        </w:rPr>
        <w:t>.</w:t>
      </w:r>
      <w:r>
        <w:rPr>
          <w:rFonts w:hint="eastAsia" w:hAnsi="宋体" w:cs="宋体"/>
          <w:highlight w:val="none"/>
        </w:rPr>
        <w:t>7%；旅游总收入23</w:t>
      </w:r>
      <w:r>
        <w:rPr>
          <w:rFonts w:hint="eastAsia" w:ascii="MingLiU_HKSCS" w:hAnsi="MingLiU_HKSCS" w:eastAsia="MingLiU_HKSCS" w:cs="MingLiU_HKSCS"/>
          <w:highlight w:val="none"/>
        </w:rPr>
        <w:t>.</w:t>
      </w:r>
      <w:r>
        <w:rPr>
          <w:rFonts w:hint="eastAsia" w:hAnsi="宋体" w:cs="宋体"/>
          <w:highlight w:val="none"/>
        </w:rPr>
        <w:t>7亿元，增长24</w:t>
      </w:r>
      <w:r>
        <w:rPr>
          <w:rFonts w:hint="eastAsia" w:ascii="MingLiU_HKSCS" w:hAnsi="MingLiU_HKSCS" w:eastAsia="MingLiU_HKSCS" w:cs="MingLiU_HKSCS"/>
          <w:highlight w:val="none"/>
        </w:rPr>
        <w:t>.</w:t>
      </w:r>
      <w:r>
        <w:rPr>
          <w:rFonts w:hint="eastAsia" w:hAnsi="宋体" w:cs="宋体"/>
          <w:highlight w:val="none"/>
        </w:rPr>
        <w:t>7%。</w:t>
      </w:r>
    </w:p>
    <w:p w14:paraId="70B801FC">
      <w:pPr>
        <w:pStyle w:val="4"/>
        <w:bidi w:val="0"/>
        <w:rPr>
          <w:rFonts w:hint="eastAsia"/>
          <w:highlight w:val="none"/>
        </w:rPr>
      </w:pPr>
      <w:r>
        <w:rPr>
          <w:rFonts w:hint="eastAsia"/>
          <w:highlight w:val="none"/>
        </w:rPr>
        <w:t>【着力深化改革，发展活力不断增添】</w:t>
      </w:r>
    </w:p>
    <w:p w14:paraId="58C91168">
      <w:pPr>
        <w:rPr>
          <w:rFonts w:hint="eastAsia" w:hAnsi="宋体" w:cs="宋体"/>
          <w:highlight w:val="none"/>
        </w:rPr>
      </w:pPr>
      <w:r>
        <w:rPr>
          <w:rFonts w:hint="eastAsia" w:hAnsi="宋体" w:cs="宋体"/>
          <w:highlight w:val="none"/>
        </w:rPr>
        <w:t>2015年，完成经信、商务、市场监管等机构改革，完成全口径财政预算和公车改革，规范公务员津补贴。加强对镇（街道</w:t>
      </w:r>
      <w:r>
        <w:rPr>
          <w:rFonts w:hint="eastAsia" w:hAnsi="宋体" w:cs="宋体"/>
          <w:highlight w:val="none"/>
          <w:lang w:eastAsia="zh-CN"/>
        </w:rPr>
        <w:t>）</w:t>
      </w:r>
      <w:r>
        <w:rPr>
          <w:rFonts w:hint="eastAsia" w:hAnsi="宋体" w:cs="宋体"/>
          <w:highlight w:val="none"/>
        </w:rPr>
        <w:t>经济社会科学发展和市直单位绩效考核。成立韶关首个不动产登记中心。推行权责清单制度，调整39个市直部门6746项行政职权事项。推进商事登记制度改革，新发展各类市场经营主体1560户。</w:t>
      </w:r>
    </w:p>
    <w:p w14:paraId="0A2CE615">
      <w:pPr>
        <w:jc w:val="right"/>
        <w:rPr>
          <w:rFonts w:hint="eastAsia" w:hAnsi="宋体" w:cs="宋体"/>
          <w:highlight w:val="none"/>
        </w:rPr>
      </w:pPr>
      <w:r>
        <w:rPr>
          <w:rFonts w:hint="eastAsia" w:hAnsi="宋体" w:cs="宋体"/>
          <w:highlight w:val="none"/>
        </w:rPr>
        <w:t>（谢平）</w:t>
      </w:r>
    </w:p>
    <w:p w14:paraId="075A6946">
      <w:pPr>
        <w:pStyle w:val="2"/>
        <w:rPr>
          <w:rFonts w:hint="eastAsia"/>
          <w:highlight w:val="none"/>
        </w:rPr>
      </w:pPr>
      <w:r>
        <w:rPr>
          <w:highlight w:val="none"/>
        </w:rPr>
        <w:br w:type="page"/>
      </w:r>
      <w:r>
        <w:rPr>
          <w:rFonts w:hint="eastAsia"/>
          <w:highlight w:val="none"/>
        </w:rPr>
        <w:t>中共南雄市委员会</w:t>
      </w:r>
    </w:p>
    <w:p w14:paraId="707CB642">
      <w:pPr>
        <w:pStyle w:val="3"/>
        <w:bidi w:val="0"/>
        <w:rPr>
          <w:rFonts w:hint="eastAsia"/>
          <w:highlight w:val="none"/>
        </w:rPr>
      </w:pPr>
      <w:r>
        <w:rPr>
          <w:rFonts w:hint="eastAsia"/>
          <w:highlight w:val="none"/>
        </w:rPr>
        <w:t>综述</w:t>
      </w:r>
    </w:p>
    <w:p w14:paraId="00A24CE1">
      <w:pPr>
        <w:rPr>
          <w:rFonts w:hint="eastAsia" w:hAnsi="宋体" w:cs="宋体"/>
          <w:highlight w:val="none"/>
        </w:rPr>
      </w:pPr>
      <w:r>
        <w:rPr>
          <w:rFonts w:hint="eastAsia" w:hAnsi="宋体" w:cs="宋体"/>
          <w:highlight w:val="none"/>
        </w:rPr>
        <w:t>2015年学习贯彻落实党的十八届四中、五中全会精神为动力，团结带领全市人民，以“双学双比”活动为抓手，扎实开展“三严三实”专题教育活动，坚持把党员干部思想教育作为“三严三实”的重要内容来抓，提振精气神，锤炼好作风，推动全市经济社会持续健康稳定发展。全年完成生产总值125亿元，同比增长10</w:t>
      </w:r>
      <w:r>
        <w:rPr>
          <w:rFonts w:hint="eastAsia" w:ascii="MingLiU_HKSCS" w:hAnsi="MingLiU_HKSCS" w:eastAsia="MingLiU_HKSCS" w:cs="MingLiU_HKSCS"/>
          <w:highlight w:val="none"/>
        </w:rPr>
        <w:t>.</w:t>
      </w:r>
      <w:r>
        <w:rPr>
          <w:rFonts w:hint="eastAsia" w:hAnsi="宋体" w:cs="宋体"/>
          <w:highlight w:val="none"/>
        </w:rPr>
        <w:t>2%；完成固定资产投资107亿元，同比增长16</w:t>
      </w:r>
      <w:r>
        <w:rPr>
          <w:rFonts w:hint="eastAsia" w:ascii="MingLiU_HKSCS" w:hAnsi="MingLiU_HKSCS" w:eastAsia="MingLiU_HKSCS" w:cs="MingLiU_HKSCS"/>
          <w:highlight w:val="none"/>
        </w:rPr>
        <w:t>.</w:t>
      </w:r>
      <w:r>
        <w:rPr>
          <w:rFonts w:hint="eastAsia" w:hAnsi="宋体" w:cs="宋体"/>
          <w:highlight w:val="none"/>
        </w:rPr>
        <w:t>4%；完成公共财政预算收入6亿元，同比增长7</w:t>
      </w:r>
      <w:r>
        <w:rPr>
          <w:rFonts w:hint="eastAsia" w:ascii="MingLiU_HKSCS" w:hAnsi="MingLiU_HKSCS" w:eastAsia="MingLiU_HKSCS" w:cs="MingLiU_HKSCS"/>
          <w:highlight w:val="none"/>
        </w:rPr>
        <w:t>.</w:t>
      </w:r>
      <w:r>
        <w:rPr>
          <w:rFonts w:hint="eastAsia" w:hAnsi="宋体" w:cs="宋体"/>
          <w:highlight w:val="none"/>
        </w:rPr>
        <w:t>6%。工作主要体现在6个方面：</w:t>
      </w:r>
    </w:p>
    <w:p w14:paraId="78407858">
      <w:pPr>
        <w:rPr>
          <w:rFonts w:hint="eastAsia" w:hAnsi="宋体" w:cs="宋体"/>
          <w:highlight w:val="none"/>
        </w:rPr>
      </w:pPr>
      <w:r>
        <w:rPr>
          <w:rFonts w:hint="eastAsia" w:hAnsi="宋体" w:cs="宋体"/>
          <w:highlight w:val="none"/>
        </w:rPr>
        <w:t>（一）突出项目建设，工业经济主导地位更加凸显深入实施“项目落实年”活动，以项目大建设推动经济大发展。2015年全市共安排重点项目39个，累计完成投资40亿元。园区一期发展势头良好，实现工业总产值123亿元，增长26</w:t>
      </w:r>
      <w:r>
        <w:rPr>
          <w:rFonts w:hint="eastAsia" w:ascii="MingLiU_HKSCS" w:hAnsi="MingLiU_HKSCS" w:eastAsia="MingLiU_HKSCS" w:cs="MingLiU_HKSCS"/>
          <w:highlight w:val="none"/>
        </w:rPr>
        <w:t>.</w:t>
      </w:r>
      <w:r>
        <w:rPr>
          <w:rFonts w:hint="eastAsia" w:hAnsi="宋体" w:cs="宋体"/>
          <w:highlight w:val="none"/>
        </w:rPr>
        <w:t>6%；二期园区基础设施日益完善，并争取到省政府支持园区建设光伏发电项目。成功举行华电南雄热电联产工程奠基暨重点项目签约动工投产仪式，有28个重点项目，总投资约145亿元。2015年，全市工业总产值达163</w:t>
      </w:r>
      <w:r>
        <w:rPr>
          <w:rFonts w:hint="eastAsia" w:ascii="MingLiU_HKSCS" w:hAnsi="MingLiU_HKSCS" w:eastAsia="MingLiU_HKSCS" w:cs="MingLiU_HKSCS"/>
          <w:highlight w:val="none"/>
        </w:rPr>
        <w:t>.</w:t>
      </w:r>
      <w:r>
        <w:rPr>
          <w:rFonts w:hint="eastAsia" w:hAnsi="宋体" w:cs="宋体"/>
          <w:highlight w:val="none"/>
        </w:rPr>
        <w:t>4亿元，增长18</w:t>
      </w:r>
      <w:r>
        <w:rPr>
          <w:rFonts w:hint="eastAsia" w:ascii="MingLiU_HKSCS" w:hAnsi="MingLiU_HKSCS" w:eastAsia="MingLiU_HKSCS" w:cs="MingLiU_HKSCS"/>
          <w:highlight w:val="none"/>
        </w:rPr>
        <w:t>.</w:t>
      </w:r>
      <w:r>
        <w:rPr>
          <w:rFonts w:hint="eastAsia" w:hAnsi="宋体" w:cs="宋体"/>
          <w:highlight w:val="none"/>
        </w:rPr>
        <w:t>9%，五年年均增长29</w:t>
      </w:r>
      <w:r>
        <w:rPr>
          <w:rFonts w:hint="eastAsia" w:ascii="MingLiU_HKSCS" w:hAnsi="MingLiU_HKSCS" w:eastAsia="MingLiU_HKSCS" w:cs="MingLiU_HKSCS"/>
          <w:highlight w:val="none"/>
        </w:rPr>
        <w:t>.</w:t>
      </w:r>
      <w:r>
        <w:rPr>
          <w:rFonts w:hint="eastAsia" w:hAnsi="宋体" w:cs="宋体"/>
          <w:highlight w:val="none"/>
        </w:rPr>
        <w:t>8%。工业占GDP的比重由“十一五”期末的19</w:t>
      </w:r>
      <w:r>
        <w:rPr>
          <w:rFonts w:hint="eastAsia" w:ascii="MingLiU_HKSCS" w:hAnsi="MingLiU_HKSCS" w:eastAsia="MingLiU_HKSCS" w:cs="MingLiU_HKSCS"/>
          <w:highlight w:val="none"/>
        </w:rPr>
        <w:t>.</w:t>
      </w:r>
      <w:r>
        <w:rPr>
          <w:rFonts w:hint="eastAsia" w:hAnsi="宋体" w:cs="宋体"/>
          <w:highlight w:val="none"/>
        </w:rPr>
        <w:t>2%提高到32</w:t>
      </w:r>
      <w:r>
        <w:rPr>
          <w:rFonts w:hint="eastAsia" w:ascii="MingLiU_HKSCS" w:hAnsi="MingLiU_HKSCS" w:eastAsia="MingLiU_HKSCS" w:cs="MingLiU_HKSCS"/>
          <w:highlight w:val="none"/>
        </w:rPr>
        <w:t>.</w:t>
      </w:r>
      <w:r>
        <w:rPr>
          <w:rFonts w:hint="eastAsia" w:hAnsi="宋体" w:cs="宋体"/>
          <w:highlight w:val="none"/>
        </w:rPr>
        <w:t>8%，工业主导地位更加凸显。</w:t>
      </w:r>
    </w:p>
    <w:p w14:paraId="360563F5">
      <w:pPr>
        <w:rPr>
          <w:rFonts w:hint="eastAsia" w:hAnsi="宋体" w:cs="宋体"/>
          <w:highlight w:val="none"/>
        </w:rPr>
      </w:pPr>
      <w:r>
        <w:rPr>
          <w:rFonts w:hint="eastAsia" w:hAnsi="宋体" w:cs="宋体"/>
          <w:highlight w:val="none"/>
        </w:rPr>
        <w:t>（二）突出龙头培育，农业产业化水平不断提高坚持以培育壮大农业龙头企业和提高农业组织化水平为抓手，逐步构建集约化、专业化、组织化、社会化相结合的新型农业经营体系。目前，全市有7家省、市级农业龙头企业和487家农民专业合作社，已申请农业商标和“三品”认证79个，现代烟草、优质稻、中草药、油茶和农土特加工等特色农业基地不断壮大。大力推广“公司＋基地+农户”模式，年均带动农户种植烟叶10万亩、优质稻40万亩，农业综合效应不断显现。灌区改造、中小河流专项治理、高标准基本农田项目顺利推进，农业基础设施不断完善。成为韶关首个获批2015年国家电子商务进农村综合示范县；成功竞得2016年省新农村示范片建设项目，获省财政1亿元资金补助。2015年，完成农业总产值42亿元，增长4%，5年年均增长8</w:t>
      </w:r>
      <w:r>
        <w:rPr>
          <w:rFonts w:hint="eastAsia" w:ascii="MingLiU_HKSCS" w:hAnsi="MingLiU_HKSCS" w:eastAsia="MingLiU_HKSCS" w:cs="MingLiU_HKSCS"/>
          <w:highlight w:val="none"/>
        </w:rPr>
        <w:t>.</w:t>
      </w:r>
      <w:r>
        <w:rPr>
          <w:rFonts w:hint="eastAsia" w:hAnsi="宋体" w:cs="宋体"/>
          <w:highlight w:val="none"/>
        </w:rPr>
        <w:t>5%。</w:t>
      </w:r>
    </w:p>
    <w:p w14:paraId="31186FC4">
      <w:pPr>
        <w:rPr>
          <w:rFonts w:hint="eastAsia" w:hAnsi="宋体" w:cs="宋体"/>
          <w:highlight w:val="none"/>
        </w:rPr>
      </w:pPr>
      <w:r>
        <w:rPr>
          <w:rFonts w:hint="eastAsia" w:hAnsi="宋体" w:cs="宋体"/>
          <w:highlight w:val="none"/>
        </w:rPr>
        <w:t>（三）突出旅游发展，第三产业活力不断增强大力实施“旅游旺市”战略，狠抓旅游项目建设，以旅游为主的第三产业快速发展。珠玑—梅岭文化旅游片区、主田—江头生态休闲旅游片区和帽子峰—坪田生态体验旅游片区加快建设，两岸花博生态园、邓坊泉水谷漂流度假村建成开业，清景农业生态休闲旅游项目和孔江国家湿地公园试点建设加快，旅游产品不断丰富；成功举办第二届姓氏文化旅游节，南雄“姓氏名都”“银杏染秋”旅游品牌影响力显著提升；珠玑古巷游客服务中心建成投入使用，帽子峰、坪田停车场和旅游公路扩建基本完工，旅游配套设施不断完善。获评全国休闲农业与乡村旅游示范县，为韶关市唯一一个示范县。2015年，接待游客337万人次，增长21</w:t>
      </w:r>
      <w:r>
        <w:rPr>
          <w:rFonts w:hint="eastAsia" w:ascii="MingLiU_HKSCS" w:hAnsi="MingLiU_HKSCS" w:eastAsia="MingLiU_HKSCS" w:cs="MingLiU_HKSCS"/>
          <w:highlight w:val="none"/>
        </w:rPr>
        <w:t>.</w:t>
      </w:r>
      <w:r>
        <w:rPr>
          <w:rFonts w:hint="eastAsia" w:hAnsi="宋体" w:cs="宋体"/>
          <w:highlight w:val="none"/>
        </w:rPr>
        <w:t>7%；实现旅游总收入24亿元，增长24</w:t>
      </w:r>
      <w:r>
        <w:rPr>
          <w:rFonts w:hint="eastAsia" w:ascii="MingLiU_HKSCS" w:hAnsi="MingLiU_HKSCS" w:eastAsia="MingLiU_HKSCS" w:cs="MingLiU_HKSCS"/>
          <w:highlight w:val="none"/>
        </w:rPr>
        <w:t>.</w:t>
      </w:r>
      <w:r>
        <w:rPr>
          <w:rFonts w:hint="eastAsia" w:hAnsi="宋体" w:cs="宋体"/>
          <w:highlight w:val="none"/>
        </w:rPr>
        <w:t>7%。在旅游经济带动下，第三产业发展活力不断增强，全市完成社会消费品零售总额45</w:t>
      </w:r>
      <w:r>
        <w:rPr>
          <w:rFonts w:hint="eastAsia" w:ascii="MingLiU_HKSCS" w:hAnsi="MingLiU_HKSCS" w:eastAsia="MingLiU_HKSCS" w:cs="MingLiU_HKSCS"/>
          <w:highlight w:val="none"/>
        </w:rPr>
        <w:t>.</w:t>
      </w:r>
      <w:r>
        <w:rPr>
          <w:rFonts w:hint="eastAsia" w:hAnsi="宋体" w:cs="宋体"/>
          <w:highlight w:val="none"/>
        </w:rPr>
        <w:t>6亿元，增长11</w:t>
      </w:r>
      <w:r>
        <w:rPr>
          <w:rFonts w:hint="eastAsia" w:ascii="MingLiU_HKSCS" w:hAnsi="MingLiU_HKSCS" w:eastAsia="MingLiU_HKSCS" w:cs="MingLiU_HKSCS"/>
          <w:highlight w:val="none"/>
        </w:rPr>
        <w:t>.</w:t>
      </w:r>
      <w:r>
        <w:rPr>
          <w:rFonts w:hint="eastAsia" w:hAnsi="宋体" w:cs="宋体"/>
          <w:highlight w:val="none"/>
        </w:rPr>
        <w:t>1%，5年年均增长13</w:t>
      </w:r>
      <w:r>
        <w:rPr>
          <w:rFonts w:hint="eastAsia" w:ascii="MingLiU_HKSCS" w:hAnsi="MingLiU_HKSCS" w:eastAsia="MingLiU_HKSCS" w:cs="MingLiU_HKSCS"/>
          <w:highlight w:val="none"/>
        </w:rPr>
        <w:t>.</w:t>
      </w:r>
      <w:r>
        <w:rPr>
          <w:rFonts w:hint="eastAsia" w:hAnsi="宋体" w:cs="宋体"/>
          <w:highlight w:val="none"/>
        </w:rPr>
        <w:t>2%。</w:t>
      </w:r>
    </w:p>
    <w:p w14:paraId="0D54F300">
      <w:pPr>
        <w:rPr>
          <w:rFonts w:hint="eastAsia" w:hAnsi="宋体" w:cs="宋体"/>
          <w:highlight w:val="none"/>
        </w:rPr>
      </w:pPr>
      <w:r>
        <w:rPr>
          <w:rFonts w:hint="eastAsia" w:hAnsi="宋体" w:cs="宋体"/>
          <w:highlight w:val="none"/>
        </w:rPr>
        <w:t>（四）突出扩容提质，生态城乡建设不断推进重点推进“一园一区一副中心”建设，城镇化率由“十一五”期末的35</w:t>
      </w:r>
      <w:r>
        <w:rPr>
          <w:rFonts w:hint="eastAsia" w:ascii="MingLiU_HKSCS" w:hAnsi="MingLiU_HKSCS" w:eastAsia="MingLiU_HKSCS" w:cs="MingLiU_HKSCS"/>
          <w:highlight w:val="none"/>
        </w:rPr>
        <w:t>.</w:t>
      </w:r>
      <w:r>
        <w:rPr>
          <w:rFonts w:hint="eastAsia" w:hAnsi="宋体" w:cs="宋体"/>
          <w:highlight w:val="none"/>
        </w:rPr>
        <w:t>4%提高到45</w:t>
      </w:r>
      <w:r>
        <w:rPr>
          <w:rFonts w:hint="eastAsia" w:ascii="MingLiU_HKSCS" w:hAnsi="MingLiU_HKSCS" w:eastAsia="MingLiU_HKSCS" w:cs="MingLiU_HKSCS"/>
          <w:highlight w:val="none"/>
        </w:rPr>
        <w:t>.</w:t>
      </w:r>
      <w:r>
        <w:rPr>
          <w:rFonts w:hint="eastAsia" w:hAnsi="宋体" w:cs="宋体"/>
          <w:highlight w:val="none"/>
        </w:rPr>
        <w:t>5%。中心城区扩容提质成效明显，南雄大市场一期建成开业，时代广场完工启用，雄州公园、大福名城等重点项目快速推进。北城区建设正式启动，北城大道已经动工，陵园路扩建工程全面展开。乌迳镇加快完善道路管网等城镇配套功能，着力打造城市“副中心”。成功争取广东省新型城镇化“2511”综合试点县；珠玑镇成功申报全国建制镇示范试点。全年完成造林5</w:t>
      </w:r>
      <w:r>
        <w:rPr>
          <w:rFonts w:hint="eastAsia" w:ascii="MingLiU_HKSCS" w:hAnsi="MingLiU_HKSCS" w:eastAsia="MingLiU_HKSCS" w:cs="MingLiU_HKSCS"/>
          <w:highlight w:val="none"/>
        </w:rPr>
        <w:t>.</w:t>
      </w:r>
      <w:r>
        <w:rPr>
          <w:rFonts w:hint="eastAsia" w:hAnsi="宋体" w:cs="宋体"/>
          <w:highlight w:val="none"/>
        </w:rPr>
        <w:t>5万亩，森林覆盖率达66</w:t>
      </w:r>
      <w:r>
        <w:rPr>
          <w:rFonts w:hint="eastAsia" w:ascii="MingLiU_HKSCS" w:hAnsi="MingLiU_HKSCS" w:eastAsia="MingLiU_HKSCS" w:cs="MingLiU_HKSCS"/>
          <w:highlight w:val="none"/>
        </w:rPr>
        <w:t>.</w:t>
      </w:r>
      <w:r>
        <w:rPr>
          <w:rFonts w:hint="eastAsia" w:hAnsi="宋体" w:cs="宋体"/>
          <w:highlight w:val="none"/>
        </w:rPr>
        <w:t>9%，创建“全国绿化模范县”顺利通过全国绿化委员会验收；环保工作加强，节能减排效果显著，城市生活无害化填埋场基本建成，珠玑、乌迳、黄坑3个中心镇污水处理厂已经建成，城乡居住环境改善。</w:t>
      </w:r>
    </w:p>
    <w:p w14:paraId="17C7794C">
      <w:pPr>
        <w:rPr>
          <w:rFonts w:hint="eastAsia" w:hAnsi="宋体" w:cs="宋体"/>
          <w:highlight w:val="none"/>
        </w:rPr>
      </w:pPr>
      <w:r>
        <w:rPr>
          <w:rFonts w:hint="eastAsia" w:hAnsi="宋体" w:cs="宋体"/>
          <w:highlight w:val="none"/>
        </w:rPr>
        <w:t>（五）突出亮点工作，民生事业发展加快坚持民生优先发展战略，以便民惠民为落脚点，以亮点工作为抓手，持续加大公共服务投入。2015年民生支出达21</w:t>
      </w:r>
      <w:r>
        <w:rPr>
          <w:rFonts w:hint="eastAsia" w:ascii="MingLiU_HKSCS" w:hAnsi="MingLiU_HKSCS" w:eastAsia="MingLiU_HKSCS" w:cs="MingLiU_HKSCS"/>
          <w:highlight w:val="none"/>
        </w:rPr>
        <w:t>.</w:t>
      </w:r>
      <w:r>
        <w:rPr>
          <w:rFonts w:hint="eastAsia" w:hAnsi="宋体" w:cs="宋体"/>
          <w:highlight w:val="none"/>
        </w:rPr>
        <w:t>8亿元，占公共财政预算支出78</w:t>
      </w:r>
      <w:r>
        <w:rPr>
          <w:rFonts w:hint="eastAsia" w:ascii="MingLiU_HKSCS" w:hAnsi="MingLiU_HKSCS" w:eastAsia="MingLiU_HKSCS" w:cs="MingLiU_HKSCS"/>
          <w:highlight w:val="none"/>
        </w:rPr>
        <w:t>.</w:t>
      </w:r>
      <w:r>
        <w:rPr>
          <w:rFonts w:hint="eastAsia" w:hAnsi="宋体" w:cs="宋体"/>
          <w:highlight w:val="none"/>
        </w:rPr>
        <w:t>6%。政府承诺九件实事基本完成。镇（街道）“十个一”和村“四个一”工作亮点纷呈，18个镇（街道）全部完成“五小场所”建设，实现行政村路灯全覆盖，建成农村居家养老服务示范点11个，农村生活垃圾收集处理基本实现常态化。教育事业加快发展，投资1</w:t>
      </w:r>
      <w:r>
        <w:rPr>
          <w:rFonts w:hint="eastAsia" w:ascii="MingLiU_HKSCS" w:hAnsi="MingLiU_HKSCS" w:eastAsia="MingLiU_HKSCS" w:cs="MingLiU_HKSCS"/>
          <w:highlight w:val="none"/>
        </w:rPr>
        <w:t>.</w:t>
      </w:r>
      <w:r>
        <w:rPr>
          <w:rFonts w:hint="eastAsia" w:hAnsi="宋体" w:cs="宋体"/>
          <w:highlight w:val="none"/>
        </w:rPr>
        <w:t>5亿元的新教育“四大”民生工程基本完工，实现教育强镇全覆盖，“国家义务教育发展基本均衡县”创建通过评估认定。文化体育事业加快发展。深入开展群众性精神文明创建活动，培育和践行社会主义核心价值观，省文明城市创建成果巩固。全市现有省级文明创建单位4个，韶关市级文明创建单位12个，珠玑镇被评为全国文明村镇、广东省文明镇。社会保障体系完善，医疗卫生服务和人口计生管理服务水平提高。农村普惠金融试点工作成效显著，行政村助农取款点全覆盖。新一轮扶贫开发“双到”工作扎实推进，落实帮扶资金4</w:t>
      </w:r>
      <w:r>
        <w:rPr>
          <w:rFonts w:hint="eastAsia" w:ascii="MingLiU_HKSCS" w:hAnsi="MingLiU_HKSCS" w:eastAsia="MingLiU_HKSCS" w:cs="MingLiU_HKSCS"/>
          <w:highlight w:val="none"/>
        </w:rPr>
        <w:t>.</w:t>
      </w:r>
      <w:r>
        <w:rPr>
          <w:rFonts w:hint="eastAsia" w:hAnsi="宋体" w:cs="宋体"/>
          <w:highlight w:val="none"/>
        </w:rPr>
        <w:t>5亿元，贫困群众生产生活环境改善。</w:t>
      </w:r>
    </w:p>
    <w:p w14:paraId="76CCF7DC">
      <w:pPr>
        <w:rPr>
          <w:rFonts w:hint="eastAsia" w:hAnsi="宋体" w:cs="宋体"/>
          <w:highlight w:val="none"/>
        </w:rPr>
      </w:pPr>
      <w:r>
        <w:rPr>
          <w:rFonts w:hint="eastAsia" w:hAnsi="宋体" w:cs="宋体"/>
          <w:highlight w:val="none"/>
        </w:rPr>
        <w:t>（六）突出作风建设，党的建设科学化水平提高以改进工作作风、提高执政能力为主线，坚持每年一主题开展好专题教育实践活动，统筹抓好干部队伍、党风廉政和基层组织建设等各项工作。2015年在全市开展“双学双比”主题实践活动，作为践行“三严三实”专题教育的具体举措，重点解决领导干部为官不为、不敢担当、不愿担当等“不严不实”问题，引导各级领导干部始终保持敬业奉献、敢于担当、真抓实干、攻坚克难的精神，涌现出一批“南雄榜样”，全市党员干部作风持续向好。落实中央八项规定和党政机关厉行节约反对浪费条例扎实有效，推进反腐倡廉教育和“廉洁南雄”创建活动，党员干部廉洁自律意识提高。广泛开展领导干部普遍直接联系群众活动，软弱涣散党组织整顿和“两新”组织单独组建工作效果明显，在广州、佛山建立外出乡贤党支部，基层党建基础夯实。“法治南雄”建设取得新成效，获“广东省法治县创建活动先进单位”荣誉称号。</w:t>
      </w:r>
    </w:p>
    <w:p w14:paraId="0BE7A4EA">
      <w:pPr>
        <w:pStyle w:val="3"/>
        <w:bidi w:val="0"/>
        <w:rPr>
          <w:rFonts w:hint="eastAsia"/>
          <w:highlight w:val="none"/>
        </w:rPr>
      </w:pPr>
      <w:r>
        <w:rPr>
          <w:rFonts w:hint="eastAsia"/>
          <w:highlight w:val="none"/>
        </w:rPr>
        <w:t>2015年中共南雄市委领导职务变动</w:t>
      </w:r>
    </w:p>
    <w:p w14:paraId="05303FB6">
      <w:pPr>
        <w:rPr>
          <w:rFonts w:hint="eastAsia" w:hAnsi="宋体" w:cs="宋体"/>
          <w:b w:val="0"/>
          <w:bCs/>
          <w:highlight w:val="none"/>
        </w:rPr>
      </w:pPr>
      <w:r>
        <w:rPr>
          <w:rFonts w:hint="eastAsia" w:hAnsi="宋体" w:cs="宋体"/>
          <w:b w:val="0"/>
          <w:bCs/>
          <w:highlight w:val="none"/>
        </w:rPr>
        <w:t>书</w:t>
      </w:r>
      <w:r>
        <w:rPr>
          <w:rFonts w:hint="eastAsia" w:hAnsi="宋体" w:cs="宋体"/>
          <w:b w:val="0"/>
          <w:bCs/>
          <w:highlight w:val="none"/>
          <w:lang w:val="en-US" w:eastAsia="zh-CN"/>
        </w:rPr>
        <w:t xml:space="preserve">  </w:t>
      </w:r>
      <w:r>
        <w:rPr>
          <w:rFonts w:hint="eastAsia" w:hAnsi="宋体" w:cs="宋体"/>
          <w:b w:val="0"/>
          <w:bCs/>
          <w:highlight w:val="none"/>
        </w:rPr>
        <w:t>记：曾风保</w:t>
      </w:r>
    </w:p>
    <w:p w14:paraId="14C7A99E">
      <w:pPr>
        <w:rPr>
          <w:rFonts w:hint="eastAsia" w:hAnsi="宋体" w:cs="宋体"/>
          <w:b w:val="0"/>
          <w:bCs/>
          <w:highlight w:val="none"/>
        </w:rPr>
      </w:pPr>
      <w:r>
        <w:rPr>
          <w:rFonts w:hint="eastAsia" w:hAnsi="宋体" w:cs="宋体"/>
          <w:b w:val="0"/>
          <w:bCs/>
          <w:highlight w:val="none"/>
        </w:rPr>
        <w:t>副书记：王碧安（2015年5月任）</w:t>
      </w:r>
    </w:p>
    <w:p w14:paraId="78D4F769">
      <w:pPr>
        <w:ind w:firstLine="1260" w:firstLineChars="600"/>
        <w:rPr>
          <w:rFonts w:hint="eastAsia" w:hAnsi="宋体" w:cs="宋体"/>
          <w:b w:val="0"/>
          <w:bCs/>
          <w:highlight w:val="none"/>
        </w:rPr>
      </w:pPr>
      <w:r>
        <w:rPr>
          <w:rFonts w:hint="eastAsia" w:hAnsi="宋体" w:cs="宋体"/>
          <w:b w:val="0"/>
          <w:bCs/>
          <w:highlight w:val="none"/>
        </w:rPr>
        <w:t>丘德周</w:t>
      </w:r>
    </w:p>
    <w:p w14:paraId="2362EFEB">
      <w:pPr>
        <w:rPr>
          <w:rFonts w:hint="eastAsia" w:hAnsi="宋体" w:cs="宋体"/>
          <w:b w:val="0"/>
          <w:bCs/>
          <w:highlight w:val="none"/>
        </w:rPr>
      </w:pPr>
      <w:r>
        <w:rPr>
          <w:rFonts w:hint="eastAsia" w:hAnsi="宋体" w:cs="宋体"/>
          <w:b w:val="0"/>
          <w:bCs/>
          <w:highlight w:val="none"/>
        </w:rPr>
        <w:t xml:space="preserve">常务委员：曾风保 </w:t>
      </w:r>
    </w:p>
    <w:p w14:paraId="6AA3EF91">
      <w:pPr>
        <w:ind w:firstLine="1470" w:firstLineChars="700"/>
        <w:rPr>
          <w:rFonts w:hint="eastAsia" w:hAnsi="宋体" w:cs="宋体"/>
          <w:b w:val="0"/>
          <w:bCs/>
          <w:highlight w:val="none"/>
        </w:rPr>
      </w:pPr>
      <w:r>
        <w:rPr>
          <w:rFonts w:hint="eastAsia" w:hAnsi="宋体" w:cs="宋体"/>
          <w:b w:val="0"/>
          <w:bCs/>
          <w:highlight w:val="none"/>
        </w:rPr>
        <w:t xml:space="preserve">王碧安（5月任） </w:t>
      </w:r>
    </w:p>
    <w:p w14:paraId="7B1DEB5E">
      <w:pPr>
        <w:ind w:firstLine="1470" w:firstLineChars="700"/>
        <w:rPr>
          <w:rFonts w:hint="eastAsia" w:hAnsi="宋体" w:cs="宋体"/>
          <w:b w:val="0"/>
          <w:bCs/>
          <w:highlight w:val="none"/>
        </w:rPr>
      </w:pPr>
      <w:r>
        <w:rPr>
          <w:rFonts w:hint="eastAsia" w:hAnsi="宋体" w:cs="宋体"/>
          <w:b w:val="0"/>
          <w:bCs/>
          <w:highlight w:val="none"/>
        </w:rPr>
        <w:t xml:space="preserve">丘德周 谢志铎 黄德群 </w:t>
      </w:r>
    </w:p>
    <w:p w14:paraId="2181A949">
      <w:pPr>
        <w:ind w:firstLine="1470" w:firstLineChars="700"/>
        <w:rPr>
          <w:rFonts w:hint="eastAsia" w:hAnsi="宋体" w:cs="宋体"/>
          <w:b w:val="0"/>
          <w:bCs/>
          <w:highlight w:val="none"/>
        </w:rPr>
      </w:pPr>
      <w:r>
        <w:rPr>
          <w:rFonts w:hint="eastAsia" w:hAnsi="宋体" w:cs="宋体"/>
          <w:b w:val="0"/>
          <w:bCs/>
          <w:highlight w:val="none"/>
        </w:rPr>
        <w:t>何人平 李海霞（2月任）</w:t>
      </w:r>
    </w:p>
    <w:p w14:paraId="3E533956">
      <w:pPr>
        <w:ind w:firstLine="1470" w:firstLineChars="700"/>
        <w:rPr>
          <w:rFonts w:hint="eastAsia" w:hAnsi="宋体" w:cs="宋体"/>
          <w:b w:val="0"/>
          <w:bCs/>
          <w:highlight w:val="none"/>
        </w:rPr>
      </w:pPr>
      <w:r>
        <w:rPr>
          <w:rFonts w:hint="eastAsia" w:hAnsi="宋体" w:cs="宋体"/>
          <w:b w:val="0"/>
          <w:bCs/>
          <w:highlight w:val="none"/>
        </w:rPr>
        <w:t xml:space="preserve">卜小燕 刘发龙 朱海兵 </w:t>
      </w:r>
    </w:p>
    <w:p w14:paraId="3BA48B89">
      <w:pPr>
        <w:ind w:firstLine="1470" w:firstLineChars="700"/>
        <w:rPr>
          <w:rFonts w:hint="eastAsia" w:hAnsi="宋体" w:cs="宋体"/>
          <w:b w:val="0"/>
          <w:bCs/>
          <w:highlight w:val="none"/>
        </w:rPr>
      </w:pPr>
      <w:r>
        <w:rPr>
          <w:rFonts w:hint="eastAsia" w:hAnsi="宋体" w:cs="宋体"/>
          <w:b w:val="0"/>
          <w:bCs/>
          <w:highlight w:val="none"/>
        </w:rPr>
        <w:t>叶济熊 霍永健 李霄山</w:t>
      </w:r>
    </w:p>
    <w:p w14:paraId="1D77E483">
      <w:pPr>
        <w:rPr>
          <w:rFonts w:hint="eastAsia" w:hAnsi="宋体" w:cs="宋体"/>
          <w:b w:val="0"/>
          <w:bCs/>
          <w:highlight w:val="none"/>
        </w:rPr>
      </w:pPr>
      <w:r>
        <w:rPr>
          <w:rFonts w:hint="eastAsia" w:hAnsi="宋体" w:cs="宋体"/>
          <w:b w:val="0"/>
          <w:bCs/>
          <w:highlight w:val="none"/>
        </w:rPr>
        <w:t>委</w:t>
      </w:r>
      <w:r>
        <w:rPr>
          <w:rFonts w:hint="eastAsia" w:hAnsi="宋体" w:cs="宋体"/>
          <w:b w:val="0"/>
          <w:bCs/>
          <w:highlight w:val="none"/>
          <w:lang w:val="en-US" w:eastAsia="zh-CN"/>
        </w:rPr>
        <w:t xml:space="preserve">    </w:t>
      </w:r>
      <w:r>
        <w:rPr>
          <w:rFonts w:hint="eastAsia" w:hAnsi="宋体" w:cs="宋体"/>
          <w:b w:val="0"/>
          <w:bCs/>
          <w:highlight w:val="none"/>
        </w:rPr>
        <w:t>员：（按姓氏笔画为序）</w:t>
      </w:r>
    </w:p>
    <w:p w14:paraId="20E16790">
      <w:pPr>
        <w:ind w:firstLine="1470" w:firstLineChars="700"/>
        <w:rPr>
          <w:rFonts w:hint="eastAsia" w:hAnsi="宋体" w:cs="宋体"/>
          <w:b w:val="0"/>
          <w:bCs/>
          <w:highlight w:val="none"/>
        </w:rPr>
      </w:pPr>
      <w:r>
        <w:rPr>
          <w:rFonts w:hint="eastAsia" w:hAnsi="宋体" w:cs="宋体"/>
          <w:b w:val="0"/>
          <w:bCs/>
          <w:highlight w:val="none"/>
        </w:rPr>
        <w:t xml:space="preserve">卜小燕（女） </w:t>
      </w:r>
      <w:r>
        <w:rPr>
          <w:rFonts w:hint="eastAsia" w:hAnsi="宋体" w:cs="宋体"/>
          <w:b w:val="0"/>
          <w:bCs/>
          <w:highlight w:val="none"/>
          <w:lang w:val="en-US" w:eastAsia="zh-CN"/>
        </w:rPr>
        <w:t xml:space="preserve"> </w:t>
      </w:r>
      <w:r>
        <w:rPr>
          <w:rFonts w:hint="eastAsia" w:hAnsi="宋体" w:cs="宋体"/>
          <w:b w:val="0"/>
          <w:bCs/>
          <w:highlight w:val="none"/>
        </w:rPr>
        <w:t xml:space="preserve">马细妹（女） </w:t>
      </w:r>
    </w:p>
    <w:p w14:paraId="11915F81">
      <w:pPr>
        <w:ind w:firstLine="1470" w:firstLineChars="700"/>
        <w:rPr>
          <w:rFonts w:hint="eastAsia" w:hAnsi="宋体" w:cs="宋体"/>
          <w:b w:val="0"/>
          <w:bCs/>
          <w:highlight w:val="none"/>
        </w:rPr>
      </w:pPr>
      <w:r>
        <w:rPr>
          <w:rFonts w:hint="eastAsia" w:hAnsi="宋体" w:cs="宋体"/>
          <w:b w:val="0"/>
          <w:bCs/>
          <w:highlight w:val="none"/>
        </w:rPr>
        <w:t xml:space="preserve">王友华 王碧安（5月任） </w:t>
      </w:r>
    </w:p>
    <w:p w14:paraId="026E4154">
      <w:pPr>
        <w:ind w:firstLine="1470" w:firstLineChars="700"/>
        <w:rPr>
          <w:rFonts w:hint="eastAsia" w:hAnsi="宋体" w:cs="宋体"/>
          <w:b w:val="0"/>
          <w:bCs/>
          <w:highlight w:val="none"/>
        </w:rPr>
      </w:pPr>
      <w:r>
        <w:rPr>
          <w:rFonts w:hint="eastAsia" w:hAnsi="宋体" w:cs="宋体"/>
          <w:b w:val="0"/>
          <w:bCs/>
          <w:highlight w:val="none"/>
        </w:rPr>
        <w:t xml:space="preserve">叶济熊 田文斌 丘德周 </w:t>
      </w:r>
    </w:p>
    <w:p w14:paraId="1E9F1FE1">
      <w:pPr>
        <w:ind w:firstLine="1470" w:firstLineChars="700"/>
        <w:rPr>
          <w:rFonts w:hint="eastAsia" w:hAnsi="宋体" w:cs="宋体"/>
          <w:b w:val="0"/>
          <w:bCs/>
          <w:highlight w:val="none"/>
        </w:rPr>
      </w:pPr>
      <w:r>
        <w:rPr>
          <w:rFonts w:hint="eastAsia" w:hAnsi="宋体" w:cs="宋体"/>
          <w:b w:val="0"/>
          <w:bCs/>
          <w:highlight w:val="none"/>
        </w:rPr>
        <w:t>朱海兵</w:t>
      </w:r>
      <w:r>
        <w:rPr>
          <w:rFonts w:hint="eastAsia" w:hAnsi="宋体" w:cs="宋体"/>
          <w:b w:val="0"/>
          <w:bCs/>
          <w:highlight w:val="none"/>
          <w:lang w:val="en-US" w:eastAsia="zh-CN"/>
        </w:rPr>
        <w:t xml:space="preserve"> </w:t>
      </w:r>
      <w:r>
        <w:rPr>
          <w:rFonts w:hint="eastAsia" w:hAnsi="宋体" w:cs="宋体"/>
          <w:b w:val="0"/>
          <w:bCs/>
          <w:highlight w:val="none"/>
        </w:rPr>
        <w:t xml:space="preserve">刘发龙 刘宏伟 </w:t>
      </w:r>
    </w:p>
    <w:p w14:paraId="7BB1EEBE">
      <w:pPr>
        <w:ind w:firstLine="1470" w:firstLineChars="700"/>
        <w:rPr>
          <w:rFonts w:hint="eastAsia" w:hAnsi="宋体" w:cs="宋体"/>
          <w:b w:val="0"/>
          <w:bCs/>
          <w:highlight w:val="none"/>
        </w:rPr>
      </w:pPr>
      <w:r>
        <w:rPr>
          <w:rFonts w:hint="eastAsia" w:hAnsi="宋体" w:cs="宋体"/>
          <w:b w:val="0"/>
          <w:bCs/>
          <w:highlight w:val="none"/>
        </w:rPr>
        <w:t xml:space="preserve">严桂龙 苏德椿 </w:t>
      </w:r>
    </w:p>
    <w:p w14:paraId="65880CB8">
      <w:pPr>
        <w:ind w:firstLine="1470" w:firstLineChars="700"/>
        <w:rPr>
          <w:rFonts w:hint="eastAsia" w:hAnsi="宋体" w:cs="宋体"/>
          <w:b w:val="0"/>
          <w:bCs/>
          <w:highlight w:val="none"/>
        </w:rPr>
      </w:pPr>
      <w:r>
        <w:rPr>
          <w:rFonts w:hint="eastAsia" w:hAnsi="宋体" w:cs="宋体"/>
          <w:b w:val="0"/>
          <w:bCs/>
          <w:highlight w:val="none"/>
        </w:rPr>
        <w:t xml:space="preserve">李卫兰（女） 李新明 </w:t>
      </w:r>
    </w:p>
    <w:p w14:paraId="5B66C928">
      <w:pPr>
        <w:ind w:firstLine="1470" w:firstLineChars="700"/>
        <w:rPr>
          <w:rFonts w:hint="eastAsia" w:hAnsi="宋体" w:cs="宋体"/>
          <w:b w:val="0"/>
          <w:bCs/>
          <w:highlight w:val="none"/>
        </w:rPr>
      </w:pPr>
      <w:r>
        <w:rPr>
          <w:rFonts w:hint="eastAsia" w:hAnsi="宋体" w:cs="宋体"/>
          <w:b w:val="0"/>
          <w:bCs/>
          <w:highlight w:val="none"/>
        </w:rPr>
        <w:t xml:space="preserve">李海霞（女，2月任） </w:t>
      </w:r>
    </w:p>
    <w:p w14:paraId="660A2631">
      <w:pPr>
        <w:ind w:firstLine="1470" w:firstLineChars="700"/>
        <w:rPr>
          <w:rFonts w:hint="eastAsia" w:hAnsi="宋体" w:cs="宋体"/>
          <w:b w:val="0"/>
          <w:bCs/>
          <w:highlight w:val="none"/>
        </w:rPr>
      </w:pPr>
      <w:r>
        <w:rPr>
          <w:rFonts w:hint="eastAsia" w:hAnsi="宋体" w:cs="宋体"/>
          <w:b w:val="0"/>
          <w:bCs/>
          <w:highlight w:val="none"/>
        </w:rPr>
        <w:t xml:space="preserve">李霄山 肖裕忠 吴良彬 </w:t>
      </w:r>
    </w:p>
    <w:p w14:paraId="50FC63E3">
      <w:pPr>
        <w:ind w:firstLine="1470" w:firstLineChars="700"/>
        <w:rPr>
          <w:rFonts w:hint="eastAsia" w:hAnsi="宋体" w:cs="宋体"/>
          <w:b w:val="0"/>
          <w:bCs/>
          <w:highlight w:val="none"/>
        </w:rPr>
      </w:pPr>
      <w:r>
        <w:rPr>
          <w:rFonts w:hint="eastAsia" w:hAnsi="宋体" w:cs="宋体"/>
          <w:b w:val="0"/>
          <w:bCs/>
          <w:highlight w:val="none"/>
        </w:rPr>
        <w:t xml:space="preserve">何人平 何万飞 何文忠 </w:t>
      </w:r>
    </w:p>
    <w:p w14:paraId="49B45287">
      <w:pPr>
        <w:ind w:firstLine="1470" w:firstLineChars="700"/>
        <w:rPr>
          <w:rFonts w:hint="eastAsia" w:hAnsi="宋体" w:cs="宋体"/>
          <w:b w:val="0"/>
          <w:bCs/>
          <w:highlight w:val="none"/>
        </w:rPr>
      </w:pPr>
      <w:r>
        <w:rPr>
          <w:rFonts w:hint="eastAsia" w:hAnsi="宋体" w:cs="宋体"/>
          <w:b w:val="0"/>
          <w:bCs/>
          <w:highlight w:val="none"/>
        </w:rPr>
        <w:t xml:space="preserve">沈文昌 沈步亮 张英宏 </w:t>
      </w:r>
    </w:p>
    <w:p w14:paraId="4279B318">
      <w:pPr>
        <w:ind w:firstLine="1470" w:firstLineChars="700"/>
        <w:rPr>
          <w:rFonts w:hint="eastAsia" w:hAnsi="宋体" w:cs="宋体"/>
          <w:b w:val="0"/>
          <w:bCs/>
          <w:highlight w:val="none"/>
        </w:rPr>
      </w:pPr>
      <w:r>
        <w:rPr>
          <w:rFonts w:hint="eastAsia" w:hAnsi="宋体" w:cs="宋体"/>
          <w:b w:val="0"/>
          <w:bCs/>
          <w:highlight w:val="none"/>
        </w:rPr>
        <w:t xml:space="preserve">张宗财 陈仁麟 </w:t>
      </w:r>
    </w:p>
    <w:p w14:paraId="3E3B8845">
      <w:pPr>
        <w:ind w:firstLine="1470" w:firstLineChars="700"/>
        <w:rPr>
          <w:rFonts w:hint="eastAsia" w:hAnsi="宋体" w:cs="宋体"/>
          <w:b w:val="0"/>
          <w:bCs/>
          <w:highlight w:val="none"/>
        </w:rPr>
      </w:pPr>
      <w:r>
        <w:rPr>
          <w:rFonts w:hint="eastAsia" w:hAnsi="宋体" w:cs="宋体"/>
          <w:b w:val="0"/>
          <w:bCs/>
          <w:highlight w:val="none"/>
        </w:rPr>
        <w:t>陈玉英（女）</w:t>
      </w:r>
      <w:r>
        <w:rPr>
          <w:rFonts w:hint="eastAsia" w:hAnsi="宋体" w:cs="宋体"/>
          <w:b w:val="0"/>
          <w:bCs/>
          <w:highlight w:val="none"/>
          <w:lang w:val="en-US" w:eastAsia="zh-CN"/>
        </w:rPr>
        <w:t xml:space="preserve"> </w:t>
      </w:r>
      <w:r>
        <w:rPr>
          <w:rFonts w:hint="eastAsia" w:hAnsi="宋体" w:cs="宋体"/>
          <w:b w:val="0"/>
          <w:bCs/>
          <w:highlight w:val="none"/>
        </w:rPr>
        <w:t xml:space="preserve">陈尚妹（女） </w:t>
      </w:r>
    </w:p>
    <w:p w14:paraId="72D0B2E8">
      <w:pPr>
        <w:ind w:firstLine="1470" w:firstLineChars="700"/>
        <w:rPr>
          <w:rFonts w:hint="eastAsia" w:hAnsi="宋体" w:cs="宋体"/>
          <w:b w:val="0"/>
          <w:bCs/>
          <w:highlight w:val="none"/>
        </w:rPr>
      </w:pPr>
      <w:r>
        <w:rPr>
          <w:rFonts w:hint="eastAsia" w:hAnsi="宋体" w:cs="宋体"/>
          <w:b w:val="0"/>
          <w:bCs/>
          <w:highlight w:val="none"/>
        </w:rPr>
        <w:t xml:space="preserve">陈培兰 周宏忠 周济辉 </w:t>
      </w:r>
    </w:p>
    <w:p w14:paraId="36810487">
      <w:pPr>
        <w:ind w:firstLine="1470" w:firstLineChars="700"/>
        <w:rPr>
          <w:rFonts w:hint="eastAsia" w:hAnsi="宋体" w:cs="宋体"/>
          <w:b w:val="0"/>
          <w:bCs/>
          <w:highlight w:val="none"/>
        </w:rPr>
      </w:pPr>
      <w:r>
        <w:rPr>
          <w:rFonts w:hint="eastAsia" w:hAnsi="宋体" w:cs="宋体"/>
          <w:b w:val="0"/>
          <w:bCs/>
          <w:highlight w:val="none"/>
        </w:rPr>
        <w:t>周铁山 袁元桃 黄德群</w:t>
      </w:r>
    </w:p>
    <w:p w14:paraId="4293FC37">
      <w:pPr>
        <w:ind w:firstLine="1470" w:firstLineChars="700"/>
        <w:rPr>
          <w:rFonts w:hint="eastAsia" w:hAnsi="宋体" w:cs="宋体"/>
          <w:b w:val="0"/>
          <w:bCs/>
          <w:highlight w:val="none"/>
        </w:rPr>
      </w:pPr>
      <w:r>
        <w:rPr>
          <w:rFonts w:hint="eastAsia" w:hAnsi="宋体" w:cs="宋体"/>
          <w:b w:val="0"/>
          <w:bCs/>
          <w:highlight w:val="none"/>
        </w:rPr>
        <w:t>董圣国 曾风保 曾昭泉</w:t>
      </w:r>
    </w:p>
    <w:p w14:paraId="1DC1FCC4">
      <w:pPr>
        <w:ind w:firstLine="1470" w:firstLineChars="700"/>
        <w:rPr>
          <w:rFonts w:hint="eastAsia" w:hAnsi="宋体" w:cs="宋体"/>
          <w:b w:val="0"/>
          <w:bCs/>
          <w:highlight w:val="none"/>
        </w:rPr>
      </w:pPr>
      <w:r>
        <w:rPr>
          <w:rFonts w:hint="eastAsia" w:hAnsi="宋体" w:cs="宋体"/>
          <w:b w:val="0"/>
          <w:bCs/>
          <w:highlight w:val="none"/>
        </w:rPr>
        <w:t xml:space="preserve">谢志铎 赖正志 廖声华 </w:t>
      </w:r>
    </w:p>
    <w:p w14:paraId="65B274A9">
      <w:pPr>
        <w:ind w:firstLine="1470" w:firstLineChars="700"/>
        <w:rPr>
          <w:rFonts w:hint="eastAsia" w:hAnsi="宋体" w:cs="宋体"/>
          <w:b w:val="0"/>
          <w:bCs/>
          <w:highlight w:val="none"/>
        </w:rPr>
      </w:pPr>
      <w:r>
        <w:rPr>
          <w:rFonts w:hint="eastAsia" w:hAnsi="宋体" w:cs="宋体"/>
          <w:b w:val="0"/>
          <w:bCs/>
          <w:highlight w:val="none"/>
        </w:rPr>
        <w:t>霍永健</w:t>
      </w:r>
    </w:p>
    <w:p w14:paraId="6414AB3D">
      <w:pPr>
        <w:pStyle w:val="3"/>
        <w:bidi w:val="0"/>
        <w:rPr>
          <w:rFonts w:hint="eastAsia"/>
          <w:highlight w:val="none"/>
        </w:rPr>
      </w:pPr>
      <w:r>
        <w:rPr>
          <w:rFonts w:hint="eastAsia"/>
          <w:highlight w:val="none"/>
        </w:rPr>
        <w:t>重要会议</w:t>
      </w:r>
    </w:p>
    <w:p w14:paraId="5881FDC4">
      <w:pPr>
        <w:rPr>
          <w:rFonts w:hint="eastAsia" w:hAnsi="宋体" w:cs="宋体"/>
          <w:highlight w:val="none"/>
        </w:rPr>
      </w:pPr>
      <w:r>
        <w:rPr>
          <w:rFonts w:hint="eastAsia" w:hAnsi="宋体" w:cs="宋体"/>
          <w:highlight w:val="none"/>
        </w:rPr>
        <w:t>1月13日下午，市委书记、市长曾风保同志在市委常委会议室主持召开</w:t>
      </w:r>
      <w:r>
        <w:rPr>
          <w:rFonts w:hint="eastAsia" w:cs="宋体"/>
          <w:highlight w:val="none"/>
          <w:lang w:eastAsia="zh-CN"/>
        </w:rPr>
        <w:t>市委常委会会议</w:t>
      </w:r>
      <w:r>
        <w:rPr>
          <w:rFonts w:hint="eastAsia" w:hAnsi="宋体" w:cs="宋体"/>
          <w:highlight w:val="none"/>
        </w:rPr>
        <w:t>。会议传达韶关市棚户区改造工作会议精神和韶关市教育工作座谈会会议精神。会议讨论当前社会和谐稳定问题、竹博园项目建设及园区二期工程建设劳资纠纷问题、春节前后工作问题、安全生产工作问题。会议通报外出乡贤经贸推介座谈会情况。会议决定成立南雄市珠玑后裔联谊会，作为广府人珠玑巷后裔海外联谊会的分会开展工作。</w:t>
      </w:r>
    </w:p>
    <w:p w14:paraId="47D0D153">
      <w:pPr>
        <w:rPr>
          <w:rFonts w:hint="eastAsia" w:hAnsi="宋体" w:cs="宋体"/>
          <w:highlight w:val="none"/>
        </w:rPr>
      </w:pPr>
      <w:r>
        <w:rPr>
          <w:rFonts w:hint="eastAsia" w:hAnsi="宋体" w:cs="宋体"/>
          <w:highlight w:val="none"/>
        </w:rPr>
        <w:t>6月1日下午，市委书记、市人大常委会主任曾风保同志在市委常委会议室主持召开</w:t>
      </w:r>
      <w:r>
        <w:rPr>
          <w:rFonts w:hint="eastAsia" w:cs="宋体"/>
          <w:highlight w:val="none"/>
          <w:lang w:eastAsia="zh-CN"/>
        </w:rPr>
        <w:t>市委常委会会议</w:t>
      </w:r>
      <w:r>
        <w:rPr>
          <w:rFonts w:hint="eastAsia" w:hAnsi="宋体" w:cs="宋体"/>
          <w:highlight w:val="none"/>
        </w:rPr>
        <w:t>。会议同意对2013年印发的《南雄市人才工作实施办法（修订）》进行再次修订，调整为《南雄市人才工作实施意见（修订）》，会议讨论并决定成立民革南雄市总支部。</w:t>
      </w:r>
    </w:p>
    <w:p w14:paraId="1E0CE8AF">
      <w:pPr>
        <w:rPr>
          <w:rFonts w:hint="eastAsia" w:hAnsi="宋体" w:cs="宋体"/>
          <w:highlight w:val="none"/>
        </w:rPr>
      </w:pPr>
      <w:r>
        <w:rPr>
          <w:rFonts w:hint="eastAsia" w:hAnsi="宋体" w:cs="宋体"/>
          <w:highlight w:val="none"/>
        </w:rPr>
        <w:t>11月5日下午，市委书记、市人大常委会主任曾风保同志在迎宾馆2号会议室主持召开了</w:t>
      </w:r>
      <w:r>
        <w:rPr>
          <w:rFonts w:hint="eastAsia" w:cs="宋体"/>
          <w:highlight w:val="none"/>
          <w:lang w:eastAsia="zh-CN"/>
        </w:rPr>
        <w:t>市委常委会会议</w:t>
      </w:r>
      <w:r>
        <w:rPr>
          <w:rFonts w:hint="eastAsia" w:hAnsi="宋体" w:cs="宋体"/>
          <w:highlight w:val="none"/>
        </w:rPr>
        <w:t>。会议传达中共中央纪委印发的《关于认真学习贯彻〈中国共产党廉洁自律准则〉和〈中国共产党纪律处分条例〉的通知》精神。会议还讨论通过部分干部的处理问题。</w:t>
      </w:r>
    </w:p>
    <w:p w14:paraId="2063DC1E">
      <w:pPr>
        <w:rPr>
          <w:rFonts w:hint="eastAsia" w:hAnsi="宋体" w:cs="宋体"/>
          <w:highlight w:val="none"/>
        </w:rPr>
      </w:pPr>
      <w:r>
        <w:rPr>
          <w:rFonts w:hint="eastAsia" w:hAnsi="宋体" w:cs="宋体"/>
          <w:highlight w:val="none"/>
        </w:rPr>
        <w:t>11月16日下午，市委书记、市人大常委会主任曾风保同志在迎宾馆2号会议室主持召开</w:t>
      </w:r>
      <w:r>
        <w:rPr>
          <w:rFonts w:hint="eastAsia" w:cs="宋体"/>
          <w:highlight w:val="none"/>
          <w:lang w:eastAsia="zh-CN"/>
        </w:rPr>
        <w:t>市委常委会会议</w:t>
      </w:r>
      <w:r>
        <w:rPr>
          <w:rFonts w:hint="eastAsia" w:hAnsi="宋体" w:cs="宋体"/>
          <w:highlight w:val="none"/>
        </w:rPr>
        <w:t>。会议传达韶关市委中心组学习会议精神。会议还研究2015年南雄市民主党派换届工作的有关问题。</w:t>
      </w:r>
    </w:p>
    <w:p w14:paraId="6BDCED3F">
      <w:pPr>
        <w:rPr>
          <w:rFonts w:hint="eastAsia" w:hAnsi="宋体" w:cs="宋体"/>
          <w:highlight w:val="none"/>
        </w:rPr>
      </w:pPr>
      <w:r>
        <w:rPr>
          <w:rFonts w:hint="eastAsia" w:hAnsi="宋体" w:cs="宋体"/>
          <w:highlight w:val="none"/>
        </w:rPr>
        <w:t>12月16日晚上，市委书记、市人大常委会主任曾风保同志在市委常委会议室主持召开</w:t>
      </w:r>
      <w:r>
        <w:rPr>
          <w:rFonts w:hint="eastAsia" w:cs="宋体"/>
          <w:highlight w:val="none"/>
          <w:lang w:eastAsia="zh-CN"/>
        </w:rPr>
        <w:t>市委常委会会议</w:t>
      </w:r>
      <w:r>
        <w:rPr>
          <w:rFonts w:hint="eastAsia" w:hAnsi="宋体" w:cs="宋体"/>
          <w:highlight w:val="none"/>
        </w:rPr>
        <w:t>。会议讨论关于召开南雄市委十二届五次全会问题，拟定于2016年1月中下旬召开南雄市委十二届五次全会。会议还讨论有关干部的处理问题和人事任免事项。</w:t>
      </w:r>
    </w:p>
    <w:p w14:paraId="7CCC4BB9">
      <w:pPr>
        <w:pStyle w:val="3"/>
        <w:bidi w:val="0"/>
        <w:rPr>
          <w:rFonts w:hint="eastAsia"/>
          <w:highlight w:val="none"/>
        </w:rPr>
      </w:pPr>
      <w:r>
        <w:rPr>
          <w:rFonts w:hint="eastAsia"/>
          <w:highlight w:val="none"/>
        </w:rPr>
        <w:t>南雄市委办公室</w:t>
      </w:r>
    </w:p>
    <w:p w14:paraId="38DC368D">
      <w:pPr>
        <w:pStyle w:val="4"/>
        <w:bidi w:val="0"/>
        <w:rPr>
          <w:rFonts w:hint="eastAsia"/>
          <w:highlight w:val="none"/>
        </w:rPr>
      </w:pPr>
      <w:r>
        <w:rPr>
          <w:rFonts w:hint="eastAsia"/>
          <w:highlight w:val="none"/>
        </w:rPr>
        <w:t>【内设机构及编制】</w:t>
      </w:r>
    </w:p>
    <w:p w14:paraId="428F1358">
      <w:pPr>
        <w:rPr>
          <w:rFonts w:hint="eastAsia" w:hAnsi="宋体" w:cs="宋体"/>
          <w:highlight w:val="none"/>
        </w:rPr>
      </w:pPr>
      <w:r>
        <w:rPr>
          <w:rFonts w:hint="eastAsia" w:hAnsi="宋体" w:cs="宋体"/>
          <w:highlight w:val="none"/>
        </w:rPr>
        <w:t>市委办公室是市委的工作部门，现有行政编制22名，内设机构有人事秘书股、信息调研股、综合督查股、新闻股、保密股（国家保密局）、信访股（局）、网络问政股。</w:t>
      </w:r>
    </w:p>
    <w:p w14:paraId="5FBA926F">
      <w:pPr>
        <w:pStyle w:val="4"/>
        <w:bidi w:val="0"/>
        <w:rPr>
          <w:rFonts w:hint="eastAsia"/>
          <w:highlight w:val="none"/>
        </w:rPr>
      </w:pPr>
      <w:r>
        <w:rPr>
          <w:rFonts w:hint="eastAsia"/>
          <w:highlight w:val="none"/>
        </w:rPr>
        <w:t>【主要职责】</w:t>
      </w:r>
    </w:p>
    <w:p w14:paraId="0D80ACB5">
      <w:pPr>
        <w:rPr>
          <w:rFonts w:hint="eastAsia" w:hAnsi="宋体" w:cs="宋体"/>
          <w:highlight w:val="none"/>
        </w:rPr>
      </w:pPr>
      <w:r>
        <w:rPr>
          <w:rFonts w:hint="eastAsia" w:hAnsi="宋体" w:cs="宋体"/>
          <w:highlight w:val="none"/>
        </w:rPr>
        <w:t>负责市委工作部署的贯彻落实和督促检查，负责市委工作指示、市委领导批示的传达和催办落实。</w:t>
      </w:r>
    </w:p>
    <w:p w14:paraId="4B239BF6">
      <w:pPr>
        <w:rPr>
          <w:rFonts w:hint="eastAsia" w:hAnsi="宋体" w:cs="宋体"/>
          <w:highlight w:val="none"/>
        </w:rPr>
      </w:pPr>
      <w:r>
        <w:rPr>
          <w:rFonts w:hint="eastAsia" w:hAnsi="宋体" w:cs="宋体"/>
          <w:highlight w:val="none"/>
        </w:rPr>
        <w:t>围绕市委工作部署，搜集信息，反映动态，开展调查研究，为市委决策搞好服务。</w:t>
      </w:r>
    </w:p>
    <w:p w14:paraId="31C9B470">
      <w:pPr>
        <w:rPr>
          <w:rFonts w:hint="eastAsia" w:hAnsi="宋体" w:cs="宋体"/>
          <w:highlight w:val="none"/>
        </w:rPr>
      </w:pPr>
      <w:r>
        <w:rPr>
          <w:rFonts w:hint="eastAsia" w:hAnsi="宋体" w:cs="宋体"/>
          <w:highlight w:val="none"/>
        </w:rPr>
        <w:t>负责市委各种文件、文稿的起草、核稿、修改、校对和文印工作；根据市委领导的意见，行文传达部署市委工作意图；负责市委日常文书的处理工作。</w:t>
      </w:r>
    </w:p>
    <w:p w14:paraId="040477F7">
      <w:pPr>
        <w:rPr>
          <w:rFonts w:hint="eastAsia" w:hAnsi="宋体" w:cs="宋体"/>
          <w:highlight w:val="none"/>
        </w:rPr>
      </w:pPr>
      <w:r>
        <w:rPr>
          <w:rFonts w:hint="eastAsia" w:hAnsi="宋体" w:cs="宋体"/>
          <w:highlight w:val="none"/>
        </w:rPr>
        <w:t>负责市委书记办公会、常委会、党委办公会的记录、纪要和整理归档工作，市委各种会议的会务工作和市委领导同志参加的重要活动的组织安排；负责市委重要接待任务的协调工作。</w:t>
      </w:r>
    </w:p>
    <w:p w14:paraId="238053C6">
      <w:pPr>
        <w:rPr>
          <w:rFonts w:hint="eastAsia" w:hAnsi="宋体" w:cs="宋体"/>
          <w:highlight w:val="none"/>
        </w:rPr>
      </w:pPr>
      <w:r>
        <w:rPr>
          <w:rFonts w:hint="eastAsia" w:hAnsi="宋体" w:cs="宋体"/>
          <w:highlight w:val="none"/>
        </w:rPr>
        <w:t>负责协调处理人民群众来信来访工作；负责市委保密委员会日常工作，依法管理全市保密工作；负责指导全市机要通信工作，办理机密文件、电讯传真的收发、呈送、传阅等工作。</w:t>
      </w:r>
    </w:p>
    <w:p w14:paraId="0ABC0A7D">
      <w:pPr>
        <w:rPr>
          <w:rFonts w:hint="eastAsia" w:hAnsi="宋体" w:cs="宋体"/>
          <w:highlight w:val="none"/>
        </w:rPr>
      </w:pPr>
      <w:r>
        <w:rPr>
          <w:rFonts w:hint="eastAsia" w:hAnsi="宋体" w:cs="宋体"/>
          <w:highlight w:val="none"/>
        </w:rPr>
        <w:t>完成市委交办的其他工作。</w:t>
      </w:r>
    </w:p>
    <w:p w14:paraId="439DBF4F">
      <w:pPr>
        <w:pStyle w:val="4"/>
        <w:bidi w:val="0"/>
        <w:rPr>
          <w:rFonts w:hint="eastAsia"/>
          <w:highlight w:val="none"/>
        </w:rPr>
      </w:pPr>
      <w:r>
        <w:rPr>
          <w:rFonts w:hint="eastAsia"/>
          <w:highlight w:val="none"/>
        </w:rPr>
        <w:t>【加强理论学习，提高综合素质】</w:t>
      </w:r>
    </w:p>
    <w:p w14:paraId="75EBCCE6">
      <w:pPr>
        <w:rPr>
          <w:rFonts w:hint="eastAsia" w:hAnsi="宋体" w:cs="宋体"/>
          <w:highlight w:val="none"/>
        </w:rPr>
      </w:pPr>
      <w:r>
        <w:rPr>
          <w:rFonts w:hint="eastAsia" w:hAnsi="宋体" w:cs="宋体"/>
          <w:highlight w:val="none"/>
        </w:rPr>
        <w:t>健全和完善学习制度，科学制定学习计划，以党章、党的历届领导人关于群众路线的重要论述和习近平同志系列讲话为重点，采取集中学习、专题辅导、主题教育、轮流授课等多种方式开展学习，提高领导干部政治理论水平和业务水平。2015年集中学习12次，听取专题讲座5次。同时注重向实践学习、向群众学习，将理论学习与市委中心工作紧密联系起来开展系列调研学习，增强解决实际问题的能力，把理论知识转化为推动南雄科学发展的具体思路和举措。通过学习，市委办领导干部理想信念坚定，党性修养、政治敏锐性和鉴别力得到提高，自身的业务素质和领导水平提高。</w:t>
      </w:r>
    </w:p>
    <w:p w14:paraId="75843335">
      <w:pPr>
        <w:pStyle w:val="4"/>
        <w:bidi w:val="0"/>
        <w:rPr>
          <w:rFonts w:hint="eastAsia"/>
          <w:highlight w:val="none"/>
        </w:rPr>
      </w:pPr>
      <w:r>
        <w:rPr>
          <w:rFonts w:hint="eastAsia"/>
          <w:highlight w:val="none"/>
        </w:rPr>
        <w:t>【践行“三严三实”，提高党性修养】</w:t>
      </w:r>
    </w:p>
    <w:p w14:paraId="591F4108">
      <w:pPr>
        <w:rPr>
          <w:rFonts w:hint="eastAsia" w:hAnsi="宋体" w:cs="宋体"/>
          <w:highlight w:val="none"/>
        </w:rPr>
      </w:pPr>
      <w:r>
        <w:rPr>
          <w:rFonts w:hint="eastAsia" w:hAnsi="宋体" w:cs="宋体"/>
          <w:highlight w:val="none"/>
        </w:rPr>
        <w:t>2015年，市委办以改进工作作风、提高执政能力为主线，全面落实党的群众路线教育实践活动整改，深入开展“双学双比”主题实践活动，践行“三严三实”具体举措，始终在思想上、政治上、行动上与以</w:t>
      </w:r>
      <w:r>
        <w:rPr>
          <w:rFonts w:hint="eastAsia" w:cs="宋体"/>
          <w:highlight w:val="none"/>
          <w:lang w:eastAsia="zh-CN"/>
        </w:rPr>
        <w:t>习近平同志为核心的党中央</w:t>
      </w:r>
      <w:r>
        <w:rPr>
          <w:rFonts w:hint="eastAsia" w:hAnsi="宋体" w:cs="宋体"/>
          <w:highlight w:val="none"/>
        </w:rPr>
        <w:t>保持高度一致，确保政令畅通、令行禁止；坚持听党课、学党章、学党史、学党纪，自觉用党章规范自己的一言一行；坚持以“三严三实”、党章党纪、理想信念、民心民生、先辈先进为镜，找差距、明不足、补短板，保持求真务实、言行一致的工作作风；严格落实民主集中制，坚持执行班子议事制度和实行分工制，推进决策的科学化、民主化。主动接受组织监督、社会监督，开展批评与自我批评，提高解决自身问题的能力。全办领导干部作风持续向好，其中陈慧翔当选“南雄榜样”。</w:t>
      </w:r>
    </w:p>
    <w:p w14:paraId="6F889A13">
      <w:pPr>
        <w:pStyle w:val="4"/>
        <w:bidi w:val="0"/>
        <w:rPr>
          <w:rFonts w:hint="eastAsia"/>
          <w:highlight w:val="none"/>
        </w:rPr>
      </w:pPr>
      <w:r>
        <w:rPr>
          <w:rFonts w:hint="eastAsia"/>
          <w:highlight w:val="none"/>
        </w:rPr>
        <w:t>【加强作风建设，保持清正廉洁】</w:t>
      </w:r>
    </w:p>
    <w:p w14:paraId="081EA5FC">
      <w:pPr>
        <w:rPr>
          <w:rFonts w:hint="eastAsia" w:hAnsi="宋体" w:cs="宋体"/>
          <w:highlight w:val="none"/>
        </w:rPr>
      </w:pPr>
      <w:r>
        <w:rPr>
          <w:rFonts w:hint="eastAsia" w:hAnsi="宋体" w:cs="宋体"/>
          <w:highlight w:val="none"/>
        </w:rPr>
        <w:t>严格落实党风廉政建设责任制和“一岗双责”制度，严守廉洁从政准则等各项规定。严格落实中央八项规定精神，在工作中、生活中做好表率，净化“八小时”外生活圈，坚决反对“四风”，保持勤劳节俭、艰苦奋斗的作风，坚决做到不出入私人会所、不持有私人会所会员卡。严格依照政策法规办事，自觉抵制各种腐朽思想的侵蚀和金钱、物欲的诱惑，做到自重、自省、自警，慎独、慎权、慎欲、慎行，保持两袖清风，弘扬一身正气，着力筑牢拒腐防变防线。坚持立党为公、执政为民，严格依照政策法规办事，不谋私利，不徇私情，始终把实现好、维护好、发展好最广大人民群众的根本利益作为一切工作的出发点和落脚点。</w:t>
      </w:r>
    </w:p>
    <w:p w14:paraId="73929EDD">
      <w:pPr>
        <w:pStyle w:val="4"/>
        <w:bidi w:val="0"/>
        <w:rPr>
          <w:rFonts w:hint="eastAsia"/>
          <w:highlight w:val="none"/>
        </w:rPr>
      </w:pPr>
      <w:r>
        <w:rPr>
          <w:rFonts w:hint="eastAsia"/>
          <w:highlight w:val="none"/>
        </w:rPr>
        <w:t>【亮点工作】</w:t>
      </w:r>
    </w:p>
    <w:p w14:paraId="2F7C2BCA">
      <w:pPr>
        <w:rPr>
          <w:rFonts w:hint="eastAsia" w:hAnsi="宋体" w:cs="宋体"/>
          <w:highlight w:val="none"/>
        </w:rPr>
      </w:pPr>
      <w:r>
        <w:rPr>
          <w:rFonts w:hint="eastAsia" w:hAnsi="宋体" w:cs="宋体"/>
          <w:highlight w:val="none"/>
        </w:rPr>
        <w:t>2015年，市委办负责统筹第二届姓氏文化旅游节和外出乡贤座谈会两项亮点工作。其中第二届姓氏文化旅游节先后举办“醉美南雄”摄影大赛等11项内容29场活动，共吸引超过3万名海内外嘉宾参加，CCTV4等30多家中省媒体采访报道，显著提高南雄姓氏文化名都的影响力和对外开放水平，推动旅游经济和民生事业发展。2015年南雄市接待游客348</w:t>
      </w:r>
      <w:r>
        <w:rPr>
          <w:rFonts w:hint="eastAsia" w:ascii="MingLiU_HKSCS" w:hAnsi="MingLiU_HKSCS" w:eastAsia="MingLiU_HKSCS" w:cs="MingLiU_HKSCS"/>
          <w:highlight w:val="none"/>
        </w:rPr>
        <w:t>.</w:t>
      </w:r>
      <w:r>
        <w:rPr>
          <w:rFonts w:hint="eastAsia" w:hAnsi="宋体" w:cs="宋体"/>
          <w:highlight w:val="none"/>
        </w:rPr>
        <w:t>65万人次、增长25</w:t>
      </w:r>
      <w:r>
        <w:rPr>
          <w:rFonts w:hint="eastAsia" w:ascii="MingLiU_HKSCS" w:hAnsi="MingLiU_HKSCS" w:eastAsia="MingLiU_HKSCS" w:cs="MingLiU_HKSCS"/>
          <w:highlight w:val="none"/>
        </w:rPr>
        <w:t>.</w:t>
      </w:r>
      <w:r>
        <w:rPr>
          <w:rFonts w:hint="eastAsia" w:hAnsi="宋体" w:cs="宋体"/>
          <w:highlight w:val="none"/>
        </w:rPr>
        <w:t>96%，实现旅游总收入24</w:t>
      </w:r>
      <w:r>
        <w:rPr>
          <w:rFonts w:hint="eastAsia" w:ascii="MingLiU_HKSCS" w:hAnsi="MingLiU_HKSCS" w:eastAsia="MingLiU_HKSCS" w:cs="MingLiU_HKSCS"/>
          <w:highlight w:val="none"/>
        </w:rPr>
        <w:t>.</w:t>
      </w:r>
      <w:r>
        <w:rPr>
          <w:rFonts w:hint="eastAsia" w:hAnsi="宋体" w:cs="宋体"/>
          <w:highlight w:val="none"/>
        </w:rPr>
        <w:t>18亿元、增长27</w:t>
      </w:r>
      <w:r>
        <w:rPr>
          <w:rFonts w:hint="eastAsia" w:ascii="MingLiU_HKSCS" w:hAnsi="MingLiU_HKSCS" w:eastAsia="MingLiU_HKSCS" w:cs="MingLiU_HKSCS"/>
          <w:highlight w:val="none"/>
        </w:rPr>
        <w:t>.</w:t>
      </w:r>
      <w:r>
        <w:rPr>
          <w:rFonts w:hint="eastAsia" w:hAnsi="宋体" w:cs="宋体"/>
          <w:highlight w:val="none"/>
        </w:rPr>
        <w:t>64%。此外，市委办还牵头编辑出版《大美南雄》《百姓百福系列邮票册二》等姓氏文化作品，并出版《醉美南雄摄影作品集》《南雄珠玑姓氏家训书法作品集》。外出乡贤座谈会邀请200多名乡贤代表参加，通过组织乡贤参观考察市重点工程、乡贤投资项目和召开经贸推介座谈会，有效加强乡贤联谊，凝聚乡贤力量，激发乡贤反哺桑梓、投资家乡的热情。</w:t>
      </w:r>
    </w:p>
    <w:p w14:paraId="60BD6C37">
      <w:pPr>
        <w:pStyle w:val="4"/>
        <w:bidi w:val="0"/>
        <w:rPr>
          <w:rFonts w:hint="eastAsia"/>
          <w:highlight w:val="none"/>
        </w:rPr>
      </w:pPr>
      <w:r>
        <w:rPr>
          <w:rFonts w:hint="eastAsia"/>
          <w:highlight w:val="none"/>
        </w:rPr>
        <w:t>【新闻信息调研】</w:t>
      </w:r>
    </w:p>
    <w:p w14:paraId="621D0F85">
      <w:pPr>
        <w:rPr>
          <w:rFonts w:hint="eastAsia" w:hAnsi="宋体" w:cs="宋体"/>
          <w:highlight w:val="none"/>
        </w:rPr>
      </w:pPr>
      <w:r>
        <w:rPr>
          <w:rFonts w:hint="eastAsia" w:hAnsi="宋体" w:cs="宋体"/>
          <w:highlight w:val="none"/>
        </w:rPr>
        <w:t>2015年，全年向省委办公厅、韶关市委办报送信息100多条，信息工作排名全韶关各县（市、区）第二，出版“双学双比”调研论文集《新常态、新思路、新跨越》，编印《南雄通讯》7期，总结推广典型经验。新闻报道工作成绩显著，在《南方日报》《韶关调研》等刊登调研报告，省、市报刊用稿居韶关各县（市、区）前列。同时，抓好紧急信息报送工作，为领导超前谋划、及早决策，正确把握社会舆论导向，切实化解矛盾纠纷，维护社会稳定提供优质的工作与快捷的服务。</w:t>
      </w:r>
    </w:p>
    <w:p w14:paraId="2CB1216E">
      <w:pPr>
        <w:pStyle w:val="4"/>
        <w:bidi w:val="0"/>
        <w:rPr>
          <w:rFonts w:hint="eastAsia"/>
          <w:highlight w:val="none"/>
        </w:rPr>
      </w:pPr>
      <w:r>
        <w:rPr>
          <w:rFonts w:hint="eastAsia"/>
          <w:highlight w:val="none"/>
        </w:rPr>
        <w:t>【督查督办】</w:t>
      </w:r>
    </w:p>
    <w:p w14:paraId="5BE5918D">
      <w:pPr>
        <w:rPr>
          <w:rFonts w:hint="eastAsia" w:hAnsi="宋体" w:cs="宋体"/>
          <w:highlight w:val="none"/>
        </w:rPr>
      </w:pPr>
      <w:r>
        <w:rPr>
          <w:rFonts w:hint="eastAsia" w:hAnsi="宋体" w:cs="宋体"/>
          <w:highlight w:val="none"/>
        </w:rPr>
        <w:t>围绕全市重点项目建设、政府承诺九件实事、挂点联系企业和镇“十个一”、村“四个一”亮点工作等市委的各项重要决策部署，加大督查督办工作力度，组织开展专项督查，并及时形成《督查专报》向市委、市政府及上级党委和领导反馈落实情况，推动市委决策落地生根。2015年“项目落实年”活动取得明显成效，完成地区生产总值125亿元、同比增长10</w:t>
      </w:r>
      <w:r>
        <w:rPr>
          <w:rFonts w:hint="eastAsia" w:ascii="MingLiU_HKSCS" w:hAnsi="MingLiU_HKSCS" w:eastAsia="MingLiU_HKSCS" w:cs="MingLiU_HKSCS"/>
          <w:highlight w:val="none"/>
        </w:rPr>
        <w:t>.</w:t>
      </w:r>
      <w:r>
        <w:rPr>
          <w:rFonts w:hint="eastAsia" w:hAnsi="宋体" w:cs="宋体"/>
          <w:highlight w:val="none"/>
        </w:rPr>
        <w:t>2%。</w:t>
      </w:r>
    </w:p>
    <w:p w14:paraId="45A33BD0">
      <w:pPr>
        <w:pStyle w:val="4"/>
        <w:bidi w:val="0"/>
        <w:rPr>
          <w:rFonts w:hint="eastAsia"/>
          <w:highlight w:val="none"/>
        </w:rPr>
      </w:pPr>
      <w:r>
        <w:rPr>
          <w:rFonts w:hint="eastAsia"/>
          <w:highlight w:val="none"/>
        </w:rPr>
        <w:t>【办文办会工作】</w:t>
      </w:r>
    </w:p>
    <w:p w14:paraId="22DFDC1C">
      <w:pPr>
        <w:rPr>
          <w:rFonts w:hint="eastAsia" w:hAnsi="宋体" w:cs="宋体"/>
          <w:highlight w:val="none"/>
        </w:rPr>
      </w:pPr>
      <w:r>
        <w:rPr>
          <w:rFonts w:hint="eastAsia" w:hAnsi="宋体" w:cs="宋体"/>
          <w:highlight w:val="none"/>
        </w:rPr>
        <w:t>严格把关办文程序、审批程序和严格控制发送范围、份数，从细从严整治文山会海，压缩领导干部出席会议、活动时间，带头遵守会议纪律，简化宣传报道、公务接待，使党员干部从文山会海、迎来送往中逐步解脱出来，促使奋发有为、攻坚克难的干事创业氛围更加浓厚。2015年以市委、市政府以及市委办名义下发红头文件54件，同比下降31</w:t>
      </w:r>
      <w:r>
        <w:rPr>
          <w:rFonts w:hint="eastAsia" w:ascii="MingLiU_HKSCS" w:hAnsi="MingLiU_HKSCS" w:eastAsia="MingLiU_HKSCS" w:cs="MingLiU_HKSCS"/>
          <w:highlight w:val="none"/>
        </w:rPr>
        <w:t>.</w:t>
      </w:r>
      <w:r>
        <w:rPr>
          <w:rFonts w:hint="eastAsia" w:hAnsi="宋体" w:cs="宋体"/>
          <w:highlight w:val="none"/>
        </w:rPr>
        <w:t>6%，通过发电形式发文157份，同比增加52</w:t>
      </w:r>
      <w:r>
        <w:rPr>
          <w:rFonts w:hint="eastAsia" w:ascii="MingLiU_HKSCS" w:hAnsi="MingLiU_HKSCS" w:eastAsia="MingLiU_HKSCS" w:cs="MingLiU_HKSCS"/>
          <w:highlight w:val="none"/>
        </w:rPr>
        <w:t>.</w:t>
      </w:r>
      <w:r>
        <w:rPr>
          <w:rFonts w:hint="eastAsia" w:hAnsi="宋体" w:cs="宋体"/>
          <w:highlight w:val="none"/>
        </w:rPr>
        <w:t>4%；召开全市性会议77次，同比下降3</w:t>
      </w:r>
      <w:r>
        <w:rPr>
          <w:rFonts w:hint="eastAsia" w:ascii="MingLiU_HKSCS" w:hAnsi="MingLiU_HKSCS" w:eastAsia="MingLiU_HKSCS" w:cs="MingLiU_HKSCS"/>
          <w:highlight w:val="none"/>
        </w:rPr>
        <w:t>.</w:t>
      </w:r>
      <w:r>
        <w:rPr>
          <w:rFonts w:hint="eastAsia" w:hAnsi="宋体" w:cs="宋体"/>
          <w:highlight w:val="none"/>
        </w:rPr>
        <w:t>75%，其中电视电话会议11次，同比去年增加22</w:t>
      </w:r>
      <w:r>
        <w:rPr>
          <w:rFonts w:hint="eastAsia" w:ascii="MingLiU_HKSCS" w:hAnsi="MingLiU_HKSCS" w:eastAsia="MingLiU_HKSCS" w:cs="MingLiU_HKSCS"/>
          <w:highlight w:val="none"/>
        </w:rPr>
        <w:t>.</w:t>
      </w:r>
      <w:r>
        <w:rPr>
          <w:rFonts w:hint="eastAsia" w:hAnsi="宋体" w:cs="宋体"/>
          <w:highlight w:val="none"/>
        </w:rPr>
        <w:t>2%，整合会议18次，同比去年增加20%，文风会风改进。处理来文、信函、报纸杂志，印发抄送常委会议纪要、党政联席会议纪要、简报、请示报告、重要事项安排、各种材料等文书。做好市委交办的大型会议、重大活动材料及会务等筹备工作，先后完成市委十二届五次全会、市委工作会议、开春动员大会等报告、讲话材料和会务筹备工作。</w:t>
      </w:r>
    </w:p>
    <w:p w14:paraId="63A5F8C2">
      <w:pPr>
        <w:pStyle w:val="4"/>
        <w:bidi w:val="0"/>
        <w:rPr>
          <w:rFonts w:hint="eastAsia"/>
          <w:highlight w:val="none"/>
        </w:rPr>
      </w:pPr>
      <w:r>
        <w:rPr>
          <w:rFonts w:hint="eastAsia"/>
          <w:highlight w:val="none"/>
        </w:rPr>
        <w:t>【信访工作】</w:t>
      </w:r>
    </w:p>
    <w:p w14:paraId="3A60AEFE">
      <w:pPr>
        <w:rPr>
          <w:rFonts w:hint="eastAsia" w:hAnsi="宋体" w:cs="宋体"/>
          <w:highlight w:val="none"/>
        </w:rPr>
      </w:pPr>
      <w:r>
        <w:rPr>
          <w:rFonts w:hint="eastAsia" w:hAnsi="宋体" w:cs="宋体"/>
          <w:highlight w:val="none"/>
        </w:rPr>
        <w:t>以群众工作统揽信访工作，做好办信接访工作，推进领导干部走访下访活动，集中力量化解信访积案，发挥综合协调指导职能作用，加强隐患排查和社会研判工作，提升信访干部队伍建设。2015年，市信访局受理群众来访89批502人次，与上年同期对比批次下降10批，降幅为10</w:t>
      </w:r>
      <w:r>
        <w:rPr>
          <w:rFonts w:hint="eastAsia" w:ascii="MingLiU_HKSCS" w:hAnsi="MingLiU_HKSCS" w:eastAsia="MingLiU_HKSCS" w:cs="MingLiU_HKSCS"/>
          <w:highlight w:val="none"/>
        </w:rPr>
        <w:t>.</w:t>
      </w:r>
      <w:r>
        <w:rPr>
          <w:rFonts w:hint="eastAsia" w:hAnsi="宋体" w:cs="宋体"/>
          <w:highlight w:val="none"/>
        </w:rPr>
        <w:t>1%，人次下降99人，降幅为16</w:t>
      </w:r>
      <w:r>
        <w:rPr>
          <w:rFonts w:hint="eastAsia" w:ascii="MingLiU_HKSCS" w:hAnsi="MingLiU_HKSCS" w:eastAsia="MingLiU_HKSCS" w:cs="MingLiU_HKSCS"/>
          <w:highlight w:val="none"/>
        </w:rPr>
        <w:t>.</w:t>
      </w:r>
      <w:r>
        <w:rPr>
          <w:rFonts w:hint="eastAsia" w:hAnsi="宋体" w:cs="宋体"/>
          <w:highlight w:val="none"/>
        </w:rPr>
        <w:t>5%。其中集体访32批391人次，个访57批111人次；集体上访与上年同期对比批次增加5批，上升18</w:t>
      </w:r>
      <w:r>
        <w:rPr>
          <w:rFonts w:hint="eastAsia" w:ascii="MingLiU_HKSCS" w:hAnsi="MingLiU_HKSCS" w:eastAsia="MingLiU_HKSCS" w:cs="MingLiU_HKSCS"/>
          <w:highlight w:val="none"/>
        </w:rPr>
        <w:t>.</w:t>
      </w:r>
      <w:r>
        <w:rPr>
          <w:rFonts w:hint="eastAsia" w:hAnsi="宋体" w:cs="宋体"/>
          <w:highlight w:val="none"/>
        </w:rPr>
        <w:t>5%，人次下降68人，降幅为14</w:t>
      </w:r>
      <w:r>
        <w:rPr>
          <w:rFonts w:hint="eastAsia" w:ascii="MingLiU_HKSCS" w:hAnsi="MingLiU_HKSCS" w:eastAsia="MingLiU_HKSCS" w:cs="MingLiU_HKSCS"/>
          <w:highlight w:val="none"/>
        </w:rPr>
        <w:t>.</w:t>
      </w:r>
      <w:r>
        <w:rPr>
          <w:rFonts w:hint="eastAsia" w:hAnsi="宋体" w:cs="宋体"/>
          <w:highlight w:val="none"/>
        </w:rPr>
        <w:t>8%。受理群众来信200件，与上年对比增加44件，上升28</w:t>
      </w:r>
      <w:r>
        <w:rPr>
          <w:rFonts w:hint="eastAsia" w:ascii="MingLiU_HKSCS" w:hAnsi="MingLiU_HKSCS" w:eastAsia="MingLiU_HKSCS" w:cs="MingLiU_HKSCS"/>
          <w:highlight w:val="none"/>
        </w:rPr>
        <w:t>.</w:t>
      </w:r>
      <w:r>
        <w:rPr>
          <w:rFonts w:hint="eastAsia" w:hAnsi="宋体" w:cs="宋体"/>
          <w:highlight w:val="none"/>
        </w:rPr>
        <w:t>2%，其中直接收信16件，上级信访部门转（交）办信184件。</w:t>
      </w:r>
    </w:p>
    <w:p w14:paraId="19E69811">
      <w:pPr>
        <w:pStyle w:val="4"/>
        <w:bidi w:val="0"/>
        <w:rPr>
          <w:rFonts w:hint="eastAsia"/>
          <w:highlight w:val="none"/>
        </w:rPr>
      </w:pPr>
      <w:r>
        <w:rPr>
          <w:rFonts w:hint="eastAsia"/>
          <w:highlight w:val="none"/>
        </w:rPr>
        <w:t>【保密管理工作】</w:t>
      </w:r>
    </w:p>
    <w:p w14:paraId="2CCC5CD3">
      <w:pPr>
        <w:rPr>
          <w:rFonts w:hint="eastAsia" w:hAnsi="宋体" w:cs="宋体"/>
          <w:highlight w:val="none"/>
        </w:rPr>
      </w:pPr>
      <w:r>
        <w:rPr>
          <w:rFonts w:hint="eastAsia" w:hAnsi="宋体" w:cs="宋体"/>
          <w:highlight w:val="none"/>
        </w:rPr>
        <w:t>严守岗位职责，完成一批机要保密安全任务。完成2014年保密工作数据统计普查，完成“十二五”时期保密事业发展规划检查，完成国有企业、金融机构、农业系统、政法系统、信访系统保密工作检查。召开全市保密工作会议，提高保密工作人员保密业务能力和保密意识。</w:t>
      </w:r>
    </w:p>
    <w:p w14:paraId="7B6BA894">
      <w:pPr>
        <w:pStyle w:val="4"/>
        <w:bidi w:val="0"/>
        <w:rPr>
          <w:rFonts w:hint="eastAsia"/>
          <w:highlight w:val="none"/>
        </w:rPr>
      </w:pPr>
      <w:r>
        <w:rPr>
          <w:rFonts w:hint="eastAsia"/>
          <w:highlight w:val="none"/>
        </w:rPr>
        <w:t>【网络问政】</w:t>
      </w:r>
    </w:p>
    <w:p w14:paraId="2D4448C1">
      <w:pPr>
        <w:rPr>
          <w:rFonts w:hint="eastAsia" w:hAnsi="宋体" w:cs="宋体"/>
          <w:highlight w:val="none"/>
        </w:rPr>
      </w:pPr>
      <w:r>
        <w:rPr>
          <w:rFonts w:hint="eastAsia" w:hAnsi="宋体" w:cs="宋体"/>
          <w:highlight w:val="none"/>
        </w:rPr>
        <w:t>加大网络问政督查力度，2015年发放督办通知527份、网上答复527件，做到件件有回音、事事有结果。</w:t>
      </w:r>
    </w:p>
    <w:p w14:paraId="34130A58">
      <w:pPr>
        <w:jc w:val="right"/>
        <w:rPr>
          <w:rFonts w:hint="eastAsia" w:hAnsi="宋体" w:eastAsia="宋体" w:cs="宋体"/>
          <w:highlight w:val="none"/>
          <w:lang w:eastAsia="zh-CN"/>
        </w:rPr>
      </w:pPr>
      <w:r>
        <w:rPr>
          <w:rFonts w:hint="eastAsia" w:hAnsi="宋体" w:cs="宋体"/>
          <w:highlight w:val="none"/>
          <w:lang w:eastAsia="zh-CN"/>
        </w:rPr>
        <w:t>（</w:t>
      </w:r>
      <w:r>
        <w:rPr>
          <w:rFonts w:hint="eastAsia" w:hAnsi="宋体" w:cs="宋体"/>
          <w:highlight w:val="none"/>
        </w:rPr>
        <w:t>邓佳铭</w:t>
      </w:r>
      <w:r>
        <w:rPr>
          <w:rFonts w:hint="eastAsia" w:hAnsi="宋体" w:cs="宋体"/>
          <w:highlight w:val="none"/>
          <w:lang w:eastAsia="zh-CN"/>
        </w:rPr>
        <w:t>）</w:t>
      </w:r>
    </w:p>
    <w:p w14:paraId="7311D821">
      <w:pPr>
        <w:rPr>
          <w:rFonts w:hint="eastAsia" w:hAnsi="宋体" w:cs="宋体"/>
          <w:b/>
          <w:highlight w:val="none"/>
        </w:rPr>
      </w:pPr>
      <w:r>
        <w:rPr>
          <w:rFonts w:hint="eastAsia" w:hAnsi="宋体" w:cs="宋体"/>
          <w:highlight w:val="none"/>
        </w:rPr>
        <w:t>附：2015年市委办领导班子成</w:t>
      </w:r>
      <w:r>
        <w:rPr>
          <w:rFonts w:hint="eastAsia" w:hAnsi="宋体" w:cs="宋体"/>
          <w:b/>
          <w:highlight w:val="none"/>
        </w:rPr>
        <w:t>员名单</w:t>
      </w:r>
    </w:p>
    <w:p w14:paraId="4CB008C4">
      <w:pPr>
        <w:rPr>
          <w:rFonts w:hint="eastAsia" w:hAnsi="宋体" w:cs="宋体"/>
          <w:highlight w:val="none"/>
        </w:rPr>
      </w:pPr>
      <w:r>
        <w:rPr>
          <w:rFonts w:hint="eastAsia" w:hAnsi="宋体" w:cs="宋体"/>
          <w:b/>
          <w:highlight w:val="none"/>
        </w:rPr>
        <w:t>主</w:t>
      </w:r>
      <w:r>
        <w:rPr>
          <w:rFonts w:hint="eastAsia" w:hAnsi="宋体" w:cs="宋体"/>
          <w:b/>
          <w:highlight w:val="none"/>
          <w:lang w:val="en-US" w:eastAsia="zh-CN"/>
        </w:rPr>
        <w:t xml:space="preserve">  </w:t>
      </w:r>
      <w:r>
        <w:rPr>
          <w:rFonts w:hint="eastAsia" w:hAnsi="宋体" w:cs="宋体"/>
          <w:highlight w:val="none"/>
        </w:rPr>
        <w:t>任：黄德群（兼）</w:t>
      </w:r>
    </w:p>
    <w:p w14:paraId="28763AED">
      <w:pPr>
        <w:rPr>
          <w:rFonts w:hint="eastAsia" w:hAnsi="宋体" w:cs="宋体"/>
          <w:highlight w:val="none"/>
        </w:rPr>
      </w:pPr>
      <w:r>
        <w:rPr>
          <w:rFonts w:hint="eastAsia" w:hAnsi="宋体" w:cs="宋体"/>
          <w:highlight w:val="none"/>
        </w:rPr>
        <w:t>副主任：张堂耀 杨志峰（8月任）朱祖纯 卢锦华</w:t>
      </w:r>
    </w:p>
    <w:p w14:paraId="089E65A5">
      <w:pPr>
        <w:rPr>
          <w:rFonts w:hint="eastAsia" w:hAnsi="宋体" w:cs="宋体"/>
          <w:highlight w:val="none"/>
        </w:rPr>
      </w:pPr>
      <w:r>
        <w:rPr>
          <w:rFonts w:hint="eastAsia" w:hAnsi="宋体" w:cs="宋体"/>
          <w:highlight w:val="none"/>
        </w:rPr>
        <w:t>纪检组长：何润红</w:t>
      </w:r>
    </w:p>
    <w:p w14:paraId="623A48F0">
      <w:pPr>
        <w:rPr>
          <w:rFonts w:hint="eastAsia" w:hAnsi="宋体" w:cs="宋体"/>
          <w:highlight w:val="none"/>
        </w:rPr>
      </w:pPr>
      <w:r>
        <w:rPr>
          <w:rFonts w:hint="eastAsia" w:hAnsi="宋体" w:cs="宋体"/>
          <w:highlight w:val="none"/>
        </w:rPr>
        <w:t>督查室主任：陈慧翔</w:t>
      </w:r>
      <w:r>
        <w:rPr>
          <w:rFonts w:hint="eastAsia" w:hAnsi="宋体" w:cs="宋体"/>
          <w:highlight w:val="none"/>
          <w:lang w:eastAsia="zh-CN"/>
        </w:rPr>
        <w:t>（</w:t>
      </w:r>
      <w:r>
        <w:rPr>
          <w:rFonts w:hint="eastAsia" w:hAnsi="宋体" w:cs="宋体"/>
          <w:highlight w:val="none"/>
        </w:rPr>
        <w:t>4月任）</w:t>
      </w:r>
    </w:p>
    <w:p w14:paraId="46E06D41">
      <w:pPr>
        <w:pStyle w:val="3"/>
        <w:bidi w:val="0"/>
        <w:rPr>
          <w:rFonts w:hint="eastAsia"/>
          <w:highlight w:val="none"/>
        </w:rPr>
      </w:pPr>
      <w:r>
        <w:rPr>
          <w:rFonts w:hint="eastAsia"/>
          <w:highlight w:val="none"/>
        </w:rPr>
        <w:t>组织工作</w:t>
      </w:r>
    </w:p>
    <w:p w14:paraId="5E585F57">
      <w:pPr>
        <w:pStyle w:val="4"/>
        <w:bidi w:val="0"/>
        <w:rPr>
          <w:rFonts w:hint="eastAsia"/>
          <w:highlight w:val="none"/>
        </w:rPr>
      </w:pPr>
      <w:r>
        <w:rPr>
          <w:rFonts w:hint="eastAsia"/>
          <w:highlight w:val="none"/>
        </w:rPr>
        <w:t>【概况】</w:t>
      </w:r>
    </w:p>
    <w:p w14:paraId="355A46C6">
      <w:pPr>
        <w:rPr>
          <w:rFonts w:hint="eastAsia" w:hAnsi="宋体" w:cs="宋体"/>
          <w:highlight w:val="none"/>
        </w:rPr>
      </w:pPr>
      <w:r>
        <w:rPr>
          <w:rFonts w:hint="eastAsia" w:hAnsi="宋体" w:cs="宋体"/>
          <w:highlight w:val="none"/>
        </w:rPr>
        <w:t>中共南雄市委组织部是中共南雄市委主管干部工作、组织工作和人才工作的职能部门。内设办公室、干部组、组织组、人才组、调研组、干部监督审理组（举报中心）、远程电教办。中共南雄市非公有制经济组织和社会组织工作委员会挂靠在市委组织部，下设非公有制经济组织和社会组织工作委员会办公室（简称“两新”工委办）。行政编制21名，在编在岗19名，后勤服务人员3名。</w:t>
      </w:r>
    </w:p>
    <w:p w14:paraId="4973C532">
      <w:pPr>
        <w:rPr>
          <w:rFonts w:hint="eastAsia" w:hAnsi="宋体" w:cs="宋体"/>
          <w:highlight w:val="none"/>
        </w:rPr>
      </w:pPr>
      <w:r>
        <w:rPr>
          <w:rFonts w:hint="eastAsia" w:hAnsi="宋体" w:cs="宋体"/>
          <w:highlight w:val="none"/>
        </w:rPr>
        <w:t>2015年，全市组织系统贯彻落实党的十八大，十八届三中、四中、五中全会和习近平总书记系列重要讲话精神，围绕南雄发展大局，以落实全面从严治党要求为主线，以深入开展“落实总书记要求，建设模范部门”教育实践活动为契机，以开展“双学双比”主题实践活动深化延伸“三严三实”专题教育，注重系统谋划，坚持统筹推进，突出工作重点，抓基层打基础、抓班子强队伍、抓服务聚人才，为南雄实现跨越式发展提供坚实的组织保障。</w:t>
      </w:r>
    </w:p>
    <w:p w14:paraId="1179D85C">
      <w:pPr>
        <w:pStyle w:val="4"/>
        <w:bidi w:val="0"/>
        <w:rPr>
          <w:rFonts w:hint="eastAsia"/>
          <w:highlight w:val="none"/>
        </w:rPr>
      </w:pPr>
      <w:r>
        <w:rPr>
          <w:rFonts w:hint="eastAsia"/>
          <w:highlight w:val="none"/>
        </w:rPr>
        <w:t>【“双学双比”主题实践活动】</w:t>
      </w:r>
    </w:p>
    <w:p w14:paraId="677AC9B1">
      <w:pPr>
        <w:rPr>
          <w:rFonts w:hint="eastAsia" w:hAnsi="宋体" w:cs="宋体"/>
          <w:highlight w:val="none"/>
        </w:rPr>
      </w:pPr>
      <w:r>
        <w:rPr>
          <w:rFonts w:hint="eastAsia" w:hAnsi="宋体" w:cs="宋体"/>
          <w:highlight w:val="none"/>
        </w:rPr>
        <w:t>牵头组织开展“双学双比”主题实践活动，深化延伸“三严三实”专题教育，各级党组织和广大党员干部自觉按照“三严三实”标准和要求参与“双学双比”活动，促进党员干部思想作风明显改变，服务意识显著提高。开展“九个一”活动，引导党员领导干部坚定“打苏区牌、走生态路，加快粤北门户城市建设”的发展思路，引领社会风尚，弘扬社会正气。2015年，通过开展“双学双比”活动，遴选出“南雄榜样”先进个人16人、先进集体7个；举办4场书法作品展、2场图片展；开展机关党员到社区报到为民服务活动，解决实际问题260多件；推出23期电视访谈节目。</w:t>
      </w:r>
    </w:p>
    <w:p w14:paraId="476C2BB2">
      <w:pPr>
        <w:pStyle w:val="4"/>
        <w:bidi w:val="0"/>
        <w:rPr>
          <w:rFonts w:hint="eastAsia"/>
          <w:highlight w:val="none"/>
        </w:rPr>
      </w:pPr>
      <w:r>
        <w:rPr>
          <w:rFonts w:hint="eastAsia"/>
          <w:highlight w:val="none"/>
        </w:rPr>
        <w:t>【干部任用】</w:t>
      </w:r>
    </w:p>
    <w:p w14:paraId="5580E723">
      <w:pPr>
        <w:rPr>
          <w:rFonts w:hint="eastAsia" w:hAnsi="宋体" w:cs="宋体"/>
          <w:highlight w:val="none"/>
        </w:rPr>
      </w:pPr>
      <w:r>
        <w:rPr>
          <w:rFonts w:hint="eastAsia" w:hAnsi="宋体" w:cs="宋体"/>
          <w:highlight w:val="none"/>
        </w:rPr>
        <w:t>科学选拔任用，选准用好优秀干部。按照职位空缺情况、人岗相适要求，将一批优秀干部提拔到领导岗位上来。通过竞争性差额提名的方式选拔一批35岁以下优秀年轻干部。创新考察方式，开展干部日常考察。选取黄坑镇党委和市林业局党组作为开展干部日常考察纪实档案工作的试点单位，建立干部日常考察纪实档案。接受群众监督，实行实绩公示制。将拟提拔干部履行岗位职责和完成目标任务情况等主要业绩“晒”出来，接受党员群众的监督。</w:t>
      </w:r>
    </w:p>
    <w:p w14:paraId="0B59B49C">
      <w:pPr>
        <w:pStyle w:val="4"/>
        <w:bidi w:val="0"/>
        <w:rPr>
          <w:rFonts w:hint="eastAsia"/>
          <w:highlight w:val="none"/>
        </w:rPr>
      </w:pPr>
      <w:r>
        <w:rPr>
          <w:rFonts w:hint="eastAsia"/>
          <w:highlight w:val="none"/>
        </w:rPr>
        <w:t>【干部监督】</w:t>
      </w:r>
    </w:p>
    <w:p w14:paraId="1070FD30">
      <w:pPr>
        <w:rPr>
          <w:rFonts w:hint="eastAsia" w:hAnsi="宋体" w:cs="宋体"/>
          <w:highlight w:val="none"/>
        </w:rPr>
      </w:pPr>
      <w:r>
        <w:rPr>
          <w:rFonts w:hint="eastAsia" w:hAnsi="宋体" w:cs="宋体"/>
          <w:highlight w:val="none"/>
        </w:rPr>
        <w:t>加强干部日常监督管理。发挥组织部门的干部监督管理作用，落实“三书”预警告诫制度，对4名工作方式不当的领导干部及时进行提醒，并对违反组织工作请示报告制度的2名领导干部进行诫勉谈话。加强干部问题信息的沟通交流。牵头起草并由市委下发《关于加强执纪执法部门与组织人事部门信息互通的通知》，加强与执纪执法部门的沟通联系。2015年沟通问题信息93人次。加强经济责任审计。抓好拟离任“一把手”经济责任审计和离任责任交接，做到离任必审，并配合韶关市审计部门对南雄市2个镇进行异地同步审计。加强领导干部出国（境）管理。会同公安出入境管理部门开展违规办理和持有因私出国（境）证件的专项治理工作，对全市135个单位2958名干部进行登记备案，对办理和持有因私出国（境）证件及因私出国</w:t>
      </w:r>
      <w:r>
        <w:rPr>
          <w:rFonts w:hint="eastAsia" w:hAnsi="宋体" w:cs="宋体"/>
          <w:highlight w:val="none"/>
          <w:lang w:eastAsia="zh-CN"/>
        </w:rPr>
        <w:t>（</w:t>
      </w:r>
      <w:r>
        <w:rPr>
          <w:rFonts w:hint="eastAsia" w:hAnsi="宋体" w:cs="宋体"/>
          <w:highlight w:val="none"/>
        </w:rPr>
        <w:t>境</w:t>
      </w:r>
      <w:r>
        <w:rPr>
          <w:rFonts w:hint="eastAsia" w:hAnsi="宋体" w:cs="宋体"/>
          <w:highlight w:val="none"/>
          <w:lang w:eastAsia="zh-CN"/>
        </w:rPr>
        <w:t>）</w:t>
      </w:r>
      <w:r>
        <w:rPr>
          <w:rFonts w:hint="eastAsia" w:hAnsi="宋体" w:cs="宋体"/>
          <w:highlight w:val="none"/>
        </w:rPr>
        <w:t>情况进行核查。开展干部人事档案专项审核。对该部管理的2000多份干部人事档案逐个进行审核和整理。</w:t>
      </w:r>
    </w:p>
    <w:p w14:paraId="29C23485">
      <w:pPr>
        <w:pStyle w:val="4"/>
        <w:bidi w:val="0"/>
        <w:rPr>
          <w:rFonts w:hint="eastAsia"/>
          <w:highlight w:val="none"/>
        </w:rPr>
      </w:pPr>
      <w:r>
        <w:rPr>
          <w:rFonts w:hint="eastAsia"/>
          <w:highlight w:val="none"/>
        </w:rPr>
        <w:t>【基层组织建设】</w:t>
      </w:r>
    </w:p>
    <w:p w14:paraId="43EE2AC2">
      <w:pPr>
        <w:rPr>
          <w:rFonts w:hint="eastAsia" w:hAnsi="宋体" w:cs="宋体"/>
          <w:highlight w:val="none"/>
        </w:rPr>
      </w:pPr>
      <w:r>
        <w:rPr>
          <w:rFonts w:hint="eastAsia" w:hAnsi="宋体" w:cs="宋体"/>
          <w:highlight w:val="none"/>
        </w:rPr>
        <w:t>驻点联系群众工作成效显著。全市组建232个驻点团队，建立驻点联系工作制度，确保驻点联系群众工作全覆盖、常态化、制度化。全市梳理汇总群众反映的帮助解决党的建设和其他类别等10个方面问题12047件，已解决11421件，解决率94</w:t>
      </w:r>
      <w:r>
        <w:rPr>
          <w:rFonts w:hint="eastAsia" w:ascii="MingLiU_HKSCS" w:hAnsi="MingLiU_HKSCS" w:eastAsia="MingLiU_HKSCS" w:cs="MingLiU_HKSCS"/>
          <w:highlight w:val="none"/>
        </w:rPr>
        <w:t>.</w:t>
      </w:r>
      <w:r>
        <w:rPr>
          <w:rFonts w:hint="eastAsia" w:hAnsi="宋体" w:cs="宋体"/>
          <w:highlight w:val="none"/>
        </w:rPr>
        <w:t>8%。村级党组织服务能力不断提升。全市232个便民服务站召开联席会议485次，驻点团队联系群众368174人次，解决群众实际问题7621件，召开问题分析会议9635次，落实相关问题22713件，服务站接待来访、上门走访、提前预约、集中服务群众共44030人，办理相关事项13912件。软弱涣散党组织整顿工作扎实开展。采取市领导挂点抓、组织部门指导抓、市直单位帮扶抓、选派“第一书记”蹲点抓、晋级村结对抓“五位一体”的整顿措施，整合各方力量，投入500多万元资金大力整顿25个软弱涣散村（社区）党组织。基层“保障激励”机制逐步健全。建立党建专项经费保障，由市财政每年划拨125万元作为党建保障经费；建立村干部补贴正常增长机制，由财政兜底确保每村办公经费不少于5万元，村支书、主任每月2300元，其他干部每月2150元；落实村、社区“两委”离任干部生活补助实施办法，累计为2227名符合条件的离任村（社区）“两委”干部发放生活补助338</w:t>
      </w:r>
      <w:r>
        <w:rPr>
          <w:rFonts w:hint="eastAsia" w:ascii="MingLiU_HKSCS" w:hAnsi="MingLiU_HKSCS" w:eastAsia="MingLiU_HKSCS" w:cs="MingLiU_HKSCS"/>
          <w:highlight w:val="none"/>
        </w:rPr>
        <w:t>.</w:t>
      </w:r>
      <w:r>
        <w:rPr>
          <w:rFonts w:hint="eastAsia" w:hAnsi="宋体" w:cs="宋体"/>
          <w:highlight w:val="none"/>
        </w:rPr>
        <w:t>952万元。建立村支部书记学历提升补贴机制、乡镇机关事业单位工作人员工作补贴机制。流动党员“乡情连心”工作机制有效推行。在外出党员集聚地建立党组织，并以党组织为核心，整合社会资源，凝聚外出乡贤“反哺”家乡建设。目前，广州支部现有党员22名，佛山支部现有党员12名。同时，以姓氏文化旅游节、南雄珠玑巷后裔（广州、佛山）联谊会年会为平台，让流动党员联系服务群众，带富群众，赢得外出乡贤对家乡的支持和反哺，累积共筹措乡贤反哺家乡建设资金2000万元。 “两新”组织党建工作做深做强。2015年共整合撤并26个“两新”组织联合或挂靠党组织，新成立“两新”组织党组织15个，全市“两新”组织党组织单独组建率达到61%，同比增加21个百分点。通过搭建两个平台、组建三支队伍、建立四项制度，构建“六化型”园区党建格局，实现园区党建工作水平提升。</w:t>
      </w:r>
    </w:p>
    <w:p w14:paraId="46935EDB">
      <w:pPr>
        <w:pStyle w:val="4"/>
        <w:bidi w:val="0"/>
        <w:rPr>
          <w:rFonts w:hint="eastAsia"/>
          <w:highlight w:val="none"/>
        </w:rPr>
      </w:pPr>
      <w:r>
        <w:rPr>
          <w:rFonts w:hint="eastAsia"/>
          <w:highlight w:val="none"/>
        </w:rPr>
        <w:t>【培训工作】</w:t>
      </w:r>
    </w:p>
    <w:p w14:paraId="38324C20">
      <w:pPr>
        <w:rPr>
          <w:rFonts w:hint="eastAsia" w:hAnsi="宋体" w:cs="宋体"/>
          <w:highlight w:val="none"/>
        </w:rPr>
      </w:pPr>
      <w:r>
        <w:rPr>
          <w:rFonts w:hint="eastAsia" w:hAnsi="宋体" w:cs="宋体"/>
          <w:highlight w:val="none"/>
        </w:rPr>
        <w:t>2015年培训各级干部11000余人次</w:t>
      </w:r>
      <w:r>
        <w:rPr>
          <w:rFonts w:hint="eastAsia" w:hAnsi="宋体" w:cs="宋体"/>
          <w:highlight w:val="none"/>
          <w:lang w:eastAsia="zh-CN"/>
        </w:rPr>
        <w:t>，</w:t>
      </w:r>
      <w:r>
        <w:rPr>
          <w:rFonts w:hint="eastAsia" w:hAnsi="宋体" w:cs="宋体"/>
          <w:highlight w:val="none"/>
        </w:rPr>
        <w:t>重点开展全市组织系统教育实践活动全员培训、抓好科级干部培训、党纪政纪法纪教育培训、公务员全员培训和初任培训、村（社区）支书（主任）轮训、大学生村官轮训等各类培训工作。同时，在全市公务员系统推广干部网络培训，把干部选学与网络培训进行有机结合，提升培训实效性。此外，完成省、市级调训任务，调训送训各级领导干部49人次，其中选派34名村干部参加韶关市村、社区党组织书记示范班。开展学历教育，全市52名村（社区）“两委”干部参加韶关学院行政管理函授大专教育，90名在职干部入读仲恺农业工程学院研究生班。</w:t>
      </w:r>
    </w:p>
    <w:p w14:paraId="71585516">
      <w:pPr>
        <w:pStyle w:val="4"/>
        <w:bidi w:val="0"/>
        <w:rPr>
          <w:rFonts w:hint="eastAsia"/>
          <w:highlight w:val="none"/>
        </w:rPr>
      </w:pPr>
      <w:r>
        <w:rPr>
          <w:rFonts w:hint="eastAsia"/>
          <w:highlight w:val="none"/>
        </w:rPr>
        <w:t>【人才工作】</w:t>
      </w:r>
    </w:p>
    <w:p w14:paraId="10FAF538">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hAnsi="宋体" w:eastAsia="宋体" w:cs="宋体"/>
          <w:highlight w:val="none"/>
          <w:lang w:eastAsia="zh-CN"/>
        </w:rPr>
      </w:pPr>
      <w:r>
        <w:rPr>
          <w:rFonts w:hint="eastAsia" w:hAnsi="宋体" w:cs="宋体"/>
          <w:highlight w:val="none"/>
        </w:rPr>
        <w:t>人才工作机制不断完善。制定《南雄市2015年人才工作要点》，将人才工作考核内容落实到具体职能单位；制定《2015年南雄市人才工作经费分配方案》，将多个部门人才工作经费统一纳入人才资源开发经费专项账户，健全人才优先投入机制；修订《南雄市人才工作实施意见》，在行政机关和事业单位增设特聘专才岗位，由市财政给予特聘专才12000元/人/年管理经费。人才引进力度加大。通过向社会公开招聘、招考等方式，招录公务员和事业单位工作人员166人，其中公务员65人，事业单位人员101人，含研究生2人，充实机关、事业单位人才队伍。面向社会公开招考一批中小学和幼儿园教师，引进各类卫生人才，优化南雄市人才队伍结构。此外，市政府与韶关学院签署《战略合作框架协议》，着力构建教育科研合作平台和人才智力支撑平台等，加快推动南雄经济社会发展。</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4451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F66A15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450465"/>
                  <wp:effectExtent l="0" t="0" r="8890" b="6985"/>
                  <wp:docPr id="37" name="图片 181" descr="乌迳高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1" descr="乌迳高溯"/>
                          <pic:cNvPicPr>
                            <a:picLocks noChangeAspect="1"/>
                          </pic:cNvPicPr>
                        </pic:nvPicPr>
                        <pic:blipFill>
                          <a:blip r:embed="rId42"/>
                          <a:stretch>
                            <a:fillRect/>
                          </a:stretch>
                        </pic:blipFill>
                        <pic:spPr>
                          <a:xfrm>
                            <a:off x="0" y="0"/>
                            <a:ext cx="3420110" cy="2450465"/>
                          </a:xfrm>
                          <a:prstGeom prst="rect">
                            <a:avLst/>
                          </a:prstGeom>
                          <a:noFill/>
                          <a:ln>
                            <a:noFill/>
                          </a:ln>
                        </pic:spPr>
                      </pic:pic>
                    </a:graphicData>
                  </a:graphic>
                </wp:inline>
              </w:drawing>
            </w:r>
          </w:p>
        </w:tc>
      </w:tr>
      <w:tr w14:paraId="7223E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79DC21A">
            <w:pPr>
              <w:ind w:left="0" w:leftChars="0" w:firstLine="0" w:firstLineChars="0"/>
              <w:jc w:val="center"/>
              <w:rPr>
                <w:rFonts w:hAnsi="宋体" w:cs="宋体"/>
                <w:highlight w:val="none"/>
              </w:rPr>
            </w:pPr>
            <w:r>
              <w:rPr>
                <w:rFonts w:hint="eastAsia" w:hAnsi="宋体" w:cs="宋体"/>
                <w:highlight w:val="none"/>
              </w:rPr>
              <w:t>3月，召开全市组织工作会议</w:t>
            </w:r>
          </w:p>
        </w:tc>
      </w:tr>
      <w:tr w14:paraId="21318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0576CAA">
            <w:pPr>
              <w:ind w:left="0" w:leftChars="0" w:firstLine="0" w:firstLineChars="0"/>
              <w:jc w:val="center"/>
              <w:rPr>
                <w:rFonts w:hint="eastAsia" w:hAnsi="宋体" w:cs="宋体"/>
                <w:highlight w:val="none"/>
              </w:rPr>
            </w:pPr>
            <w:r>
              <w:rPr>
                <w:rFonts w:hAnsi="宋体" w:cs="宋体"/>
                <w:highlight w:val="none"/>
              </w:rPr>
              <w:drawing>
                <wp:inline distT="0" distB="0" distL="114300" distR="114300">
                  <wp:extent cx="3420110" cy="2051050"/>
                  <wp:effectExtent l="0" t="0" r="8890" b="6350"/>
                  <wp:docPr id="38" name="图片 18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2" descr="7"/>
                          <pic:cNvPicPr>
                            <a:picLocks noChangeAspect="1"/>
                          </pic:cNvPicPr>
                        </pic:nvPicPr>
                        <pic:blipFill>
                          <a:blip r:embed="rId43"/>
                          <a:stretch>
                            <a:fillRect/>
                          </a:stretch>
                        </pic:blipFill>
                        <pic:spPr>
                          <a:xfrm>
                            <a:off x="0" y="0"/>
                            <a:ext cx="3420110" cy="2051050"/>
                          </a:xfrm>
                          <a:prstGeom prst="rect">
                            <a:avLst/>
                          </a:prstGeom>
                          <a:noFill/>
                          <a:ln>
                            <a:noFill/>
                          </a:ln>
                        </pic:spPr>
                      </pic:pic>
                    </a:graphicData>
                  </a:graphic>
                </wp:inline>
              </w:drawing>
            </w:r>
          </w:p>
        </w:tc>
      </w:tr>
      <w:tr w14:paraId="6A30B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B05254B">
            <w:pPr>
              <w:ind w:left="0" w:leftChars="0" w:firstLine="0" w:firstLineChars="0"/>
              <w:jc w:val="center"/>
              <w:rPr>
                <w:rFonts w:hint="eastAsia" w:hAnsi="宋体" w:cs="宋体"/>
                <w:highlight w:val="none"/>
              </w:rPr>
            </w:pPr>
            <w:r>
              <w:rPr>
                <w:rFonts w:hint="eastAsia" w:hAnsi="宋体" w:cs="宋体"/>
                <w:highlight w:val="none"/>
              </w:rPr>
              <w:t>市委常委、组织部部长叶济熊（右一）到乌迳高溯村慰问困难群众</w:t>
            </w:r>
          </w:p>
        </w:tc>
      </w:tr>
    </w:tbl>
    <w:p w14:paraId="6D7964B8">
      <w:pPr>
        <w:pStyle w:val="4"/>
        <w:bidi w:val="0"/>
        <w:rPr>
          <w:rFonts w:hint="eastAsia"/>
          <w:highlight w:val="none"/>
        </w:rPr>
      </w:pPr>
      <w:r>
        <w:rPr>
          <w:rFonts w:hint="eastAsia"/>
          <w:highlight w:val="none"/>
        </w:rPr>
        <w:t>【组工信息调研】</w:t>
      </w:r>
    </w:p>
    <w:p w14:paraId="7A031040">
      <w:pPr>
        <w:rPr>
          <w:rFonts w:hint="eastAsia" w:hAnsi="宋体" w:cs="宋体"/>
          <w:highlight w:val="none"/>
        </w:rPr>
      </w:pPr>
      <w:r>
        <w:rPr>
          <w:rFonts w:hint="eastAsia" w:hAnsi="宋体" w:cs="宋体"/>
          <w:highlight w:val="none"/>
        </w:rPr>
        <w:t>组工调研信息工作继续位居韶关市各县（市、区）前列，在省级以上的重点党建刊物上发表调研文章18篇，其中《广东组工通讯》采用6篇，《领导科学》采用2篇，《党建文汇》用稿1篇，《广东党建》用稿6篇，《南方杂志》用稿1篇，另外1篇组工信息还被中组部《组工通讯》综合采用。</w:t>
      </w:r>
    </w:p>
    <w:p w14:paraId="5A217F3A">
      <w:pPr>
        <w:pStyle w:val="4"/>
        <w:bidi w:val="0"/>
        <w:rPr>
          <w:rFonts w:hint="eastAsia"/>
          <w:highlight w:val="none"/>
        </w:rPr>
      </w:pPr>
      <w:r>
        <w:rPr>
          <w:rFonts w:hint="eastAsia"/>
          <w:highlight w:val="none"/>
        </w:rPr>
        <w:t>【党员干部现代远程教育】</w:t>
      </w:r>
    </w:p>
    <w:p w14:paraId="6E28E7A4">
      <w:pPr>
        <w:rPr>
          <w:rFonts w:hint="eastAsia" w:hAnsi="宋体" w:cs="宋体"/>
          <w:highlight w:val="none"/>
        </w:rPr>
      </w:pPr>
      <w:r>
        <w:rPr>
          <w:rFonts w:hint="eastAsia" w:hAnsi="宋体" w:cs="宋体"/>
          <w:highlight w:val="none"/>
        </w:rPr>
        <w:t>党员干部现代远程教育工作围绕全市“落实总书记要求，建设模范部门”教育实践活动、“双学双比”主题教育实践活动与“三严三实”专题教育工作，狠抓学用工作，强化日常督查、丰富教学资源、推进优化升级，发挥远程教育在提高党员干部素质能力、培育新型农民的主阵地作用。2015年投入10万余元对南雄市党员干部现代远程教育网站服务器、对部分基层远程教育站点进行升级改造。定期对各终端站点设备进行调查摸底，督促并协助基层站点排查维修故障设备，确保各站点硬件设施正常运行，保证开机率每月达到100%。</w:t>
      </w:r>
    </w:p>
    <w:p w14:paraId="11258232">
      <w:pPr>
        <w:pStyle w:val="4"/>
        <w:bidi w:val="0"/>
        <w:rPr>
          <w:rFonts w:hint="eastAsia"/>
          <w:highlight w:val="none"/>
        </w:rPr>
      </w:pPr>
      <w:r>
        <w:rPr>
          <w:rFonts w:hint="eastAsia"/>
          <w:highlight w:val="none"/>
        </w:rPr>
        <w:t>【自身建设】</w:t>
      </w:r>
    </w:p>
    <w:p w14:paraId="68144926">
      <w:pPr>
        <w:rPr>
          <w:rFonts w:hint="eastAsia" w:hAnsi="宋体" w:cs="宋体"/>
          <w:b w:val="0"/>
          <w:bCs w:val="0"/>
          <w:highlight w:val="none"/>
        </w:rPr>
      </w:pPr>
      <w:r>
        <w:rPr>
          <w:rFonts w:hint="eastAsia" w:hAnsi="宋体" w:cs="宋体"/>
          <w:highlight w:val="none"/>
        </w:rPr>
        <w:t>严格践行“三严三实”要求，发挥组织部门标杆模范作用。开展模范部门建设活动，培养党性强业务精的组工干部。坚持把学习教育贯彻活动始终，开展部风部史、革命传统、爱国主义教育，增强组工干部党性修养。广泛开展组工干部岗位练兵、技能竞赛活动，定期开展理论政策知识开卷问答、业务技能知识闭卷测试，提升组工干部业务水平。开展纪律教育学习月活动，培养守纪律讲规矩的组工干部。开展廉政风险防控，组织组工干部要检察院等教育基地开展廉政警示教育，用身边案警示身边人，提高组工干部拒腐防变的能力。开展“双学双比”主题活动，培养争先进创优秀的组工干部。开展优秀调研报告评比、优秀组工信息评比、优秀心得体会评比、组工干部业务能手评比活动，激发组工干部创先争优、干事创业热</w:t>
      </w:r>
      <w:r>
        <w:rPr>
          <w:rFonts w:hint="eastAsia" w:hAnsi="宋体" w:cs="宋体"/>
          <w:b w:val="0"/>
          <w:bCs w:val="0"/>
          <w:highlight w:val="none"/>
        </w:rPr>
        <w:t>情，形成争先进、当先进的浓厚氛围，切实做到清廉从政、务实为民。（黄文英）</w:t>
      </w:r>
    </w:p>
    <w:p w14:paraId="4EC82A81">
      <w:pPr>
        <w:rPr>
          <w:rFonts w:hint="eastAsia" w:hAnsi="宋体" w:cs="宋体"/>
          <w:b w:val="0"/>
          <w:bCs w:val="0"/>
          <w:highlight w:val="none"/>
        </w:rPr>
      </w:pPr>
      <w:r>
        <w:rPr>
          <w:rFonts w:hint="eastAsia" w:hAnsi="宋体" w:cs="宋体"/>
          <w:b w:val="0"/>
          <w:bCs w:val="0"/>
          <w:highlight w:val="none"/>
        </w:rPr>
        <w:t>附：2015年市委组织部领导班子成员名单</w:t>
      </w:r>
    </w:p>
    <w:p w14:paraId="3BDF40ED">
      <w:pPr>
        <w:rPr>
          <w:rFonts w:hint="eastAsia" w:hAnsi="宋体" w:cs="宋体"/>
          <w:b w:val="0"/>
          <w:bCs w:val="0"/>
          <w:highlight w:val="none"/>
        </w:rPr>
      </w:pPr>
      <w:r>
        <w:rPr>
          <w:rFonts w:hint="eastAsia" w:hAnsi="宋体" w:cs="宋体"/>
          <w:b w:val="0"/>
          <w:bCs w:val="0"/>
          <w:highlight w:val="none"/>
        </w:rPr>
        <w:t>部</w:t>
      </w:r>
      <w:r>
        <w:rPr>
          <w:rFonts w:hint="eastAsia" w:hAnsi="宋体" w:cs="宋体"/>
          <w:b w:val="0"/>
          <w:bCs w:val="0"/>
          <w:highlight w:val="none"/>
          <w:lang w:val="en-US" w:eastAsia="zh-CN"/>
        </w:rPr>
        <w:t xml:space="preserve">  </w:t>
      </w:r>
      <w:r>
        <w:rPr>
          <w:rFonts w:hint="eastAsia" w:hAnsi="宋体" w:cs="宋体"/>
          <w:b w:val="0"/>
          <w:bCs w:val="0"/>
          <w:highlight w:val="none"/>
        </w:rPr>
        <w:t>长：叶济熊（兼）</w:t>
      </w:r>
    </w:p>
    <w:p w14:paraId="6450DDAC">
      <w:pPr>
        <w:rPr>
          <w:rFonts w:hint="eastAsia" w:hAnsi="宋体" w:cs="宋体"/>
          <w:b w:val="0"/>
          <w:bCs w:val="0"/>
          <w:highlight w:val="none"/>
        </w:rPr>
      </w:pPr>
      <w:r>
        <w:rPr>
          <w:rFonts w:hint="eastAsia" w:hAnsi="宋体" w:cs="宋体"/>
          <w:b w:val="0"/>
          <w:bCs w:val="0"/>
          <w:highlight w:val="none"/>
        </w:rPr>
        <w:t>副部长：黄文儒（任至4月）</w:t>
      </w:r>
    </w:p>
    <w:p w14:paraId="0FC47FBB">
      <w:pPr>
        <w:rPr>
          <w:rFonts w:hint="eastAsia" w:hAnsi="宋体" w:cs="宋体"/>
          <w:b w:val="0"/>
          <w:bCs w:val="0"/>
          <w:highlight w:val="none"/>
        </w:rPr>
      </w:pPr>
      <w:r>
        <w:rPr>
          <w:rFonts w:hint="eastAsia" w:hAnsi="宋体" w:cs="宋体"/>
          <w:b w:val="0"/>
          <w:bCs w:val="0"/>
          <w:highlight w:val="none"/>
        </w:rPr>
        <w:t>张相铭 凌生成</w:t>
      </w:r>
    </w:p>
    <w:p w14:paraId="08D5FBE1">
      <w:pPr>
        <w:rPr>
          <w:rFonts w:hint="eastAsia" w:hAnsi="宋体" w:cs="宋体"/>
          <w:b w:val="0"/>
          <w:bCs w:val="0"/>
          <w:highlight w:val="none"/>
        </w:rPr>
      </w:pPr>
      <w:r>
        <w:rPr>
          <w:rFonts w:hint="eastAsia" w:hAnsi="宋体" w:cs="宋体"/>
          <w:b w:val="0"/>
          <w:bCs w:val="0"/>
          <w:highlight w:val="none"/>
        </w:rPr>
        <w:t>纪检组长：林</w:t>
      </w:r>
      <w:r>
        <w:rPr>
          <w:rFonts w:hint="eastAsia" w:hAnsi="宋体" w:cs="宋体"/>
          <w:b w:val="0"/>
          <w:bCs w:val="0"/>
          <w:highlight w:val="none"/>
          <w:lang w:val="en-US" w:eastAsia="zh-CN"/>
        </w:rPr>
        <w:t xml:space="preserve">  </w:t>
      </w:r>
      <w:r>
        <w:rPr>
          <w:rFonts w:hint="eastAsia" w:hAnsi="宋体" w:cs="宋体"/>
          <w:b w:val="0"/>
          <w:bCs w:val="0"/>
          <w:highlight w:val="none"/>
        </w:rPr>
        <w:t>生</w:t>
      </w:r>
    </w:p>
    <w:p w14:paraId="7B2EFD51">
      <w:pPr>
        <w:pStyle w:val="3"/>
        <w:bidi w:val="0"/>
        <w:rPr>
          <w:rFonts w:hint="eastAsia"/>
          <w:highlight w:val="none"/>
        </w:rPr>
      </w:pPr>
      <w:r>
        <w:rPr>
          <w:rFonts w:hint="eastAsia"/>
          <w:highlight w:val="none"/>
        </w:rPr>
        <w:t>宣传工作</w:t>
      </w:r>
    </w:p>
    <w:p w14:paraId="795DBBF1">
      <w:pPr>
        <w:pStyle w:val="4"/>
        <w:bidi w:val="0"/>
        <w:rPr>
          <w:rFonts w:hint="eastAsia"/>
          <w:highlight w:val="none"/>
        </w:rPr>
      </w:pPr>
      <w:r>
        <w:rPr>
          <w:rFonts w:hint="eastAsia"/>
          <w:highlight w:val="none"/>
        </w:rPr>
        <w:t>【概况】</w:t>
      </w:r>
    </w:p>
    <w:p w14:paraId="581FA33C">
      <w:pPr>
        <w:rPr>
          <w:rFonts w:hint="eastAsia" w:hAnsi="宋体" w:cs="宋体"/>
          <w:highlight w:val="none"/>
        </w:rPr>
      </w:pPr>
      <w:r>
        <w:rPr>
          <w:rFonts w:hint="eastAsia" w:hAnsi="宋体" w:cs="宋体"/>
          <w:highlight w:val="none"/>
        </w:rPr>
        <w:t>宣传部行政编制13名，其中领导职数4名（1正3副），其他干部9名（其中股长职数5名）；后勤编制1名。总编制为14名。内设人秘股、宣传股、理论股、新闻文艺股、文明办、网络舆情股6个职能股室，市委讲师团在宣传部挂牌。</w:t>
      </w:r>
    </w:p>
    <w:p w14:paraId="509B01C3">
      <w:pPr>
        <w:pStyle w:val="4"/>
        <w:bidi w:val="0"/>
        <w:rPr>
          <w:rFonts w:hint="eastAsia"/>
          <w:highlight w:val="none"/>
        </w:rPr>
      </w:pPr>
      <w:r>
        <w:rPr>
          <w:rFonts w:hint="eastAsia"/>
          <w:highlight w:val="none"/>
        </w:rPr>
        <w:t>【理论工作】</w:t>
      </w:r>
    </w:p>
    <w:p w14:paraId="29C76C2A">
      <w:pPr>
        <w:rPr>
          <w:rFonts w:hint="eastAsia" w:hAnsi="宋体" w:cs="宋体"/>
          <w:highlight w:val="none"/>
        </w:rPr>
      </w:pPr>
      <w:r>
        <w:rPr>
          <w:rFonts w:hint="eastAsia" w:hAnsi="宋体" w:cs="宋体"/>
          <w:highlight w:val="none"/>
        </w:rPr>
        <w:t>组织专题学习。组织学习党的十八届三中、四中、五中全会和习近平总书记系列重要讲话精神以及“四个全面”战略布局思想，学习全国</w:t>
      </w:r>
      <w:r>
        <w:rPr>
          <w:rFonts w:hint="eastAsia" w:cs="宋体"/>
          <w:highlight w:val="none"/>
          <w:lang w:eastAsia="zh-CN"/>
        </w:rPr>
        <w:t>两会</w:t>
      </w:r>
      <w:r>
        <w:rPr>
          <w:rFonts w:hint="eastAsia" w:hAnsi="宋体" w:cs="宋体"/>
          <w:highlight w:val="none"/>
        </w:rPr>
        <w:t>、省十一届四次全会精神。制定2015年度党委中心组学习专题和重点，2015年组织17次专题理论学习。</w:t>
      </w:r>
    </w:p>
    <w:p w14:paraId="2E12F0B0">
      <w:pPr>
        <w:rPr>
          <w:rFonts w:hint="eastAsia" w:hAnsi="宋体" w:cs="宋体"/>
          <w:highlight w:val="none"/>
        </w:rPr>
      </w:pPr>
      <w:r>
        <w:rPr>
          <w:rFonts w:hint="eastAsia" w:hAnsi="宋体" w:cs="宋体"/>
          <w:highlight w:val="none"/>
        </w:rPr>
        <w:t>举办专题辅导讲座。构建市、镇、村三级联动宣讲网络，组织“打苏区牌，走生态路，加快建设粤北门户城市”、“增强环保意识，建设生态南雄”、“四个全面”战略布局、习近平总书记系列重要讲话以及“三严三实”三次学习讨论会等专题学习。邀请省、市专家举办6场辅导报告</w:t>
      </w:r>
      <w:r>
        <w:rPr>
          <w:rFonts w:hint="eastAsia" w:hAnsi="宋体" w:cs="宋体"/>
          <w:highlight w:val="none"/>
          <w:lang w:eastAsia="zh-CN"/>
        </w:rPr>
        <w:t>，</w:t>
      </w:r>
      <w:r>
        <w:rPr>
          <w:rFonts w:hint="eastAsia" w:hAnsi="宋体" w:cs="宋体"/>
          <w:highlight w:val="none"/>
        </w:rPr>
        <w:t>组织宣讲活动60多场。</w:t>
      </w:r>
    </w:p>
    <w:p w14:paraId="5B4F3909">
      <w:pPr>
        <w:rPr>
          <w:rFonts w:hint="eastAsia" w:hAnsi="宋体" w:cs="宋体"/>
          <w:highlight w:val="none"/>
        </w:rPr>
      </w:pPr>
      <w:r>
        <w:rPr>
          <w:rFonts w:hint="eastAsia" w:hAnsi="宋体" w:cs="宋体"/>
          <w:highlight w:val="none"/>
        </w:rPr>
        <w:t>开展理论调研工作。完成《整合文化资源，建设文化强市》《关于南雄文化旅游产业融合发展的思考》等理论调研文章，向上级宣传部门报送调研信息41篇，《韶风》杂志采用稿件12篇。组织创作微评论文章22篇，获奖4篇。</w:t>
      </w:r>
    </w:p>
    <w:p w14:paraId="4F68E481">
      <w:pPr>
        <w:pStyle w:val="4"/>
        <w:bidi w:val="0"/>
        <w:rPr>
          <w:rFonts w:hint="eastAsia"/>
          <w:highlight w:val="none"/>
        </w:rPr>
      </w:pPr>
      <w:r>
        <w:rPr>
          <w:rFonts w:hint="eastAsia"/>
          <w:highlight w:val="none"/>
        </w:rPr>
        <w:t>【舆论宣传】</w:t>
      </w:r>
    </w:p>
    <w:p w14:paraId="52080BC8">
      <w:pPr>
        <w:rPr>
          <w:rFonts w:hint="eastAsia" w:hAnsi="宋体" w:cs="宋体"/>
          <w:highlight w:val="none"/>
        </w:rPr>
      </w:pPr>
      <w:r>
        <w:rPr>
          <w:rFonts w:hint="eastAsia" w:hAnsi="宋体" w:cs="宋体"/>
          <w:highlight w:val="none"/>
        </w:rPr>
        <w:t>强化主题宣传。围绕“三严三实”专题教育和“双学双比”主题实践活动，在广播电视台开辟“开展双学双比，践行三严三实”栏目，在市政府公众信息网开设“双学双比”主题活动专栏；在三影塔广场举办“双学双比”主题实践活动成果图片展；利用微信、党政客户端等新媒体手段全面宣传“打苏区牌、走生态路”，大力实施工业强市、旅游旺市、民生优先、生态城乡、姓氏名都、法治南雄“六大战略”的重要举措和成效。</w:t>
      </w:r>
    </w:p>
    <w:p w14:paraId="076DCE0A">
      <w:pPr>
        <w:rPr>
          <w:rFonts w:hint="eastAsia" w:hAnsi="宋体" w:cs="宋体"/>
          <w:highlight w:val="none"/>
        </w:rPr>
      </w:pPr>
      <w:r>
        <w:rPr>
          <w:rFonts w:hint="eastAsia" w:hAnsi="宋体" w:cs="宋体"/>
          <w:highlight w:val="none"/>
        </w:rPr>
        <w:t>强化对外宣传。全市在省市媒体共刊登报道173篇，其中《南方日报》6篇，《广州日报》8篇，《羊城晚报》8篇，《南方》杂志6篇，《韶关日报》145篇。市广播电台、电视台分别播出稿件2910条和2486条，上送韶关广播电台、电视台播出稿件分别为638条和460条。编印《打苏区牌、走生态路——苏区南雄在前进》宣传画册。</w:t>
      </w:r>
    </w:p>
    <w:p w14:paraId="1ED1F474">
      <w:pPr>
        <w:rPr>
          <w:rFonts w:hint="eastAsia" w:hAnsi="宋体" w:cs="宋体"/>
          <w:highlight w:val="none"/>
        </w:rPr>
      </w:pPr>
      <w:r>
        <w:rPr>
          <w:rFonts w:hint="eastAsia" w:hAnsi="宋体" w:cs="宋体"/>
          <w:highlight w:val="none"/>
        </w:rPr>
        <w:t>协助宣传报道。协助中央、省和韶关市属媒体宣传报道全市重点、亮点工作。全年协助中央电视台《中华姓氏》《致富经》等栏目以及广东电视台、韶关电视台采访报道各类媒体60多批次、记者200多人次；协助《南方》杂志社出版一期南雄专刊《南雄行思录》。</w:t>
      </w:r>
    </w:p>
    <w:p w14:paraId="1D21BCF3">
      <w:pPr>
        <w:rPr>
          <w:rFonts w:hint="eastAsia" w:hAnsi="宋体" w:cs="宋体"/>
          <w:highlight w:val="none"/>
        </w:rPr>
      </w:pPr>
      <w:r>
        <w:rPr>
          <w:rFonts w:hint="eastAsia" w:hAnsi="宋体" w:cs="宋体"/>
          <w:highlight w:val="none"/>
        </w:rPr>
        <w:t>抓好《韶关日报·重点》（南雄专版）组稿工作。先后完成招商引资、政府办民生实事、打苏区牌走生态路、新型城镇化建设、生态旅游建设、改善民生12个专题的宣传报道，出版《南雄招商引资再创佳绩》《实事惠百姓幸福来敲门》《打好苏区牌走好生态路》《建设粤北门户城市号角劲吹》《南雄：全力打造大美生态游》《民生大于天幸福最关情》《法律服务送上门服务群众零距离》《浈凌大地绽放灿烂“双拥”之花》《提振精神锤炼作风展现风貌》《打响品牌兴旺旅游繁荣经贸》《文明之花灿烂绽放雄州大地》《打造推动经济发展的强力引擎》专版。</w:t>
      </w:r>
    </w:p>
    <w:p w14:paraId="7313E4EB">
      <w:pPr>
        <w:rPr>
          <w:rFonts w:hint="eastAsia" w:hAnsi="宋体" w:cs="宋体"/>
          <w:highlight w:val="none"/>
        </w:rPr>
      </w:pPr>
      <w:r>
        <w:rPr>
          <w:rFonts w:hint="eastAsia" w:hAnsi="宋体" w:cs="宋体"/>
          <w:highlight w:val="none"/>
        </w:rPr>
        <w:t>开办电视栏目。在办好南雄综合频道主打节目《南雄新闻》《美食发现》《品味南雄》等基础上，新开辟《生态城乡》《税务之窗》《醉美南雄》等栏目。</w:t>
      </w:r>
    </w:p>
    <w:p w14:paraId="7C260C23">
      <w:pPr>
        <w:rPr>
          <w:rFonts w:hint="eastAsia" w:hAnsi="宋体" w:cs="宋体"/>
          <w:highlight w:val="none"/>
        </w:rPr>
      </w:pPr>
      <w:r>
        <w:rPr>
          <w:rFonts w:hint="eastAsia" w:hAnsi="宋体" w:cs="宋体"/>
          <w:highlight w:val="none"/>
        </w:rPr>
        <w:t>网络宣传。与新华社广东分社合作，完成新华社党政客户端“大美南雄”建设并于12月正式上线运行，初步建立一支90人信息采编队伍，发送信息500多条。同时指导开通南雄官方政务微博、政务微信“南雄发布”、党政领导微信群“美丽南雄我的家”以及“南雄电视台”官方微信公众平台，关注粉丝9000人，推送信息1100条。</w:t>
      </w:r>
    </w:p>
    <w:p w14:paraId="5977E5ED">
      <w:pPr>
        <w:rPr>
          <w:rFonts w:hint="eastAsia" w:hAnsi="宋体" w:cs="宋体"/>
          <w:highlight w:val="none"/>
        </w:rPr>
      </w:pPr>
      <w:r>
        <w:rPr>
          <w:rFonts w:hint="eastAsia" w:hAnsi="宋体" w:cs="宋体"/>
          <w:highlight w:val="none"/>
        </w:rPr>
        <w:t>加强舆论引导。10月，成立市委网络安全和信息化领导小组及办公室；加强网络舆情信息预警研判，实施涉及网络舆情24小时全网监控，2015年编印舆情专报17期；全市组建120名网络评论员队伍，组织开展“微评十三五”网络微评创作大赛等活动。</w:t>
      </w:r>
    </w:p>
    <w:p w14:paraId="2C9C42E7">
      <w:pPr>
        <w:pStyle w:val="4"/>
        <w:bidi w:val="0"/>
        <w:rPr>
          <w:rFonts w:hint="eastAsia"/>
          <w:highlight w:val="none"/>
        </w:rPr>
      </w:pPr>
      <w:r>
        <w:rPr>
          <w:rFonts w:hint="eastAsia"/>
          <w:highlight w:val="none"/>
        </w:rPr>
        <w:t>【精神文明建设】</w:t>
      </w:r>
    </w:p>
    <w:p w14:paraId="66549B1E">
      <w:pPr>
        <w:rPr>
          <w:rFonts w:hint="eastAsia" w:hAnsi="宋体" w:cs="宋体"/>
          <w:highlight w:val="none"/>
        </w:rPr>
      </w:pPr>
      <w:r>
        <w:rPr>
          <w:rFonts w:hint="eastAsia" w:hAnsi="宋体" w:cs="宋体"/>
          <w:highlight w:val="none"/>
        </w:rPr>
        <w:t>加大巩卫巩文宣传。利用广播、电视、灯柱广告、橱窗、宣传栏、T型广告牌、LED户外荧屏、微信平台、遵德守礼牌、倡议书等载体，宣传巩卫巩文和“双拥”工作。在金叶大道、水南桥、青云桥、金叶大桥上设置公益广告宣传，广泛宣传公民道德、社会主义核心价值观。组织文明委成员单位开展文明行动、志愿服务等活动，并顺利通过省文明城市复检。</w:t>
      </w:r>
    </w:p>
    <w:p w14:paraId="11914D26">
      <w:pPr>
        <w:rPr>
          <w:rFonts w:hint="eastAsia" w:hAnsi="宋体" w:cs="宋体"/>
          <w:highlight w:val="none"/>
        </w:rPr>
      </w:pPr>
      <w:r>
        <w:rPr>
          <w:rFonts w:hint="eastAsia" w:hAnsi="宋体" w:cs="宋体"/>
          <w:highlight w:val="none"/>
        </w:rPr>
        <w:t>开展群众性精神文明创建活动。表彰2013—2014年度文明单位20个单位、文明村18个村、文明户100户。珠玑镇被评为全国文明村镇，江头镇被保留为省文明镇，雄州街道水南村被保留为省文明村、雄州街道八一社区被保留为省文明社区，韶关南雄供电局被保留为省文明单位。</w:t>
      </w:r>
    </w:p>
    <w:p w14:paraId="00DA9239">
      <w:pPr>
        <w:rPr>
          <w:rFonts w:hint="eastAsia" w:hAnsi="宋体" w:cs="宋体"/>
          <w:highlight w:val="none"/>
        </w:rPr>
      </w:pPr>
      <w:r>
        <w:rPr>
          <w:rFonts w:hint="eastAsia" w:hAnsi="宋体" w:cs="宋体"/>
          <w:highlight w:val="none"/>
        </w:rPr>
        <w:t>推荐评选韶关市十佳道德模范。组织全市开展“寻找最美的你”2015年“韶关好人”和“感动韶关十佳道德模范”推荐评选活动。全市推荐出48名候选人，乌迳镇吴和联荣获“感动韶关十佳道德模范”提名。</w:t>
      </w:r>
    </w:p>
    <w:p w14:paraId="1F05CA77">
      <w:pPr>
        <w:rPr>
          <w:rFonts w:hint="eastAsia" w:hAnsi="宋体" w:cs="宋体"/>
          <w:highlight w:val="none"/>
        </w:rPr>
      </w:pPr>
      <w:r>
        <w:rPr>
          <w:rFonts w:hint="eastAsia" w:hAnsi="宋体" w:cs="宋体"/>
          <w:highlight w:val="none"/>
        </w:rPr>
        <w:t>开展“美德少年”评选活动。市文明办联合市教育局通过评选表彰未成年人身边的典型，加强未成年人道德建设。全市授予60位“美德少年”荣誉称号，授予56位学生“美德少年”提名奖。</w:t>
      </w:r>
    </w:p>
    <w:p w14:paraId="7C2B3655">
      <w:pPr>
        <w:rPr>
          <w:rFonts w:hint="eastAsia" w:hAnsi="宋体" w:cs="宋体"/>
          <w:highlight w:val="none"/>
        </w:rPr>
      </w:pPr>
      <w:r>
        <w:rPr>
          <w:rFonts w:hint="eastAsia" w:hAnsi="宋体" w:cs="宋体"/>
          <w:highlight w:val="none"/>
        </w:rPr>
        <w:t>开展“文明诚信示范药店”评选活动。继续组织开展文明诚信示范药店评选活动，授予5家药品零售企业“文明诚信示范药店”荣誉称号。截至12月，全市有15家“文明诚信示范药店”。</w:t>
      </w:r>
    </w:p>
    <w:p w14:paraId="15F2A112">
      <w:pPr>
        <w:rPr>
          <w:rFonts w:hint="eastAsia" w:hAnsi="宋体" w:cs="宋体"/>
          <w:highlight w:val="none"/>
        </w:rPr>
      </w:pPr>
      <w:r>
        <w:rPr>
          <w:rFonts w:hint="eastAsia" w:hAnsi="宋体" w:cs="宋体"/>
          <w:highlight w:val="none"/>
        </w:rPr>
        <w:t>开设“文明讲坛”传递正能量。在广州会馆设立“道德讲堂”总堂，从5月20日开设“文明讲坛”，每周三晚举办专题讲坛，邀请南雄市道德模范、身边好人、孝爱之星以及各行各业涌现出来的劳动模范和先进典型，以身传道；邀请各姓氏德高望重的长辈或对本姓氏文化有所研究的人物，讲述各自姓氏的家族故事、阐释各姓氏的祖训家风；邀请革命前辈、党史专家讲述南雄革命历史故事，弘扬中央苏区县光荣的红色文化。2015年举办10多场专访讲座。</w:t>
      </w:r>
    </w:p>
    <w:p w14:paraId="128D7FFE">
      <w:pPr>
        <w:rPr>
          <w:rFonts w:hint="eastAsia" w:hAnsi="宋体" w:cs="宋体"/>
          <w:highlight w:val="none"/>
        </w:rPr>
      </w:pPr>
      <w:r>
        <w:rPr>
          <w:rFonts w:hint="eastAsia" w:hAnsi="宋体" w:cs="宋体"/>
          <w:highlight w:val="none"/>
        </w:rPr>
        <w:t>开展纪念抗日战争暨世界反法西斯战争胜利70周年活动。组织全市开展“弘扬抗战精神，共筑复兴梦想”学习杯读书竞赛活动和第十三个全国“公民道德宣传日”宣传教育活动；组织全市机关干部职工、学校师生、外来务工人员走进爱国主义教育基地参观学习活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AA6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9CDEC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Ansi="宋体" w:cs="宋体"/>
                <w:highlight w:val="none"/>
                <w:vertAlign w:val="baseline"/>
              </w:rPr>
            </w:pPr>
            <w:r>
              <w:rPr>
                <w:rFonts w:hAnsi="宋体" w:cs="宋体"/>
                <w:highlight w:val="none"/>
              </w:rPr>
              <w:drawing>
                <wp:inline distT="0" distB="0" distL="114300" distR="114300">
                  <wp:extent cx="3420110" cy="1984375"/>
                  <wp:effectExtent l="0" t="0" r="8890" b="15875"/>
                  <wp:docPr id="39" name="图片 18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3" descr="8"/>
                          <pic:cNvPicPr>
                            <a:picLocks noChangeAspect="1"/>
                          </pic:cNvPicPr>
                        </pic:nvPicPr>
                        <pic:blipFill>
                          <a:blip r:embed="rId44"/>
                          <a:stretch>
                            <a:fillRect/>
                          </a:stretch>
                        </pic:blipFill>
                        <pic:spPr>
                          <a:xfrm>
                            <a:off x="0" y="0"/>
                            <a:ext cx="3420110" cy="1984375"/>
                          </a:xfrm>
                          <a:prstGeom prst="rect">
                            <a:avLst/>
                          </a:prstGeom>
                          <a:noFill/>
                          <a:ln>
                            <a:noFill/>
                          </a:ln>
                        </pic:spPr>
                      </pic:pic>
                    </a:graphicData>
                  </a:graphic>
                </wp:inline>
              </w:drawing>
            </w:r>
          </w:p>
        </w:tc>
      </w:tr>
      <w:tr w14:paraId="681DC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1D4C6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Ansi="宋体" w:cs="宋体"/>
                <w:highlight w:val="none"/>
              </w:rPr>
            </w:pPr>
            <w:r>
              <w:rPr>
                <w:rFonts w:hint="eastAsia" w:hAnsi="宋体" w:cs="宋体"/>
                <w:highlight w:val="none"/>
              </w:rPr>
              <w:t>3月，召开全市宣传文化工作会议</w:t>
            </w:r>
          </w:p>
        </w:tc>
      </w:tr>
    </w:tbl>
    <w:p w14:paraId="5E230FB4">
      <w:pPr>
        <w:pStyle w:val="4"/>
        <w:bidi w:val="0"/>
        <w:rPr>
          <w:rFonts w:hint="eastAsia"/>
          <w:highlight w:val="none"/>
        </w:rPr>
      </w:pPr>
      <w:r>
        <w:rPr>
          <w:rFonts w:hint="eastAsia"/>
          <w:highlight w:val="none"/>
        </w:rPr>
        <w:t>【公共文化基础设施建设】</w:t>
      </w:r>
    </w:p>
    <w:p w14:paraId="65946C6F">
      <w:pPr>
        <w:rPr>
          <w:rFonts w:hint="eastAsia" w:hAnsi="宋体" w:cs="宋体"/>
          <w:highlight w:val="none"/>
        </w:rPr>
      </w:pPr>
      <w:r>
        <w:rPr>
          <w:rFonts w:hint="eastAsia" w:hAnsi="宋体" w:cs="宋体"/>
          <w:highlight w:val="none"/>
        </w:rPr>
        <w:t>完善市、镇（街道）、村（社区）三级公共文化服务设施体系。文化站覆盖18个镇（街道）；文化室、农家书屋覆盖208个村委会；电子阅览室建成232个；广播电视覆盖率达到100%，城乡5万户有线数字电视用户实现数字电视整体转换；建成中影世纪银河影城和新城珠影数字影院。</w:t>
      </w:r>
    </w:p>
    <w:p w14:paraId="3DF23E2C">
      <w:pPr>
        <w:rPr>
          <w:rFonts w:hint="eastAsia" w:hAnsi="宋体" w:cs="宋体"/>
          <w:highlight w:val="none"/>
        </w:rPr>
      </w:pPr>
      <w:r>
        <w:rPr>
          <w:rFonts w:hint="eastAsia" w:hAnsi="宋体" w:cs="宋体"/>
          <w:highlight w:val="none"/>
        </w:rPr>
        <w:t>加快建设时代文化广场。总占地面积约2万平方米、建有下沉式舞台的时代文化广场基本建成。</w:t>
      </w:r>
    </w:p>
    <w:p w14:paraId="19E765C6">
      <w:pPr>
        <w:rPr>
          <w:rFonts w:hint="eastAsia" w:hAnsi="宋体" w:cs="宋体"/>
          <w:highlight w:val="none"/>
        </w:rPr>
      </w:pPr>
      <w:r>
        <w:rPr>
          <w:rFonts w:hint="eastAsia" w:hAnsi="宋体" w:cs="宋体"/>
          <w:highlight w:val="none"/>
        </w:rPr>
        <w:t>推进镇村文化广场建设。一大批镇村文化广场启动建设，帽子峰、邓坊、百顺镇等文化广场建成并投入使用。</w:t>
      </w:r>
    </w:p>
    <w:p w14:paraId="465EFE9D">
      <w:pPr>
        <w:rPr>
          <w:rFonts w:hint="eastAsia" w:hAnsi="宋体" w:cs="宋体"/>
          <w:highlight w:val="none"/>
        </w:rPr>
      </w:pPr>
      <w:r>
        <w:rPr>
          <w:rFonts w:hint="eastAsia" w:hAnsi="宋体" w:cs="宋体"/>
          <w:highlight w:val="none"/>
        </w:rPr>
        <w:t>启动建设新图书馆。总占地面积3000多平方米、投资3800万元的新图书馆奠基启建。南雄市图书馆荣获2015年“书香岭南”全民阅读活动示范单位。</w:t>
      </w:r>
    </w:p>
    <w:p w14:paraId="6B7D9193">
      <w:pPr>
        <w:rPr>
          <w:rFonts w:hint="eastAsia" w:hAnsi="宋体" w:cs="宋体"/>
          <w:highlight w:val="none"/>
        </w:rPr>
      </w:pPr>
      <w:r>
        <w:rPr>
          <w:rFonts w:hint="eastAsia" w:hAnsi="宋体" w:cs="宋体"/>
          <w:highlight w:val="none"/>
        </w:rPr>
        <w:t>开放珠玑非物质文化遗产展厅。在珠玑非遗展演中心建设“故乡根源演艺中心”，布展珠玑民间艺术非遗产展厅并对外开放。</w:t>
      </w:r>
    </w:p>
    <w:p w14:paraId="74A7E588">
      <w:pPr>
        <w:pStyle w:val="4"/>
        <w:bidi w:val="0"/>
        <w:rPr>
          <w:rFonts w:hint="eastAsia"/>
          <w:highlight w:val="none"/>
        </w:rPr>
      </w:pPr>
      <w:r>
        <w:rPr>
          <w:rFonts w:hint="eastAsia"/>
          <w:highlight w:val="none"/>
        </w:rPr>
        <w:t>【文化工作】</w:t>
      </w:r>
    </w:p>
    <w:p w14:paraId="616D2814">
      <w:pPr>
        <w:rPr>
          <w:rFonts w:hint="eastAsia" w:hAnsi="宋体" w:cs="宋体"/>
          <w:highlight w:val="none"/>
        </w:rPr>
      </w:pPr>
      <w:r>
        <w:rPr>
          <w:rFonts w:hint="eastAsia" w:hAnsi="宋体" w:cs="宋体"/>
          <w:highlight w:val="none"/>
        </w:rPr>
        <w:t>开展群众性文化活动。开展文化活动进社区、进镇村、进企业、进校园活动。在三影塔举办迎新春广场群众才艺汇演、“六一”文艺演出活动；在大会堂举办“双学双比”暨迎春文艺演出；在中小学举办粤北采茶戏表演艺术讲座、摄影讲座、书法诗歌交流活动；在工业园区、企业举办文艺晚会等；组织参与韶关“中国梦·韶韵风·东街汇”文艺汇演活动。在市检察院举办“廉政书法”展、在珠玑书画院举办纪念中国人民抗日战争暨世界反法西斯战争胜利70周年书画展、在三影塔举办“大美孔江生态南雄”系列创作大赛作品展。</w:t>
      </w:r>
    </w:p>
    <w:p w14:paraId="73BA77D0">
      <w:pPr>
        <w:rPr>
          <w:rFonts w:hint="eastAsia" w:hAnsi="宋体" w:cs="宋体"/>
          <w:highlight w:val="none"/>
        </w:rPr>
      </w:pPr>
      <w:r>
        <w:rPr>
          <w:rFonts w:hint="eastAsia" w:hAnsi="宋体" w:cs="宋体"/>
          <w:highlight w:val="none"/>
        </w:rPr>
        <w:t>启动“姓氏名都风雅颂——百家姓氏、百姓民俗”系列惠民文化活动。以广州会馆为活动主阵地，整合各方力量，每周二至周六晚分“群星荟萃”“文明讲坛”“采茶神韵”“青春风采”“墨香琴韵”5个版块进行文化活动，每晚向广大市民免费开放。</w:t>
      </w:r>
    </w:p>
    <w:p w14:paraId="3E74306A">
      <w:pPr>
        <w:rPr>
          <w:rFonts w:hint="eastAsia" w:hAnsi="宋体" w:cs="宋体"/>
          <w:highlight w:val="none"/>
        </w:rPr>
      </w:pPr>
      <w:r>
        <w:rPr>
          <w:rFonts w:hint="eastAsia" w:hAnsi="宋体" w:cs="宋体"/>
          <w:highlight w:val="none"/>
        </w:rPr>
        <w:t>开展文化艺术创作。出版长篇小说《烽火珠玑巷》、纪实丛书《赣粤边的红色记忆》、散文《悠悠散文心》和《绿叶》等一批文学作品。电视专题片《寻根珠玑魅力南雄》在南雄综合频道展播、大型歌舞情景剧《永远的乡愁》在第二届姓氏文化旅游节开幕演出。</w:t>
      </w:r>
    </w:p>
    <w:p w14:paraId="2523A28B">
      <w:pPr>
        <w:rPr>
          <w:rFonts w:hint="eastAsia" w:hAnsi="宋体" w:cs="宋体"/>
          <w:highlight w:val="none"/>
        </w:rPr>
      </w:pPr>
      <w:r>
        <w:rPr>
          <w:rFonts w:hint="eastAsia" w:hAnsi="宋体" w:cs="宋体"/>
          <w:highlight w:val="none"/>
        </w:rPr>
        <w:t>开展“百名作家走进中央苏区——南雄”采风活动。9月至10月，先后两批邀请中国作家协会副主席谭谈、全国知名作家、广东文学院签约作家等100多人走访梅岭、油山、水口战役、帽子峰、坪田等地采风，以南雄红色文化、姓氏文化等题材为背景，创作一批诗歌、散文和小说等文学作品。</w:t>
      </w:r>
    </w:p>
    <w:p w14:paraId="6DEE32C9">
      <w:pPr>
        <w:rPr>
          <w:rFonts w:hint="eastAsia" w:hAnsi="宋体" w:cs="宋体"/>
          <w:highlight w:val="none"/>
        </w:rPr>
      </w:pPr>
      <w:r>
        <w:rPr>
          <w:rFonts w:hint="eastAsia" w:hAnsi="宋体" w:cs="宋体"/>
          <w:highlight w:val="none"/>
        </w:rPr>
        <w:t>举办第二届“姓氏文化旅游节”。10月17日，在珠玑古巷举办南雄市第二届姓氏文化旅游节，邀请省内知名书法家开展“家风家训进万家”活动、编印《大美南雄》等画册，开展联谊、纪念、讲座、慈善、祭祖和姓氏文化图书展销等活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1746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BB2F18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40" name="图片 186" descr="慰问困难群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86" descr="慰问困难群众"/>
                          <pic:cNvPicPr>
                            <a:picLocks noChangeAspect="1"/>
                          </pic:cNvPicPr>
                        </pic:nvPicPr>
                        <pic:blipFill>
                          <a:blip r:embed="rId45"/>
                          <a:stretch>
                            <a:fillRect/>
                          </a:stretch>
                        </pic:blipFill>
                        <pic:spPr>
                          <a:xfrm>
                            <a:off x="0" y="0"/>
                            <a:ext cx="3420110" cy="2279650"/>
                          </a:xfrm>
                          <a:prstGeom prst="rect">
                            <a:avLst/>
                          </a:prstGeom>
                          <a:noFill/>
                          <a:ln>
                            <a:noFill/>
                          </a:ln>
                        </pic:spPr>
                      </pic:pic>
                    </a:graphicData>
                  </a:graphic>
                </wp:inline>
              </w:drawing>
            </w:r>
          </w:p>
        </w:tc>
      </w:tr>
      <w:tr w14:paraId="0AC0E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BDC123E">
            <w:pPr>
              <w:jc w:val="center"/>
              <w:rPr>
                <w:rFonts w:hint="eastAsia" w:hAnsi="宋体" w:cs="宋体"/>
                <w:highlight w:val="none"/>
                <w:vertAlign w:val="baseline"/>
              </w:rPr>
            </w:pPr>
            <w:r>
              <w:rPr>
                <w:rFonts w:hint="eastAsia" w:hAnsi="宋体" w:cs="宋体"/>
                <w:highlight w:val="none"/>
                <w:vertAlign w:val="baseline"/>
              </w:rPr>
              <w:t>市委常委、宣传部部长卜小燕（中）慰问帽子峰困难群众</w:t>
            </w:r>
          </w:p>
        </w:tc>
      </w:tr>
    </w:tbl>
    <w:p w14:paraId="69F45F9A">
      <w:pPr>
        <w:rPr>
          <w:rFonts w:hint="eastAsia" w:hAnsi="宋体" w:cs="宋体"/>
          <w:highlight w:val="none"/>
        </w:rPr>
      </w:pPr>
      <w:r>
        <w:rPr>
          <w:rFonts w:hint="eastAsia" w:hAnsi="宋体" w:cs="宋体"/>
          <w:highlight w:val="none"/>
        </w:rPr>
        <w:t>加强文化遗产保护。举办文艺演出、发放宣传册、现场咨询、非遗展示、知识问答等系列活动；成功申报“茶花灯”“火龙、火狮、火凤、火虾”和“扎稻草龙”等传统文化项目为韶关市第五批市级非物质文化遗产项目；里东戏台、南雄府城正南门、南雄府学宫大成殿保护、葛坪塔修复、红军题壁标语揭取件保护和水西桥修复等工程正有序进行。</w:t>
      </w:r>
    </w:p>
    <w:p w14:paraId="21506E6C">
      <w:pPr>
        <w:rPr>
          <w:rFonts w:hint="eastAsia" w:hAnsi="宋体" w:cs="宋体"/>
          <w:highlight w:val="none"/>
        </w:rPr>
      </w:pPr>
      <w:r>
        <w:rPr>
          <w:rFonts w:hint="eastAsia" w:hAnsi="宋体" w:cs="宋体"/>
          <w:highlight w:val="none"/>
        </w:rPr>
        <w:t>加强文化市场监管。2015年出动执法人员1343人次，车辆93次，检查各类文化经营场所391家次，其中网吧140家次，音像制品店54家次，娱乐场所40家次，书报刊经营单位69家次，印刷企业88家次。</w:t>
      </w:r>
    </w:p>
    <w:p w14:paraId="556A06AD">
      <w:pPr>
        <w:pStyle w:val="4"/>
        <w:bidi w:val="0"/>
        <w:rPr>
          <w:rFonts w:hint="eastAsia"/>
          <w:highlight w:val="none"/>
        </w:rPr>
      </w:pPr>
      <w:r>
        <w:rPr>
          <w:rFonts w:hint="eastAsia"/>
          <w:highlight w:val="none"/>
        </w:rPr>
        <w:t>【宣传文化队伍建设】</w:t>
      </w:r>
    </w:p>
    <w:p w14:paraId="1FA430D0">
      <w:pPr>
        <w:rPr>
          <w:rFonts w:hint="eastAsia" w:hAnsi="宋体" w:cs="宋体"/>
          <w:highlight w:val="none"/>
        </w:rPr>
      </w:pPr>
      <w:r>
        <w:rPr>
          <w:rFonts w:hint="eastAsia" w:hAnsi="宋体" w:cs="宋体"/>
          <w:highlight w:val="none"/>
        </w:rPr>
        <w:t>加强队伍建设。开展“三严三实”教育活动和“双学双比”主题实践活动，纪律教育学习月活动和组织生活会，抓好问题查摆和整改工作，集中整治宣传文化战线存在的“不严不实”问题。</w:t>
      </w:r>
    </w:p>
    <w:p w14:paraId="0AEB3E80">
      <w:pPr>
        <w:rPr>
          <w:rFonts w:hint="eastAsia" w:hAnsi="宋体" w:cs="宋体"/>
          <w:highlight w:val="none"/>
        </w:rPr>
      </w:pPr>
      <w:r>
        <w:rPr>
          <w:rFonts w:hint="eastAsia" w:hAnsi="宋体" w:cs="宋体"/>
          <w:highlight w:val="none"/>
        </w:rPr>
        <w:t>提升基层宣传干部整体素质。举办2期宣传思想文化知识培训班，对全市基层宣传文化干部260多人进行新时期宣传思想文化工作要求、培育和践行社会主义核心价值观、非物质文化遗产传承和古村落保护等内容培训；组织各镇（街道）宣传委员参加韶关市2015年基层宣传业务培训。</w:t>
      </w:r>
    </w:p>
    <w:p w14:paraId="46774230">
      <w:pPr>
        <w:jc w:val="right"/>
        <w:rPr>
          <w:rFonts w:hint="eastAsia" w:hAnsi="宋体" w:cs="宋体"/>
          <w:b w:val="0"/>
          <w:bCs w:val="0"/>
          <w:highlight w:val="none"/>
        </w:rPr>
      </w:pPr>
      <w:r>
        <w:rPr>
          <w:rFonts w:hint="eastAsia" w:hAnsi="宋体" w:cs="宋体"/>
          <w:b w:val="0"/>
          <w:bCs w:val="0"/>
          <w:highlight w:val="none"/>
        </w:rPr>
        <w:t>（罗秋雨）</w:t>
      </w:r>
    </w:p>
    <w:p w14:paraId="27BE38E1">
      <w:pPr>
        <w:rPr>
          <w:rFonts w:hint="eastAsia" w:hAnsi="宋体" w:cs="宋体"/>
          <w:b w:val="0"/>
          <w:bCs w:val="0"/>
          <w:highlight w:val="none"/>
        </w:rPr>
      </w:pPr>
      <w:r>
        <w:rPr>
          <w:rFonts w:hint="eastAsia" w:hAnsi="宋体" w:cs="宋体"/>
          <w:b w:val="0"/>
          <w:bCs w:val="0"/>
          <w:highlight w:val="none"/>
        </w:rPr>
        <w:t>附：2015年市委宣传部领导班子成员名单</w:t>
      </w:r>
    </w:p>
    <w:p w14:paraId="3DD459E8">
      <w:pPr>
        <w:rPr>
          <w:rFonts w:hint="eastAsia" w:hAnsi="宋体" w:cs="宋体"/>
          <w:b w:val="0"/>
          <w:bCs w:val="0"/>
          <w:highlight w:val="none"/>
        </w:rPr>
      </w:pPr>
      <w:r>
        <w:rPr>
          <w:rFonts w:hint="eastAsia" w:hAnsi="宋体" w:cs="宋体"/>
          <w:b w:val="0"/>
          <w:bCs w:val="0"/>
          <w:highlight w:val="none"/>
        </w:rPr>
        <w:t>部</w:t>
      </w:r>
      <w:r>
        <w:rPr>
          <w:rFonts w:hint="eastAsia" w:hAnsi="宋体" w:cs="宋体"/>
          <w:b w:val="0"/>
          <w:bCs w:val="0"/>
          <w:highlight w:val="none"/>
          <w:lang w:val="en-US" w:eastAsia="zh-CN"/>
        </w:rPr>
        <w:t xml:space="preserve">  </w:t>
      </w:r>
      <w:r>
        <w:rPr>
          <w:rFonts w:hint="eastAsia" w:hAnsi="宋体" w:cs="宋体"/>
          <w:b w:val="0"/>
          <w:bCs w:val="0"/>
          <w:highlight w:val="none"/>
        </w:rPr>
        <w:t>长：卜小燕（兼）</w:t>
      </w:r>
    </w:p>
    <w:p w14:paraId="4C6287F6">
      <w:pPr>
        <w:rPr>
          <w:rFonts w:hint="eastAsia" w:hAnsi="宋体" w:cs="宋体"/>
          <w:b w:val="0"/>
          <w:bCs w:val="0"/>
          <w:highlight w:val="none"/>
        </w:rPr>
      </w:pPr>
      <w:r>
        <w:rPr>
          <w:rFonts w:hint="eastAsia" w:hAnsi="宋体" w:cs="宋体"/>
          <w:b w:val="0"/>
          <w:bCs w:val="0"/>
          <w:highlight w:val="none"/>
        </w:rPr>
        <w:t>副部长：孔令平 肖兴麟 杨长乐</w:t>
      </w:r>
    </w:p>
    <w:p w14:paraId="1D0A0DBE">
      <w:pPr>
        <w:rPr>
          <w:rFonts w:hint="eastAsia" w:hAnsi="宋体" w:cs="宋体"/>
          <w:highlight w:val="none"/>
        </w:rPr>
      </w:pPr>
      <w:r>
        <w:rPr>
          <w:rFonts w:hint="eastAsia" w:hAnsi="宋体" w:cs="宋体"/>
          <w:highlight w:val="none"/>
        </w:rPr>
        <w:t>纪检组长：钟华山</w:t>
      </w:r>
    </w:p>
    <w:p w14:paraId="19A887CF">
      <w:pPr>
        <w:rPr>
          <w:rFonts w:hint="eastAsia" w:hAnsi="宋体" w:cs="宋体"/>
          <w:highlight w:val="none"/>
        </w:rPr>
      </w:pPr>
      <w:r>
        <w:rPr>
          <w:rFonts w:hint="eastAsia" w:hAnsi="宋体" w:cs="宋体"/>
          <w:highlight w:val="none"/>
        </w:rPr>
        <w:t>文明办副主任、人秘股股长：石德辉</w:t>
      </w:r>
    </w:p>
    <w:p w14:paraId="27B49BF7">
      <w:pPr>
        <w:pStyle w:val="3"/>
        <w:bidi w:val="0"/>
        <w:rPr>
          <w:rFonts w:hint="eastAsia"/>
          <w:highlight w:val="none"/>
        </w:rPr>
      </w:pPr>
      <w:r>
        <w:rPr>
          <w:rFonts w:hint="eastAsia"/>
          <w:highlight w:val="none"/>
        </w:rPr>
        <w:t>统战工作</w:t>
      </w:r>
    </w:p>
    <w:p w14:paraId="339A06CD">
      <w:pPr>
        <w:pStyle w:val="4"/>
        <w:bidi w:val="0"/>
        <w:rPr>
          <w:rFonts w:hint="eastAsia"/>
          <w:highlight w:val="none"/>
        </w:rPr>
      </w:pPr>
      <w:r>
        <w:rPr>
          <w:rFonts w:hint="eastAsia"/>
          <w:highlight w:val="none"/>
        </w:rPr>
        <w:t>【概况】</w:t>
      </w:r>
    </w:p>
    <w:p w14:paraId="69815079">
      <w:pPr>
        <w:rPr>
          <w:rFonts w:hint="eastAsia" w:hAnsi="宋体" w:cs="宋体"/>
          <w:highlight w:val="none"/>
        </w:rPr>
      </w:pPr>
      <w:r>
        <w:rPr>
          <w:rFonts w:hint="eastAsia" w:hAnsi="宋体" w:cs="宋体"/>
          <w:highlight w:val="none"/>
        </w:rPr>
        <w:t>中共南雄市委统战部是主管统一战线工作的职能部门。机构改革后，统战部下设办公室、对台工作办公室2个股室，设部长1人，副部长3人。工商联、侨联、民族宗教事务局与统战部合署办公。现有工作人员15人，编制数为：行政人员11人（统战部５人，民宗局3人，工商联２人，侨联１人），工勤人员２人。机构改革后对台办为统战部内设机构，对外挂牌。现有民主党派3个，即民革南雄市支部（党员42人）、民盟南雄市总支部（盟员44人）、九三学社南雄市支社（社员16人）；有4个教派，即佛教、道教、天主教、基督教；6个宗教活动场所，即大雄禅寺（佛教）、莲开净寺（佛教）、万善庵（佛教），洞真古观（道教），南雄天主堂（天主教）、南雄福音堂（基督教）；少数民族畲族6575人，散居在17个镇（街道）４8个行政村；工商联有会员450人，12个行业商会，21个会员企业建立党支部，15家民营企业成立“关心下一代工作委员会”；有华侨华人1650人，侨眷3000多人，归侨60人，现落户南雄的侨资企业有康绿宝（南雄）科技园；有台商企业2家，即南雄元升农业科技有限公司和广东清景旅游开发有限公司。</w:t>
      </w:r>
    </w:p>
    <w:p w14:paraId="20CD6A18">
      <w:pPr>
        <w:rPr>
          <w:rFonts w:hint="eastAsia" w:hAnsi="宋体" w:cs="宋体"/>
          <w:highlight w:val="none"/>
        </w:rPr>
      </w:pPr>
      <w:r>
        <w:rPr>
          <w:rFonts w:hint="eastAsia" w:hAnsi="宋体" w:cs="宋体"/>
          <w:highlight w:val="none"/>
        </w:rPr>
        <w:t>其主要职责是：</w:t>
      </w:r>
    </w:p>
    <w:p w14:paraId="4BF2809C">
      <w:pPr>
        <w:rPr>
          <w:rFonts w:hint="eastAsia" w:hAnsi="宋体" w:cs="宋体"/>
          <w:highlight w:val="none"/>
        </w:rPr>
      </w:pPr>
      <w:r>
        <w:rPr>
          <w:rFonts w:hint="eastAsia" w:hAnsi="宋体" w:cs="宋体"/>
          <w:highlight w:val="none"/>
        </w:rPr>
        <w:t>贯彻执行党的统一战线方针、政策和市委关于统战工作的指示精神，协调、指导镇（街）和部门单位的统战工作。</w:t>
      </w:r>
    </w:p>
    <w:p w14:paraId="76FEB188">
      <w:pPr>
        <w:rPr>
          <w:rFonts w:hint="eastAsia" w:hAnsi="宋体" w:cs="宋体"/>
          <w:highlight w:val="none"/>
        </w:rPr>
      </w:pPr>
      <w:r>
        <w:rPr>
          <w:rFonts w:hint="eastAsia" w:hAnsi="宋体" w:cs="宋体"/>
          <w:highlight w:val="none"/>
        </w:rPr>
        <w:t>负责联系市各民主党派、无党派代表人士及党外知识分子代表人士，反映他们的意见和建议；负责党外人士的政治安排，会同有关部门做好培训、选拔、推荐党外人士担任政府及其部门领导职务的工作；协助民主党派加强自身建设，发挥其参政议政和民主监督作用。</w:t>
      </w:r>
    </w:p>
    <w:p w14:paraId="2BE6A870">
      <w:pPr>
        <w:rPr>
          <w:rFonts w:hint="eastAsia" w:hAnsi="宋体" w:cs="宋体"/>
          <w:highlight w:val="none"/>
        </w:rPr>
      </w:pPr>
      <w:r>
        <w:rPr>
          <w:rFonts w:hint="eastAsia" w:hAnsi="宋体" w:cs="宋体"/>
          <w:highlight w:val="none"/>
        </w:rPr>
        <w:t>负责全市对台工作和涉台事务的归口管理，协调、指导有关单位开展对台经贸、科技和文化交流，做好涉台宣传及联系接待工作。</w:t>
      </w:r>
    </w:p>
    <w:p w14:paraId="356D943A">
      <w:pPr>
        <w:rPr>
          <w:rFonts w:hint="eastAsia" w:hAnsi="宋体" w:cs="宋体"/>
          <w:highlight w:val="none"/>
        </w:rPr>
      </w:pPr>
      <w:r>
        <w:rPr>
          <w:rFonts w:hint="eastAsia" w:hAnsi="宋体" w:cs="宋体"/>
          <w:highlight w:val="none"/>
        </w:rPr>
        <w:t>联系港澳和海外有关社团及代表人士，开展港澳统战工作和海外统战工作。</w:t>
      </w:r>
    </w:p>
    <w:p w14:paraId="267463AA">
      <w:pPr>
        <w:rPr>
          <w:rFonts w:hint="eastAsia" w:hAnsi="宋体" w:cs="宋体"/>
          <w:highlight w:val="none"/>
        </w:rPr>
      </w:pPr>
      <w:r>
        <w:rPr>
          <w:rFonts w:hint="eastAsia" w:hAnsi="宋体" w:cs="宋体"/>
          <w:highlight w:val="none"/>
        </w:rPr>
        <w:t>指导工商联工作，联系非公有制经济代表人士，调查、研究并反映他们的情况，提出政策建议，开展非公有制经济人士统战工作，促进非公有制经济健康发展。</w:t>
      </w:r>
    </w:p>
    <w:p w14:paraId="1B0F7B9D">
      <w:pPr>
        <w:rPr>
          <w:rFonts w:hint="eastAsia" w:hAnsi="宋体" w:cs="宋体"/>
          <w:highlight w:val="none"/>
        </w:rPr>
      </w:pPr>
      <w:r>
        <w:rPr>
          <w:rFonts w:hint="eastAsia" w:hAnsi="宋体" w:cs="宋体"/>
          <w:highlight w:val="none"/>
        </w:rPr>
        <w:t>联系宗教团体及其代表人物，依法管理宗教事务，引导宗教与社会主义社会相适应。依法加强对散居的少数民族事务管理，保护其合法权益。</w:t>
      </w:r>
    </w:p>
    <w:p w14:paraId="0BA02988">
      <w:pPr>
        <w:rPr>
          <w:rFonts w:hint="eastAsia" w:hAnsi="宋体" w:cs="宋体"/>
          <w:highlight w:val="none"/>
        </w:rPr>
      </w:pPr>
      <w:r>
        <w:rPr>
          <w:rFonts w:hint="eastAsia" w:hAnsi="宋体" w:cs="宋体"/>
          <w:highlight w:val="none"/>
        </w:rPr>
        <w:t>完成市委及上级部门交办的其他任务。</w:t>
      </w:r>
    </w:p>
    <w:p w14:paraId="63EBA417">
      <w:pPr>
        <w:pStyle w:val="4"/>
        <w:bidi w:val="0"/>
        <w:rPr>
          <w:rFonts w:hint="eastAsia"/>
          <w:highlight w:val="none"/>
        </w:rPr>
      </w:pPr>
      <w:r>
        <w:rPr>
          <w:rFonts w:hint="eastAsia"/>
          <w:highlight w:val="none"/>
        </w:rPr>
        <w:t>【加强新形势下党外代表人士队伍建设】</w:t>
      </w:r>
    </w:p>
    <w:p w14:paraId="176A003E">
      <w:pPr>
        <w:rPr>
          <w:rFonts w:hint="eastAsia" w:hAnsi="宋体" w:cs="宋体"/>
          <w:highlight w:val="none"/>
        </w:rPr>
      </w:pPr>
      <w:r>
        <w:rPr>
          <w:rFonts w:hint="eastAsia" w:hAnsi="宋体" w:cs="宋体"/>
          <w:highlight w:val="none"/>
        </w:rPr>
        <w:t>宣传贯彻落实中央、省、韶关市统战工作会议精神，宣传贯彻落实《中共韶关市委关于进一步加强新形势下党外代表人士队伍建设的意见》，加大党外代表人士的发现、培养、选拔任用力度。会同组织部门研究党外代表人士队伍建设工作，推荐民主党派干部到韶关市社会主义学院参加韶关市委组织部、统战部举办的民主党派干部培训班，组织民主党派、无党派、工商联等成员学习中央统战工作会议精神和《统战工作条例》等。落实党外人士政治安排，达到上级要求。</w:t>
      </w:r>
    </w:p>
    <w:p w14:paraId="5F826807">
      <w:pPr>
        <w:pStyle w:val="4"/>
        <w:bidi w:val="0"/>
        <w:rPr>
          <w:rFonts w:hint="eastAsia"/>
          <w:highlight w:val="none"/>
        </w:rPr>
      </w:pPr>
      <w:r>
        <w:rPr>
          <w:rFonts w:hint="eastAsia"/>
          <w:highlight w:val="none"/>
        </w:rPr>
        <w:t>【融洽政党关系，加强多党合作】</w:t>
      </w:r>
    </w:p>
    <w:p w14:paraId="2578014F">
      <w:pPr>
        <w:rPr>
          <w:rFonts w:hint="eastAsia" w:hAnsi="宋体" w:cs="宋体"/>
          <w:highlight w:val="none"/>
          <w:vertAlign w:val="baseline"/>
        </w:rPr>
      </w:pPr>
      <w:r>
        <w:rPr>
          <w:rFonts w:hint="eastAsia" w:hAnsi="宋体" w:cs="宋体"/>
          <w:highlight w:val="none"/>
        </w:rPr>
        <w:t>加强和完善中国共产党领导的多党合作政治制度，拓宽渠道，使党外人士较好发挥政治协商、民主监督、参政议政作用。2015年召开党外人士协商会、座谈会1次，以“重温历史、同心同行”为主题，突出“与党和人民同心”的主题学习教育活动，践行社会主义核心价值观，把广大统战成员紧密团结在党的周围。加强对民主党派成员的指导，加强民主党派自身建设，指导各民主党派抓好班子后备队伍建设，筹建南雄市无党派知识分子联谊会。引导民主党派成员、党外人士抓好思想建设，围绕该市开展“双学双比”活动，引导统一战线成员坚定信心，立足本职，争当科学发展观排头兵，努力破解难题，为该市经济社会发展作出贡献。引导民主党派成员开展助学、送医送药义诊活动等社会服务工作。在市人大政协会议上，各民主党派、工商联及无党派人士撰写政协提案16件，人大建议9件。组织各民主党派、无党派、工商界、宗教界等统战对象代表人士参加多种文化经济活动，展示该市统一战线各界人士的风采，对统战工作起到促进作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1D18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D4946E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41" name="图片 187" descr="帽子峰调研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87" descr="帽子峰调研工作"/>
                          <pic:cNvPicPr>
                            <a:picLocks noChangeAspect="1"/>
                          </pic:cNvPicPr>
                        </pic:nvPicPr>
                        <pic:blipFill>
                          <a:blip r:embed="rId46"/>
                          <a:stretch>
                            <a:fillRect/>
                          </a:stretch>
                        </pic:blipFill>
                        <pic:spPr>
                          <a:xfrm>
                            <a:off x="0" y="0"/>
                            <a:ext cx="3420110" cy="2279650"/>
                          </a:xfrm>
                          <a:prstGeom prst="rect">
                            <a:avLst/>
                          </a:prstGeom>
                          <a:noFill/>
                          <a:ln>
                            <a:noFill/>
                          </a:ln>
                        </pic:spPr>
                      </pic:pic>
                    </a:graphicData>
                  </a:graphic>
                </wp:inline>
              </w:drawing>
            </w:r>
          </w:p>
        </w:tc>
      </w:tr>
      <w:tr w14:paraId="452A9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6EAEEC4">
            <w:pPr>
              <w:jc w:val="center"/>
              <w:rPr>
                <w:rFonts w:hint="eastAsia" w:hAnsi="宋体" w:cs="宋体"/>
                <w:highlight w:val="none"/>
                <w:vertAlign w:val="baseline"/>
              </w:rPr>
            </w:pPr>
            <w:r>
              <w:rPr>
                <w:rFonts w:hint="eastAsia" w:hAnsi="宋体" w:cs="宋体"/>
                <w:highlight w:val="none"/>
                <w:vertAlign w:val="baseline"/>
              </w:rPr>
              <w:t>市委常委、统战部部长朱海兵（右二）到帽子峰调研工作</w:t>
            </w:r>
          </w:p>
        </w:tc>
      </w:tr>
    </w:tbl>
    <w:p w14:paraId="7A3DE687">
      <w:pPr>
        <w:pStyle w:val="4"/>
        <w:bidi w:val="0"/>
        <w:rPr>
          <w:rFonts w:hint="eastAsia"/>
          <w:highlight w:val="none"/>
        </w:rPr>
      </w:pPr>
      <w:r>
        <w:rPr>
          <w:rFonts w:hint="eastAsia"/>
          <w:highlight w:val="none"/>
        </w:rPr>
        <w:t>【加大与港澳台侨人士联络】</w:t>
      </w:r>
    </w:p>
    <w:p w14:paraId="1BD5F3B0">
      <w:pPr>
        <w:rPr>
          <w:rFonts w:hint="eastAsia" w:hAnsi="宋体" w:cs="宋体"/>
          <w:highlight w:val="none"/>
        </w:rPr>
      </w:pPr>
      <w:r>
        <w:rPr>
          <w:rFonts w:hint="eastAsia" w:hAnsi="宋体" w:cs="宋体"/>
          <w:highlight w:val="none"/>
        </w:rPr>
        <w:t>采取不同的方式方法，多渠道，广泛深入地宣传党的海外统战方针政策和南雄投资环境。参与省市经贸洽谈会，邀客商促项目，为发展该市外向型经济服务。加强联谊，多渠道多形式结交朋友，建立关系，通过他们宣传南雄，为经济建设服务。做好对台联络和交流交往工作，加强雄台经贸文化交流。争取组团赴台湾考察和开展经贸活动，同时，邀请有关台湾人士来南雄参观考察旅游观光，投资发展。主动争取支持，宣传对台交流工作，力争能组团赴台交流交往，推动两地经济发展。把康绿宝</w:t>
      </w:r>
      <w:r>
        <w:rPr>
          <w:rFonts w:hint="eastAsia" w:hAnsi="宋体" w:cs="宋体"/>
          <w:highlight w:val="none"/>
          <w:lang w:eastAsia="zh-CN"/>
        </w:rPr>
        <w:t>（</w:t>
      </w:r>
      <w:r>
        <w:rPr>
          <w:rFonts w:hint="eastAsia" w:hAnsi="宋体" w:cs="宋体"/>
          <w:highlight w:val="none"/>
        </w:rPr>
        <w:t>南雄</w:t>
      </w:r>
      <w:r>
        <w:rPr>
          <w:rFonts w:hint="eastAsia" w:hAnsi="宋体" w:cs="宋体"/>
          <w:highlight w:val="none"/>
          <w:lang w:eastAsia="zh-CN"/>
        </w:rPr>
        <w:t>）</w:t>
      </w:r>
      <w:r>
        <w:rPr>
          <w:rFonts w:hint="eastAsia" w:hAnsi="宋体" w:cs="宋体"/>
          <w:highlight w:val="none"/>
        </w:rPr>
        <w:t>科技园的跟踪服务当作一项主要工作来抓，使该企业越办越好，以促进南雄的社会经济发展。</w:t>
      </w:r>
    </w:p>
    <w:p w14:paraId="5DC7F84B">
      <w:pPr>
        <w:pStyle w:val="4"/>
        <w:bidi w:val="0"/>
        <w:rPr>
          <w:rFonts w:hint="eastAsia"/>
          <w:highlight w:val="none"/>
        </w:rPr>
      </w:pPr>
      <w:r>
        <w:rPr>
          <w:rFonts w:hint="eastAsia"/>
          <w:highlight w:val="none"/>
        </w:rPr>
        <w:t>【加强统战队伍自身建设】</w:t>
      </w:r>
    </w:p>
    <w:p w14:paraId="5BCC7CA2">
      <w:pPr>
        <w:rPr>
          <w:rFonts w:hint="eastAsia" w:hAnsi="宋体" w:cs="宋体"/>
          <w:highlight w:val="none"/>
        </w:rPr>
      </w:pPr>
      <w:r>
        <w:rPr>
          <w:rFonts w:hint="eastAsia" w:hAnsi="宋体" w:cs="宋体"/>
          <w:highlight w:val="none"/>
        </w:rPr>
        <w:t>加强学习，组织该部全体干部职工学习中央统战工作会议精神和《统战工作条例》等，每月坚持组织全体干部职工集体学习，准确把握中央和省、市关于新时期统战工作的新要求，建立健全统战工作领导体制和工作机制，及时研究解决重大问题，为统一战线工作上新台阶创造良好条件。转变作风。以创“五型”（学习型、服务型、创新型、效能型，和谐型）机关为目标：建设出一支具有全局观念、法制观念、服务意识、创新精神以及严谨工作作风的统战干部队伍，提高履职尽责的能力。</w:t>
      </w:r>
    </w:p>
    <w:p w14:paraId="7210B62E">
      <w:pPr>
        <w:pStyle w:val="4"/>
        <w:bidi w:val="0"/>
        <w:rPr>
          <w:rFonts w:hint="eastAsia"/>
          <w:highlight w:val="none"/>
        </w:rPr>
      </w:pPr>
      <w:r>
        <w:rPr>
          <w:rFonts w:hint="eastAsia"/>
          <w:highlight w:val="none"/>
        </w:rPr>
        <w:t>【扶贫开发和宣传报道】</w:t>
      </w:r>
    </w:p>
    <w:p w14:paraId="399B081F">
      <w:pPr>
        <w:rPr>
          <w:rFonts w:hint="eastAsia" w:hAnsi="宋体" w:cs="宋体"/>
          <w:highlight w:val="none"/>
        </w:rPr>
      </w:pPr>
      <w:r>
        <w:rPr>
          <w:rFonts w:hint="eastAsia" w:hAnsi="宋体" w:cs="宋体"/>
          <w:highlight w:val="none"/>
        </w:rPr>
        <w:t>抓好扶贫和挂点工作。做好本部挂点联系企业的跟踪服务工作，全力帮助南雄市天成化工有限公司和韶关长悦高分子材料有限公司遇到的各种问题，做好南雄康绿宝科技园跟踪服务工作。加大扶贫开发力度，帮助困难群众改善生产生活条件。统战部班子成员多次到百顺镇百顺村委会开展扶贫慰问活动，扶持每户贫困户200元的物资，并帮助10户贫困户落实2015年的生产规划，发展生产项目，调动贫困户生产积极性，鼓励贫困户树立脱贫致富信心。做好</w:t>
      </w:r>
      <w:r>
        <w:rPr>
          <w:rFonts w:hint="eastAsia" w:hAnsi="宋体" w:cs="宋体"/>
          <w:highlight w:val="none"/>
          <w:lang w:eastAsia="zh-CN"/>
        </w:rPr>
        <w:t>宣传报道</w:t>
      </w:r>
      <w:r>
        <w:rPr>
          <w:rFonts w:hint="eastAsia" w:hAnsi="宋体" w:cs="宋体"/>
          <w:highlight w:val="none"/>
        </w:rPr>
        <w:t>工作。把握正确的舆论导向，创新宣传模式，加大宣传力度，增进对南雄统战工作的认识和了解。2015年，该部报送稿件到省、市统战部36篇，其中有2篇被省委统战部采用，并推荐上报中央统战部。（钟祥灵）</w:t>
      </w:r>
    </w:p>
    <w:p w14:paraId="32B25D85">
      <w:pPr>
        <w:rPr>
          <w:rFonts w:hint="eastAsia" w:hAnsi="宋体" w:cs="宋体"/>
          <w:b w:val="0"/>
          <w:bCs w:val="0"/>
          <w:highlight w:val="none"/>
        </w:rPr>
      </w:pPr>
      <w:r>
        <w:rPr>
          <w:rFonts w:hint="eastAsia" w:hAnsi="宋体" w:cs="宋体"/>
          <w:b w:val="0"/>
          <w:bCs w:val="0"/>
          <w:highlight w:val="none"/>
        </w:rPr>
        <w:t>附：2015年市委统战部领导班子成员名单</w:t>
      </w:r>
    </w:p>
    <w:p w14:paraId="3D1FC272">
      <w:pPr>
        <w:rPr>
          <w:rFonts w:hint="eastAsia" w:hAnsi="宋体" w:cs="宋体"/>
          <w:b w:val="0"/>
          <w:bCs w:val="0"/>
          <w:highlight w:val="none"/>
        </w:rPr>
      </w:pPr>
      <w:r>
        <w:rPr>
          <w:rFonts w:hint="eastAsia" w:hAnsi="宋体" w:cs="宋体"/>
          <w:b w:val="0"/>
          <w:bCs w:val="0"/>
          <w:highlight w:val="none"/>
        </w:rPr>
        <w:t>部</w:t>
      </w:r>
      <w:r>
        <w:rPr>
          <w:rFonts w:hint="eastAsia" w:hAnsi="宋体" w:cs="宋体"/>
          <w:b w:val="0"/>
          <w:bCs w:val="0"/>
          <w:highlight w:val="none"/>
          <w:lang w:val="en-US" w:eastAsia="zh-CN"/>
        </w:rPr>
        <w:t xml:space="preserve">  </w:t>
      </w:r>
      <w:r>
        <w:rPr>
          <w:rFonts w:hint="eastAsia" w:hAnsi="宋体" w:cs="宋体"/>
          <w:b w:val="0"/>
          <w:bCs w:val="0"/>
          <w:highlight w:val="none"/>
        </w:rPr>
        <w:t>长：朱海兵（兼）</w:t>
      </w:r>
    </w:p>
    <w:p w14:paraId="3EB18DE6">
      <w:pPr>
        <w:rPr>
          <w:rFonts w:hint="eastAsia" w:hAnsi="宋体" w:cs="宋体"/>
          <w:b w:val="0"/>
          <w:bCs w:val="0"/>
          <w:highlight w:val="none"/>
        </w:rPr>
      </w:pPr>
      <w:r>
        <w:rPr>
          <w:rFonts w:hint="eastAsia" w:hAnsi="宋体" w:cs="宋体"/>
          <w:b w:val="0"/>
          <w:bCs w:val="0"/>
          <w:highlight w:val="none"/>
        </w:rPr>
        <w:t>副部长：董祖明</w:t>
      </w:r>
      <w:r>
        <w:rPr>
          <w:rFonts w:hint="eastAsia" w:hAnsi="宋体" w:cs="宋体"/>
          <w:b w:val="0"/>
          <w:bCs w:val="0"/>
          <w:highlight w:val="none"/>
          <w:lang w:val="en-US" w:eastAsia="zh-CN"/>
        </w:rPr>
        <w:t xml:space="preserve"> </w:t>
      </w:r>
      <w:r>
        <w:rPr>
          <w:rFonts w:hint="eastAsia" w:hAnsi="宋体" w:cs="宋体"/>
          <w:b w:val="0"/>
          <w:bCs w:val="0"/>
          <w:highlight w:val="none"/>
        </w:rPr>
        <w:t>陈烈</w:t>
      </w:r>
      <w:r>
        <w:rPr>
          <w:rFonts w:hint="eastAsia" w:hAnsi="宋体" w:cs="宋体"/>
          <w:b w:val="0"/>
          <w:bCs w:val="0"/>
          <w:highlight w:val="none"/>
          <w:lang w:val="en-US" w:eastAsia="zh-CN"/>
        </w:rPr>
        <w:t xml:space="preserve"> </w:t>
      </w:r>
      <w:r>
        <w:rPr>
          <w:rFonts w:hint="eastAsia" w:hAnsi="宋体" w:cs="宋体"/>
          <w:b w:val="0"/>
          <w:bCs w:val="0"/>
          <w:highlight w:val="none"/>
        </w:rPr>
        <w:t>罗青洋</w:t>
      </w:r>
    </w:p>
    <w:p w14:paraId="5DEA41BB">
      <w:pPr>
        <w:pStyle w:val="3"/>
        <w:bidi w:val="0"/>
        <w:rPr>
          <w:rFonts w:hint="eastAsia"/>
          <w:highlight w:val="none"/>
        </w:rPr>
      </w:pPr>
      <w:r>
        <w:rPr>
          <w:rFonts w:hint="eastAsia"/>
          <w:highlight w:val="none"/>
        </w:rPr>
        <w:t>老干工作</w:t>
      </w:r>
    </w:p>
    <w:p w14:paraId="23F81D7C">
      <w:pPr>
        <w:pStyle w:val="4"/>
        <w:bidi w:val="0"/>
        <w:rPr>
          <w:rFonts w:hint="eastAsia"/>
          <w:highlight w:val="none"/>
        </w:rPr>
      </w:pPr>
      <w:r>
        <w:rPr>
          <w:rFonts w:hint="eastAsia"/>
          <w:highlight w:val="none"/>
        </w:rPr>
        <w:t>【概况】</w:t>
      </w:r>
    </w:p>
    <w:p w14:paraId="66CC6E1B">
      <w:pPr>
        <w:rPr>
          <w:rFonts w:hint="eastAsia" w:hAnsi="宋体" w:cs="宋体"/>
          <w:highlight w:val="none"/>
        </w:rPr>
      </w:pPr>
      <w:r>
        <w:rPr>
          <w:rFonts w:hint="eastAsia" w:hAnsi="宋体" w:cs="宋体"/>
          <w:highlight w:val="none"/>
        </w:rPr>
        <w:t>中共南雄市委老干部局是市委主管全市离退休干部的工作机构，成立于1983年11月。2001年，机构改革将中共南雄市委离休退休干部工作局改为现名，设有办公室、离休股、退休股3个职能股（室），核定编制6名，其中领导职数3名（1正2副），其他干部3名（全部为股长职数），后勤编制1名，总编制7名。局下设一个公益一类事业单位——南雄市老干部活动中心，定编5名。现有干部职工5人，其中正副主任各1人，一般职工3人。老干部活动中心总建筑面积1400多平方米，集学习、娱乐、健身、休闲为一体，内设天九、麻将、象棋、乒乓球、健身、阅览等多个娱乐活动室，是全市唯一功能齐全，服务优质的老干部活动场所；另市区还设有门球场2个。</w:t>
      </w:r>
    </w:p>
    <w:p w14:paraId="05CE7D47">
      <w:pPr>
        <w:pStyle w:val="4"/>
        <w:bidi w:val="0"/>
        <w:rPr>
          <w:rFonts w:hint="eastAsia"/>
          <w:highlight w:val="none"/>
        </w:rPr>
      </w:pPr>
      <w:r>
        <w:rPr>
          <w:rFonts w:hint="eastAsia"/>
          <w:highlight w:val="none"/>
        </w:rPr>
        <w:t>【老干部政治待遇】</w:t>
      </w:r>
    </w:p>
    <w:p w14:paraId="77FC99FE">
      <w:pPr>
        <w:rPr>
          <w:rFonts w:hint="eastAsia" w:hAnsi="宋体" w:cs="宋体"/>
          <w:highlight w:val="none"/>
        </w:rPr>
      </w:pPr>
      <w:r>
        <w:rPr>
          <w:rFonts w:hint="eastAsia" w:hAnsi="宋体" w:cs="宋体"/>
          <w:highlight w:val="none"/>
        </w:rPr>
        <w:t>坚持通报工作制度。2015年2月10日，在迎宾馆1号会议室召开全市离休干部和副处级以上退休干部迎春茶话会，参会离退休老干部与市四套班子有关领导欢聚一堂、共叙情谊、共商发展大计。坚持学习制度。2015年为老干部订阅《秋光》杂志526多份、订阅《老人报》近100份，同时，市老干部活动中心还订阅党报党刊和各类老年人杂志12种，供老同志阅读，丰富老同志的精神文化生活。坚持邀请老干部参加重要会议和重大活动制度。市里召开人大会、政协会、民主推荐干部大会等重要会议和重大活动都邀请老干部参加，并安排他们在主席台或会场前排就座，让老干部参政议政。</w:t>
      </w:r>
    </w:p>
    <w:p w14:paraId="1BD036D9">
      <w:pPr>
        <w:pStyle w:val="4"/>
        <w:bidi w:val="0"/>
        <w:rPr>
          <w:rFonts w:hint="eastAsia"/>
          <w:highlight w:val="none"/>
        </w:rPr>
      </w:pPr>
      <w:r>
        <w:rPr>
          <w:rFonts w:hint="eastAsia"/>
          <w:highlight w:val="none"/>
        </w:rPr>
        <w:t>【老干部生活待遇】</w:t>
      </w:r>
    </w:p>
    <w:p w14:paraId="0B7A5E17">
      <w:pPr>
        <w:rPr>
          <w:rFonts w:hint="eastAsia" w:hAnsi="宋体" w:cs="宋体"/>
          <w:highlight w:val="none"/>
        </w:rPr>
      </w:pPr>
      <w:r>
        <w:rPr>
          <w:rFonts w:hint="eastAsia" w:hAnsi="宋体" w:cs="宋体"/>
          <w:highlight w:val="none"/>
        </w:rPr>
        <w:t>落实好离休干部“七一”增发一个月基本离休费等生活待遇和年终享受与在职干部同等待遇的第十三个月工资，确保各单位及时把本单位离休干部“七一”增发一个月基本离休费和年终第十三个月工资足额发放给离休干部。从2014年1月开始，按照中央、省市文件精神，提高全市离休干部护理费标准。同时2015年为2名生活不能自理的离休干部办理享受特殊护理费，即由原800元/月，提高到2600元/月，截至2015年12月31日，全市有20名离休干部享受特殊护理费。根据国家有关调整离退休费文件精神从2015年8月起，对14个企业单位21名离休干部和35名行政事业离休干部按在职人员同等职务标准增加离休人员离休费。</w:t>
      </w:r>
    </w:p>
    <w:p w14:paraId="20690759">
      <w:pPr>
        <w:pStyle w:val="4"/>
        <w:bidi w:val="0"/>
        <w:rPr>
          <w:rFonts w:hint="eastAsia"/>
          <w:highlight w:val="none"/>
        </w:rPr>
      </w:pPr>
      <w:r>
        <w:rPr>
          <w:rFonts w:hint="eastAsia"/>
          <w:highlight w:val="none"/>
        </w:rPr>
        <w:t>【离休干部医药费管理】</w:t>
      </w:r>
    </w:p>
    <w:p w14:paraId="6FB207C1">
      <w:pPr>
        <w:rPr>
          <w:rFonts w:hint="eastAsia" w:hAnsi="宋体" w:cs="宋体"/>
          <w:highlight w:val="none"/>
        </w:rPr>
      </w:pPr>
      <w:r>
        <w:rPr>
          <w:rFonts w:hint="eastAsia" w:hAnsi="宋体" w:cs="宋体"/>
          <w:highlight w:val="none"/>
        </w:rPr>
        <w:t>落实离休干部医药费管理机制。在对离休干部医药费采取分段结账报账方法的基础上，对医药费金额较大且老干部家庭经济较困难的，采取老干局经费先行垫付，分段报账时再补上的特事特办方式，解决老干部燃眉之急。实行离休干部医药费节约奖励的办法（对有病看病、小病节约、健康奖励的办法），规定“凡离休干部全年不报医药费的奖励2000元，一年内报销医药费在1000元以下（含1000元）的奖励1000元，一年内报销医药费在1000元以上、2000元以下的奖励500元”。这样既确保医药费不拖欠，又较好地堵住漏洞，减轻财政负担。</w:t>
      </w:r>
    </w:p>
    <w:p w14:paraId="76EC096A">
      <w:pPr>
        <w:pStyle w:val="4"/>
        <w:bidi w:val="0"/>
        <w:rPr>
          <w:rFonts w:hint="eastAsia"/>
          <w:highlight w:val="none"/>
        </w:rPr>
      </w:pPr>
      <w:r>
        <w:rPr>
          <w:rFonts w:hint="eastAsia"/>
          <w:highlight w:val="none"/>
        </w:rPr>
        <w:t>【走访慰问老干部】</w:t>
      </w:r>
    </w:p>
    <w:p w14:paraId="6052E7A0">
      <w:pPr>
        <w:rPr>
          <w:rFonts w:hint="eastAsia" w:hAnsi="宋体" w:cs="宋体"/>
          <w:highlight w:val="none"/>
        </w:rPr>
      </w:pPr>
      <w:r>
        <w:rPr>
          <w:rFonts w:hint="eastAsia" w:hAnsi="宋体" w:cs="宋体"/>
          <w:highlight w:val="none"/>
        </w:rPr>
        <w:t>2015年春节前夕，组织各镇（街道）、市直副科以上单位，对全市离休干部和副科级以上退休干部、2015年已故离休干部和副科级以上退休干部遗属进行慰问，代表市委、市政府送去慰问金和慰问信。2月10日，市委常委、组织部长叶济熊带领市委老干部局、市人民医院、市中医院的领导到医院看望正在接受住院治疗的离退休干部。2015年重阳节、中秋节期间对部分离休干部进行走访慰问。深入老干部家中，倾听老干部呼声，了解老干部家庭生活情况，尽力帮助解决老干部家中的实际问题和困难，切实为老干部办好事实事。耐心做好老干部信访维稳工作，维护老干部队伍的稳定。接待来信来访50多人次，处理老干部来信来访件8件，结案率100%。</w:t>
      </w:r>
    </w:p>
    <w:p w14:paraId="3CF1A708">
      <w:pPr>
        <w:pStyle w:val="4"/>
        <w:bidi w:val="0"/>
        <w:rPr>
          <w:rFonts w:hint="eastAsia"/>
          <w:highlight w:val="none"/>
        </w:rPr>
      </w:pPr>
      <w:r>
        <w:rPr>
          <w:rFonts w:hint="eastAsia"/>
          <w:highlight w:val="none"/>
        </w:rPr>
        <w:t>【加强老干部活动管理】</w:t>
      </w:r>
    </w:p>
    <w:p w14:paraId="0A769646">
      <w:pPr>
        <w:rPr>
          <w:rFonts w:hint="eastAsia" w:hAnsi="宋体" w:cs="宋体"/>
          <w:highlight w:val="none"/>
        </w:rPr>
      </w:pPr>
      <w:r>
        <w:rPr>
          <w:rFonts w:hint="eastAsia" w:hAnsi="宋体" w:cs="宋体"/>
          <w:highlight w:val="none"/>
        </w:rPr>
        <w:t>加强老干部学习活动场所建设和管理，为老干部学习活动提供一个安全放心的场所。以活动中心为阵地，除节假日外，每天都安排老干部参加跳舞、乒乓球、棋牌以及其他健身、书画指导等有益心身健康的文体活动。争取省委、市委老干部局的支持，多渠道筹集资金，立项位于迎宾大道东、黎灿小学北，申报新建南雄市老干部（老年）大学楼和新建多功能设施的老干部活动中心综合大楼，总用地面积8694</w:t>
      </w:r>
      <w:r>
        <w:rPr>
          <w:rFonts w:hint="eastAsia" w:ascii="MingLiU_HKSCS" w:hAnsi="MingLiU_HKSCS" w:eastAsia="MingLiU_HKSCS" w:cs="MingLiU_HKSCS"/>
          <w:highlight w:val="none"/>
        </w:rPr>
        <w:t>.</w:t>
      </w:r>
      <w:r>
        <w:rPr>
          <w:rFonts w:hint="eastAsia" w:hAnsi="宋体" w:cs="宋体"/>
          <w:highlight w:val="none"/>
        </w:rPr>
        <w:t>47平方米，建筑面积8000多平方米，总投资2300万元，建成后可容纳几千名老干部进行学习活动，更好地满足广大老干部日益增长精神文化需求。</w:t>
      </w:r>
    </w:p>
    <w:p w14:paraId="6013D07C">
      <w:pPr>
        <w:pStyle w:val="4"/>
        <w:bidi w:val="0"/>
        <w:rPr>
          <w:rFonts w:hint="eastAsia"/>
          <w:highlight w:val="none"/>
        </w:rPr>
      </w:pPr>
      <w:r>
        <w:rPr>
          <w:rFonts w:hint="eastAsia"/>
          <w:highlight w:val="none"/>
        </w:rPr>
        <w:t>【组织老干部开展各项文体活动】</w:t>
      </w:r>
    </w:p>
    <w:p w14:paraId="50E629BE">
      <w:pPr>
        <w:rPr>
          <w:rFonts w:hint="eastAsia" w:hAnsi="宋体" w:cs="宋体"/>
          <w:highlight w:val="none"/>
        </w:rPr>
      </w:pPr>
      <w:r>
        <w:rPr>
          <w:rFonts w:hint="eastAsia" w:hAnsi="宋体" w:cs="宋体"/>
          <w:highlight w:val="none"/>
        </w:rPr>
        <w:t>组织老干部开展丰富多彩、有益身心健康的文体活动，丰富老干部的晚年生活。2015年4个季度定期开展季度门球赛，组织4期300多人次参加；10月15—16日举办“老人节”综合文体比赛活动，200多名离退休干部参加门球、麻将、天九、乒乓球、扑克等多个项目的文体比赛活动。10月20日，在市老干部活动中心召开比赛颁奖大会。组织老干部开展各种节日纪念活动。</w:t>
      </w:r>
    </w:p>
    <w:p w14:paraId="238ED2D5">
      <w:pPr>
        <w:pStyle w:val="4"/>
        <w:bidi w:val="0"/>
        <w:rPr>
          <w:rFonts w:hint="eastAsia"/>
          <w:highlight w:val="none"/>
        </w:rPr>
      </w:pPr>
      <w:r>
        <w:rPr>
          <w:rFonts w:hint="eastAsia"/>
          <w:highlight w:val="none"/>
        </w:rPr>
        <w:t>【引导老干部发挥作用】</w:t>
      </w:r>
    </w:p>
    <w:p w14:paraId="6A4E0756">
      <w:pPr>
        <w:rPr>
          <w:rFonts w:hint="eastAsia" w:hAnsi="宋体" w:cs="宋体"/>
          <w:highlight w:val="none"/>
        </w:rPr>
      </w:pPr>
      <w:r>
        <w:rPr>
          <w:rFonts w:hint="eastAsia" w:hAnsi="宋体" w:cs="宋体"/>
          <w:highlight w:val="none"/>
        </w:rPr>
        <w:t>依托老促会、关工委、老游击战士联谊会3个平台，引导老干部为南雄经济社会发展贡献力量。市老促会在筹措资金推动南雄红色旅游发展，加强南雄老区宣传工作，提高南雄的对外知名度、美誉度和影响力等方面做许多富有成效的工作，得到社会上广泛好评；市关工委在留守儿童、学校德育工作、未成年人思想品德教育和农业创业青年培训方面做大量卓有成效的工作；市老游击战士关心南雄经济社会发展，主动为南雄经济社会发展献言献策，推动南雄经济社会健康有序发展。</w:t>
      </w:r>
    </w:p>
    <w:p w14:paraId="717A1805">
      <w:pPr>
        <w:pStyle w:val="4"/>
        <w:bidi w:val="0"/>
        <w:rPr>
          <w:rFonts w:hint="eastAsia"/>
          <w:highlight w:val="none"/>
        </w:rPr>
      </w:pPr>
      <w:r>
        <w:rPr>
          <w:rFonts w:hint="eastAsia"/>
          <w:highlight w:val="none"/>
        </w:rPr>
        <w:t>【加强自身建设】</w:t>
      </w:r>
    </w:p>
    <w:p w14:paraId="5B04D251">
      <w:pPr>
        <w:rPr>
          <w:rFonts w:hint="eastAsia" w:hAnsi="宋体" w:cs="宋体"/>
          <w:highlight w:val="none"/>
        </w:rPr>
      </w:pPr>
      <w:r>
        <w:rPr>
          <w:rFonts w:hint="eastAsia" w:hAnsi="宋体" w:cs="宋体"/>
          <w:highlight w:val="none"/>
        </w:rPr>
        <w:t>坚持集中学习制度，落实好每周五干部职工集中学习日制度，提高干部职工理论素养和业务水平；抓好“三严三实”教育活动、以学身边能人、学身边先进、比干事能力、比工作业绩“双学双比”主题实践活动、以“守纪律、讲规矩、作表率”为主题的纪律教育学习月等一系列教育活动，增强广大干部职工为老干部服务的责任感和荣誉感；结合“三严三实”“双学双比”和纪律教育学习月等一系列教育实践活动，健全和完善各项工作制度，有效地推动老干部工作规范、高效、有序开展。（戴书娇）</w:t>
      </w:r>
    </w:p>
    <w:p w14:paraId="685EAA42">
      <w:pPr>
        <w:rPr>
          <w:rFonts w:hint="eastAsia" w:hAnsi="宋体" w:cs="宋体"/>
          <w:b w:val="0"/>
          <w:bCs w:val="0"/>
          <w:highlight w:val="none"/>
        </w:rPr>
      </w:pPr>
      <w:r>
        <w:rPr>
          <w:rFonts w:hint="eastAsia" w:hAnsi="宋体" w:cs="宋体"/>
          <w:b w:val="0"/>
          <w:bCs w:val="0"/>
          <w:highlight w:val="none"/>
        </w:rPr>
        <w:t>附：2015年市老干局领导班子成员名单</w:t>
      </w:r>
    </w:p>
    <w:p w14:paraId="3AFBA93B">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长：陈章分</w:t>
      </w:r>
    </w:p>
    <w:p w14:paraId="537D80B8">
      <w:pPr>
        <w:rPr>
          <w:rFonts w:hint="eastAsia" w:hAnsi="宋体" w:cs="宋体"/>
          <w:b w:val="0"/>
          <w:bCs w:val="0"/>
          <w:highlight w:val="none"/>
        </w:rPr>
      </w:pPr>
      <w:r>
        <w:rPr>
          <w:rFonts w:hint="eastAsia" w:hAnsi="宋体" w:cs="宋体"/>
          <w:b w:val="0"/>
          <w:bCs w:val="0"/>
          <w:highlight w:val="none"/>
        </w:rPr>
        <w:t>副局长：曾冠雄 饶纪有</w:t>
      </w:r>
    </w:p>
    <w:p w14:paraId="3EEDC650">
      <w:pPr>
        <w:pStyle w:val="3"/>
        <w:bidi w:val="0"/>
        <w:rPr>
          <w:rFonts w:hint="eastAsia"/>
          <w:highlight w:val="none"/>
        </w:rPr>
      </w:pPr>
      <w:r>
        <w:rPr>
          <w:rFonts w:hint="eastAsia"/>
          <w:highlight w:val="none"/>
        </w:rPr>
        <w:t>机构编制</w:t>
      </w:r>
    </w:p>
    <w:p w14:paraId="34F0C520">
      <w:pPr>
        <w:pStyle w:val="4"/>
        <w:bidi w:val="0"/>
        <w:rPr>
          <w:rFonts w:hint="eastAsia"/>
          <w:highlight w:val="none"/>
        </w:rPr>
      </w:pPr>
      <w:r>
        <w:rPr>
          <w:rFonts w:hint="eastAsia"/>
          <w:highlight w:val="none"/>
        </w:rPr>
        <w:t>【概况】</w:t>
      </w:r>
    </w:p>
    <w:p w14:paraId="46B642B8">
      <w:pPr>
        <w:rPr>
          <w:rFonts w:hint="eastAsia" w:hAnsi="宋体" w:cs="宋体"/>
          <w:highlight w:val="none"/>
          <w:vertAlign w:val="baseline"/>
        </w:rPr>
      </w:pPr>
      <w:r>
        <w:rPr>
          <w:rFonts w:hint="eastAsia" w:hAnsi="宋体" w:cs="宋体"/>
          <w:highlight w:val="none"/>
        </w:rPr>
        <w:t>南雄市机构编制委员会办公室是市机构编制委员会常设办事机构，在市机构编制委员会领导下负责全市行政管理体制改革和机构改革、事业单位管理体制改革及机构编制日常管理工作。2010年8月，南雄市机构编制委员会办公室调整为单独设置，既是市委的工作部门，又是市政府的工作部门，列市委机构序列。内设3个股室——综合股、机构编制股、监督检查股，1个直属副科级行政单位——南雄市事业单位登记管理局。2013年9月，经编委会研究，同意成立南雄市行政审批制度改革办公室，正股级，挂靠南雄市编办管理。</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8EC9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1DEEEC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426335"/>
                  <wp:effectExtent l="0" t="0" r="8890" b="12065"/>
                  <wp:docPr id="42" name="图片 189" descr="2015年6月18日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9" descr="2015年6月18日在"/>
                          <pic:cNvPicPr>
                            <a:picLocks noChangeAspect="1"/>
                          </pic:cNvPicPr>
                        </pic:nvPicPr>
                        <pic:blipFill>
                          <a:blip r:embed="rId47"/>
                          <a:stretch>
                            <a:fillRect/>
                          </a:stretch>
                        </pic:blipFill>
                        <pic:spPr>
                          <a:xfrm>
                            <a:off x="0" y="0"/>
                            <a:ext cx="3420110" cy="2426335"/>
                          </a:xfrm>
                          <a:prstGeom prst="rect">
                            <a:avLst/>
                          </a:prstGeom>
                          <a:noFill/>
                          <a:ln>
                            <a:noFill/>
                          </a:ln>
                        </pic:spPr>
                      </pic:pic>
                    </a:graphicData>
                  </a:graphic>
                </wp:inline>
              </w:drawing>
            </w:r>
          </w:p>
        </w:tc>
      </w:tr>
      <w:tr w14:paraId="78FD9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C9313A7">
            <w:pPr>
              <w:jc w:val="center"/>
              <w:rPr>
                <w:rFonts w:hint="eastAsia" w:hAnsi="宋体" w:cs="宋体"/>
                <w:highlight w:val="none"/>
                <w:vertAlign w:val="baseline"/>
              </w:rPr>
            </w:pPr>
            <w:r>
              <w:rPr>
                <w:rFonts w:hint="eastAsia" w:hAnsi="宋体" w:cs="宋体"/>
                <w:highlight w:val="none"/>
                <w:vertAlign w:val="baseline"/>
              </w:rPr>
              <w:t>2015年6月18日，市编办召开支部会议，选举郭秀丽同志为支部书记，组建新一届支委</w:t>
            </w:r>
          </w:p>
        </w:tc>
      </w:tr>
    </w:tbl>
    <w:p w14:paraId="0A06EB23">
      <w:pPr>
        <w:pStyle w:val="4"/>
        <w:bidi w:val="0"/>
        <w:rPr>
          <w:rFonts w:hint="eastAsia"/>
          <w:highlight w:val="none"/>
        </w:rPr>
      </w:pPr>
      <w:r>
        <w:rPr>
          <w:rFonts w:hint="eastAsia"/>
          <w:highlight w:val="none"/>
        </w:rPr>
        <w:t>【政府职能转变和机构改革】</w:t>
      </w:r>
    </w:p>
    <w:p w14:paraId="191794A0">
      <w:pPr>
        <w:rPr>
          <w:rFonts w:hint="eastAsia" w:hAnsi="宋体" w:cs="宋体"/>
          <w:highlight w:val="none"/>
        </w:rPr>
      </w:pPr>
      <w:r>
        <w:rPr>
          <w:rFonts w:hint="eastAsia" w:hAnsi="宋体" w:cs="宋体"/>
          <w:highlight w:val="none"/>
        </w:rPr>
        <w:t>市编办先后组织工作人员对涉及新一轮机构改革的外经局、住建局、城管局、质监局、工商局和经信局等部门进行调研，详细了解各部门在机构设置、人员编制、职责履行等方面情况，通过召开部门座谈会和协调会，围绕当前各项机构改革过程中存在的职责划分、职能移交、人员调配、派出机构设置、经费物资保障等焦点问题进行探讨和研究，确保改革过渡期间各项工作不乱、监管执法效果不减、改革目标落实到位。涉及职能转变和机构调整的机关单位三定规定已全部制定印发。</w:t>
      </w:r>
    </w:p>
    <w:p w14:paraId="2FF32BAA">
      <w:pPr>
        <w:pStyle w:val="4"/>
        <w:bidi w:val="0"/>
        <w:rPr>
          <w:rFonts w:hint="eastAsia"/>
          <w:highlight w:val="none"/>
        </w:rPr>
      </w:pPr>
      <w:r>
        <w:rPr>
          <w:rFonts w:hint="eastAsia"/>
          <w:highlight w:val="none"/>
        </w:rPr>
        <w:t>【行政审批制度改革】</w:t>
      </w:r>
    </w:p>
    <w:p w14:paraId="0AFCA18C">
      <w:pPr>
        <w:rPr>
          <w:rFonts w:hint="eastAsia" w:hAnsi="宋体" w:cs="宋体"/>
          <w:highlight w:val="none"/>
        </w:rPr>
      </w:pPr>
      <w:r>
        <w:rPr>
          <w:rFonts w:hint="eastAsia" w:hAnsi="宋体" w:cs="宋体"/>
          <w:highlight w:val="none"/>
        </w:rPr>
        <w:t>编办对照《法律法规设定地方实施的行政审批事项基础清单（广东省）》，清单内涉及县级权限的66项非行政许可项目中，43项调整为行政许可审批、20项调整为其他事项、3项调整为政府内部审批。另外，对照《中央以其他形式设定地方实施的行政审批事项基础清单（广东省）》，清单内涉及县级权限的64项非行政许可中，37项调整为行政许可审批、26项调整为其他事项、1项调整为政府内部审批。</w:t>
      </w:r>
    </w:p>
    <w:p w14:paraId="41048AD9">
      <w:pPr>
        <w:pStyle w:val="4"/>
        <w:bidi w:val="0"/>
        <w:rPr>
          <w:rFonts w:hint="eastAsia"/>
          <w:highlight w:val="none"/>
        </w:rPr>
      </w:pPr>
      <w:r>
        <w:rPr>
          <w:rFonts w:hint="eastAsia"/>
          <w:highlight w:val="none"/>
        </w:rPr>
        <w:t>【权责清单编制】</w:t>
      </w:r>
    </w:p>
    <w:p w14:paraId="04A82F8F">
      <w:pPr>
        <w:rPr>
          <w:rFonts w:hint="eastAsia" w:hAnsi="宋体" w:cs="宋体"/>
          <w:highlight w:val="none"/>
        </w:rPr>
      </w:pPr>
      <w:r>
        <w:rPr>
          <w:rFonts w:hint="eastAsia" w:hAnsi="宋体" w:cs="宋体"/>
          <w:highlight w:val="none"/>
        </w:rPr>
        <w:t>2015年南雄市权责清单工作纳入清理范围的部门39个，共梳理出权力事项6746项，按照“法无授权不可为”和简政放权的要求进行清理规范，取消和调整权力事项118项。本次权责清单的梳理审核，列清各政府部门行政权力的底数，为简政放权锁定基数。</w:t>
      </w:r>
    </w:p>
    <w:p w14:paraId="18EE5055">
      <w:pPr>
        <w:pStyle w:val="4"/>
        <w:bidi w:val="0"/>
        <w:rPr>
          <w:rFonts w:hint="eastAsia"/>
          <w:highlight w:val="none"/>
        </w:rPr>
      </w:pPr>
      <w:r>
        <w:rPr>
          <w:rFonts w:hint="eastAsia"/>
          <w:highlight w:val="none"/>
        </w:rPr>
        <w:t>【机构编制实名制管理】</w:t>
      </w:r>
    </w:p>
    <w:p w14:paraId="3F2AF85A">
      <w:pPr>
        <w:rPr>
          <w:rFonts w:hint="eastAsia" w:hAnsi="宋体" w:cs="宋体"/>
          <w:highlight w:val="none"/>
          <w:vertAlign w:val="baseline"/>
        </w:rPr>
      </w:pPr>
      <w:r>
        <w:rPr>
          <w:rFonts w:hint="eastAsia" w:hAnsi="宋体" w:cs="宋体"/>
          <w:highlight w:val="none"/>
        </w:rPr>
        <w:t>南雄市实名系统数据于2015年5月全面对接省系统，举办业务培训1次，培训82人次。全年完成624名人员变动（含减员、入编），其中行政单位264人，事业单位149人，教育系统142人，卫生系统69人。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BCDA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8A2E5D2">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19655"/>
                  <wp:effectExtent l="0" t="0" r="8890" b="4445"/>
                  <wp:docPr id="43" name="图片 190" descr="2015年6月23日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90" descr="2015年6月23日编"/>
                          <pic:cNvPicPr>
                            <a:picLocks noChangeAspect="1"/>
                          </pic:cNvPicPr>
                        </pic:nvPicPr>
                        <pic:blipFill>
                          <a:blip r:embed="rId48"/>
                          <a:stretch>
                            <a:fillRect/>
                          </a:stretch>
                        </pic:blipFill>
                        <pic:spPr>
                          <a:xfrm>
                            <a:off x="0" y="0"/>
                            <a:ext cx="3420110" cy="2319655"/>
                          </a:xfrm>
                          <a:prstGeom prst="rect">
                            <a:avLst/>
                          </a:prstGeom>
                          <a:noFill/>
                          <a:ln>
                            <a:noFill/>
                          </a:ln>
                        </pic:spPr>
                      </pic:pic>
                    </a:graphicData>
                  </a:graphic>
                </wp:inline>
              </w:drawing>
            </w:r>
          </w:p>
        </w:tc>
      </w:tr>
      <w:tr w14:paraId="6DDC1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7E4B226">
            <w:pPr>
              <w:jc w:val="center"/>
              <w:rPr>
                <w:rFonts w:hint="eastAsia" w:hAnsi="宋体" w:cs="宋体"/>
                <w:highlight w:val="none"/>
                <w:vertAlign w:val="baseline"/>
              </w:rPr>
            </w:pPr>
            <w:r>
              <w:rPr>
                <w:rFonts w:hint="eastAsia" w:hAnsi="宋体" w:cs="宋体"/>
                <w:highlight w:val="none"/>
                <w:vertAlign w:val="baseline"/>
              </w:rPr>
              <w:t>2015年6月23日，市编办全体党员干部到帮点帮扶村黄坑镇许村村委会开展卫生文明村创建工作</w:t>
            </w:r>
          </w:p>
        </w:tc>
      </w:tr>
    </w:tbl>
    <w:p w14:paraId="431F6BCC">
      <w:pPr>
        <w:pStyle w:val="4"/>
        <w:bidi w:val="0"/>
        <w:rPr>
          <w:rFonts w:hint="eastAsia"/>
          <w:highlight w:val="none"/>
        </w:rPr>
      </w:pPr>
      <w:r>
        <w:rPr>
          <w:rFonts w:hint="eastAsia"/>
          <w:highlight w:val="none"/>
        </w:rPr>
        <w:t>【事业单位登记管理】</w:t>
      </w:r>
    </w:p>
    <w:p w14:paraId="41A3E8DE">
      <w:pPr>
        <w:rPr>
          <w:rFonts w:hint="eastAsia" w:hAnsi="宋体" w:cs="宋体"/>
          <w:highlight w:val="none"/>
        </w:rPr>
      </w:pPr>
      <w:r>
        <w:rPr>
          <w:rFonts w:hint="eastAsia" w:hAnsi="宋体" w:cs="宋体"/>
          <w:highlight w:val="none"/>
        </w:rPr>
        <w:t>顺利完成事业单位登记管理工作。其中法人年度报告193份，报送率达到100%。</w:t>
      </w:r>
    </w:p>
    <w:p w14:paraId="5EFF457C">
      <w:pPr>
        <w:pStyle w:val="4"/>
        <w:bidi w:val="0"/>
        <w:rPr>
          <w:rFonts w:hint="eastAsia"/>
          <w:highlight w:val="none"/>
        </w:rPr>
      </w:pPr>
      <w:r>
        <w:rPr>
          <w:rFonts w:hint="eastAsia"/>
          <w:highlight w:val="none"/>
        </w:rPr>
        <w:t>【网上名称管理】</w:t>
      </w:r>
    </w:p>
    <w:p w14:paraId="1142F022">
      <w:pPr>
        <w:rPr>
          <w:rFonts w:hint="eastAsia" w:hAnsi="宋体" w:cs="宋体"/>
          <w:highlight w:val="none"/>
        </w:rPr>
      </w:pPr>
      <w:r>
        <w:rPr>
          <w:rFonts w:hint="eastAsia" w:hAnsi="宋体" w:cs="宋体"/>
          <w:highlight w:val="none"/>
        </w:rPr>
        <w:t>2015年，南雄市机关事业单位458个，已注册330个，注册覆盖率72</w:t>
      </w:r>
      <w:r>
        <w:rPr>
          <w:rFonts w:hint="eastAsia" w:ascii="MingLiU_HKSCS" w:hAnsi="MingLiU_HKSCS" w:eastAsia="MingLiU_HKSCS" w:cs="MingLiU_HKSCS"/>
          <w:highlight w:val="none"/>
        </w:rPr>
        <w:t>.</w:t>
      </w:r>
      <w:r>
        <w:rPr>
          <w:rFonts w:hint="eastAsia" w:hAnsi="宋体" w:cs="宋体"/>
          <w:highlight w:val="none"/>
        </w:rPr>
        <w:t>1%，其中党政机关开办网站52个，通过审核为51个，事业单位提交标识申请为205个，通过审核为171个。（吴四串）</w:t>
      </w:r>
    </w:p>
    <w:p w14:paraId="2FD388CD">
      <w:pPr>
        <w:rPr>
          <w:rFonts w:hint="eastAsia" w:hAnsi="宋体" w:cs="宋体"/>
          <w:b w:val="0"/>
          <w:bCs w:val="0"/>
          <w:highlight w:val="none"/>
        </w:rPr>
      </w:pPr>
      <w:r>
        <w:rPr>
          <w:rFonts w:hint="eastAsia" w:hAnsi="宋体" w:cs="宋体"/>
          <w:b w:val="0"/>
          <w:bCs w:val="0"/>
          <w:highlight w:val="none"/>
        </w:rPr>
        <w:t>附：2014年南雄市机构编制委员会领导班子成员名单</w:t>
      </w:r>
    </w:p>
    <w:p w14:paraId="04565AA9">
      <w:pPr>
        <w:rPr>
          <w:rFonts w:hint="eastAsia" w:hAnsi="宋体" w:cs="宋体"/>
          <w:b w:val="0"/>
          <w:bCs w:val="0"/>
          <w:highlight w:val="none"/>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任：郭秀丽</w:t>
      </w:r>
    </w:p>
    <w:p w14:paraId="2FD96D8C">
      <w:pPr>
        <w:rPr>
          <w:rFonts w:hint="eastAsia" w:hAnsi="宋体" w:cs="宋体"/>
          <w:b w:val="0"/>
          <w:bCs w:val="0"/>
          <w:highlight w:val="none"/>
        </w:rPr>
      </w:pPr>
      <w:r>
        <w:rPr>
          <w:rFonts w:hint="eastAsia" w:hAnsi="宋体" w:cs="宋体"/>
          <w:b w:val="0"/>
          <w:bCs w:val="0"/>
          <w:highlight w:val="none"/>
        </w:rPr>
        <w:t>副主任：张荣凤 吴勤</w:t>
      </w:r>
    </w:p>
    <w:p w14:paraId="4521B5B1">
      <w:pPr>
        <w:rPr>
          <w:rFonts w:hint="eastAsia" w:hAnsi="宋体" w:cs="宋体"/>
          <w:highlight w:val="none"/>
        </w:rPr>
      </w:pPr>
      <w:r>
        <w:rPr>
          <w:rFonts w:hint="eastAsia" w:hAnsi="宋体" w:cs="宋体"/>
          <w:highlight w:val="none"/>
        </w:rPr>
        <w:t>市事业单位登记管理局局长：陈蔚燊</w:t>
      </w:r>
    </w:p>
    <w:p w14:paraId="66D76AD8">
      <w:pPr>
        <w:pStyle w:val="3"/>
        <w:bidi w:val="0"/>
        <w:rPr>
          <w:rFonts w:hint="eastAsia"/>
          <w:highlight w:val="none"/>
        </w:rPr>
      </w:pPr>
      <w:r>
        <w:rPr>
          <w:rFonts w:hint="eastAsia"/>
          <w:highlight w:val="none"/>
        </w:rPr>
        <w:t>信访工作</w:t>
      </w:r>
    </w:p>
    <w:p w14:paraId="3E824C89">
      <w:pPr>
        <w:pStyle w:val="4"/>
        <w:bidi w:val="0"/>
        <w:rPr>
          <w:rFonts w:hint="eastAsia"/>
          <w:highlight w:val="none"/>
        </w:rPr>
      </w:pPr>
      <w:r>
        <w:rPr>
          <w:rFonts w:hint="eastAsia"/>
          <w:highlight w:val="none"/>
        </w:rPr>
        <w:t>【概况】</w:t>
      </w:r>
    </w:p>
    <w:p w14:paraId="58DD4934">
      <w:pPr>
        <w:rPr>
          <w:rFonts w:hint="eastAsia" w:hAnsi="宋体" w:cs="宋体"/>
          <w:highlight w:val="none"/>
        </w:rPr>
      </w:pPr>
      <w:r>
        <w:rPr>
          <w:rFonts w:hint="eastAsia" w:hAnsi="宋体" w:cs="宋体"/>
          <w:highlight w:val="none"/>
        </w:rPr>
        <w:t>南雄市信访局系南雄市委办公室的内设机构，主要负责处理群众来信来访，及时、准确地向市委、市政府领导反映来信来访中提出重要建议、意见和问题；综合分析信访信息，开展调查研究，提出制定有关方针、政策建议的行政部门。设有办信接访室、督查室、综合办公室。行政编制6名，工勤人员2名。2015年，市信访局受理群众来访89批502人次，与上年同期对比批次下降10批，降幅为10</w:t>
      </w:r>
      <w:r>
        <w:rPr>
          <w:rFonts w:hint="eastAsia" w:ascii="MingLiU_HKSCS" w:hAnsi="MingLiU_HKSCS" w:eastAsia="MingLiU_HKSCS" w:cs="MingLiU_HKSCS"/>
          <w:highlight w:val="none"/>
        </w:rPr>
        <w:t>.</w:t>
      </w:r>
      <w:r>
        <w:rPr>
          <w:rFonts w:hint="eastAsia" w:hAnsi="宋体" w:cs="宋体"/>
          <w:highlight w:val="none"/>
        </w:rPr>
        <w:t>1%，人次下降99人，降幅为16</w:t>
      </w:r>
      <w:r>
        <w:rPr>
          <w:rFonts w:hint="eastAsia" w:ascii="MingLiU_HKSCS" w:hAnsi="MingLiU_HKSCS" w:eastAsia="MingLiU_HKSCS" w:cs="MingLiU_HKSCS"/>
          <w:highlight w:val="none"/>
        </w:rPr>
        <w:t>.</w:t>
      </w:r>
      <w:r>
        <w:rPr>
          <w:rFonts w:hint="eastAsia" w:hAnsi="宋体" w:cs="宋体"/>
          <w:highlight w:val="none"/>
        </w:rPr>
        <w:t>5%。其中集体访32批391人次，个访57批111人次；集体访与上年同期对比批次增加5批，上升18</w:t>
      </w:r>
      <w:r>
        <w:rPr>
          <w:rFonts w:hint="eastAsia" w:ascii="MingLiU_HKSCS" w:hAnsi="MingLiU_HKSCS" w:eastAsia="MingLiU_HKSCS" w:cs="MingLiU_HKSCS"/>
          <w:highlight w:val="none"/>
        </w:rPr>
        <w:t>.</w:t>
      </w:r>
      <w:r>
        <w:rPr>
          <w:rFonts w:hint="eastAsia" w:hAnsi="宋体" w:cs="宋体"/>
          <w:highlight w:val="none"/>
        </w:rPr>
        <w:t>5%，人次下降68人，降幅为14</w:t>
      </w:r>
      <w:r>
        <w:rPr>
          <w:rFonts w:hint="eastAsia" w:ascii="MingLiU_HKSCS" w:hAnsi="MingLiU_HKSCS" w:eastAsia="MingLiU_HKSCS" w:cs="MingLiU_HKSCS"/>
          <w:highlight w:val="none"/>
        </w:rPr>
        <w:t>.</w:t>
      </w:r>
      <w:r>
        <w:rPr>
          <w:rFonts w:hint="eastAsia" w:hAnsi="宋体" w:cs="宋体"/>
          <w:highlight w:val="none"/>
        </w:rPr>
        <w:t>8%。受理群众来信200件，与上年对比增加44件，上升28</w:t>
      </w:r>
      <w:r>
        <w:rPr>
          <w:rFonts w:hint="eastAsia" w:ascii="MingLiU_HKSCS" w:hAnsi="MingLiU_HKSCS" w:eastAsia="MingLiU_HKSCS" w:cs="MingLiU_HKSCS"/>
          <w:highlight w:val="none"/>
        </w:rPr>
        <w:t>.</w:t>
      </w:r>
      <w:r>
        <w:rPr>
          <w:rFonts w:hint="eastAsia" w:hAnsi="宋体" w:cs="宋体"/>
          <w:highlight w:val="none"/>
        </w:rPr>
        <w:t>2%，其中直接收信16件，上级信访部门转（交）办信184件。</w:t>
      </w:r>
    </w:p>
    <w:p w14:paraId="204F8427">
      <w:pPr>
        <w:pStyle w:val="4"/>
        <w:bidi w:val="0"/>
        <w:rPr>
          <w:rFonts w:hint="eastAsia"/>
          <w:highlight w:val="none"/>
        </w:rPr>
      </w:pPr>
      <w:r>
        <w:rPr>
          <w:rFonts w:hint="eastAsia"/>
          <w:highlight w:val="none"/>
        </w:rPr>
        <w:t>【推行网上信访】</w:t>
      </w:r>
    </w:p>
    <w:p w14:paraId="72727DF8">
      <w:pPr>
        <w:rPr>
          <w:rFonts w:hint="eastAsia" w:hAnsi="宋体" w:cs="宋体"/>
          <w:highlight w:val="none"/>
        </w:rPr>
      </w:pPr>
      <w:r>
        <w:rPr>
          <w:rFonts w:hint="eastAsia" w:hAnsi="宋体" w:cs="宋体"/>
          <w:highlight w:val="none"/>
        </w:rPr>
        <w:t>市信访局以便于应知应会和规范操作为重点，围绕录入办理、主动服务、矛盾纠纷排查化解等8个方面，健全系统运行规则，确保网上信访系统规范运行；坚持将网上信访事项处理全过程与信访群众保持温馨互动，了解信访人意见切实提升系统吸附力；根据系统日常巡查，月度通报信访事项重点隐患、按期办结、办理规范及党政领导接（约）访等工作，并多次实地深入系统应用薄弱的镇（街）和部门“一对一”地加强业务指导，提高信访信息化建设。</w:t>
      </w:r>
    </w:p>
    <w:p w14:paraId="6EA5580D">
      <w:pPr>
        <w:pStyle w:val="4"/>
        <w:bidi w:val="0"/>
        <w:rPr>
          <w:rFonts w:hint="eastAsia"/>
          <w:highlight w:val="none"/>
        </w:rPr>
      </w:pPr>
      <w:r>
        <w:rPr>
          <w:rFonts w:hint="eastAsia"/>
          <w:highlight w:val="none"/>
        </w:rPr>
        <w:t>【推进积案化解】</w:t>
      </w:r>
    </w:p>
    <w:p w14:paraId="7AD58DD0">
      <w:pPr>
        <w:rPr>
          <w:rFonts w:hint="eastAsia" w:hAnsi="宋体" w:cs="宋体"/>
          <w:highlight w:val="none"/>
        </w:rPr>
      </w:pPr>
      <w:r>
        <w:rPr>
          <w:rFonts w:hint="eastAsia" w:hAnsi="宋体" w:cs="宋体"/>
          <w:highlight w:val="none"/>
        </w:rPr>
        <w:t>在基层治理工作中，市信访局将化解信访积案作为切实转变工作作风、解决群众反映突出问题的重要工作内容，并于2015年6月起在全市启动信访积案攻坚化解专项行动。研判梳理并集中交办10件积案，实行市党政、人大领导干部包案，已办结10件，办结率达100%，化解率达100%。在全市信访积案攻坚化解专项行动中，把“办案子、拔钉子、啃骨头”的要求贯彻始终，取得明显成效。</w:t>
      </w:r>
    </w:p>
    <w:p w14:paraId="0D01C509">
      <w:pPr>
        <w:pStyle w:val="4"/>
        <w:bidi w:val="0"/>
        <w:rPr>
          <w:rFonts w:hint="eastAsia"/>
          <w:highlight w:val="none"/>
        </w:rPr>
      </w:pPr>
      <w:r>
        <w:rPr>
          <w:rFonts w:hint="eastAsia"/>
          <w:highlight w:val="none"/>
        </w:rPr>
        <w:t>【推开信访改革】</w:t>
      </w:r>
    </w:p>
    <w:p w14:paraId="447897A6">
      <w:pPr>
        <w:rPr>
          <w:rFonts w:hint="eastAsia" w:hAnsi="宋体" w:cs="宋体"/>
          <w:highlight w:val="none"/>
        </w:rPr>
      </w:pPr>
      <w:r>
        <w:rPr>
          <w:rFonts w:hint="eastAsia" w:hAnsi="宋体" w:cs="宋体"/>
          <w:highlight w:val="none"/>
        </w:rPr>
        <w:t>2015年，市信访局围绕信访工作制度改革重点，立足便民为民，创新举措全力畅通信访渠道，完善联合接访制度，形成重视群众工作、合力化解信访问题的良好环境；加快推进诉访分离和逐级走访，建立健全长效机制，引导信访群众依法按政策维护自身合法权益；按照省委、省政府部署要求，学习贯彻《信访条例》，深入推进镇（街）综治信访维稳中心工作。与此同时，借助韶关市信访业务平台系统督促基层真正落实“镇（街）为主”各项机制，使矛盾问题大都在基层一线得到及时就近就地解决。</w:t>
      </w:r>
    </w:p>
    <w:p w14:paraId="5A33F70C">
      <w:pPr>
        <w:pStyle w:val="4"/>
        <w:bidi w:val="0"/>
        <w:rPr>
          <w:rFonts w:hint="eastAsia"/>
          <w:highlight w:val="none"/>
        </w:rPr>
      </w:pPr>
      <w:r>
        <w:rPr>
          <w:rFonts w:hint="eastAsia"/>
          <w:highlight w:val="none"/>
        </w:rPr>
        <w:t>【推动业务提升】</w:t>
      </w:r>
    </w:p>
    <w:p w14:paraId="324675AB">
      <w:pPr>
        <w:rPr>
          <w:rFonts w:hint="eastAsia" w:hAnsi="宋体" w:cs="宋体"/>
          <w:highlight w:val="none"/>
        </w:rPr>
      </w:pPr>
      <w:r>
        <w:rPr>
          <w:rFonts w:hint="eastAsia" w:hAnsi="宋体" w:cs="宋体"/>
          <w:highlight w:val="none"/>
        </w:rPr>
        <w:t>市信访局在突出抓好各项重点工作的同时，立足岗位转作风，在解决群众合法合理诉求等方面取得显著成效。组织开展党政领导接（约）访活动，全市组织17位市党政领导干部开展接39批次，化解信访问题32件，化解率为82％；主动牵头协调疑难复杂信访问题，使一些久拖不决的信访问题得到妥善化解；规范信访秩序，严格按照《信访条例》的有关规定，引导信访群众依法维权，最大限度地维护信访群众合法权益。</w:t>
      </w:r>
    </w:p>
    <w:p w14:paraId="6CFB72D9">
      <w:pPr>
        <w:jc w:val="right"/>
        <w:rPr>
          <w:rFonts w:hint="eastAsia" w:hAnsi="宋体" w:cs="宋体"/>
          <w:highlight w:val="none"/>
        </w:rPr>
      </w:pPr>
      <w:r>
        <w:rPr>
          <w:rFonts w:hint="eastAsia" w:hAnsi="宋体" w:cs="宋体"/>
          <w:highlight w:val="none"/>
        </w:rPr>
        <w:t>（丁石凤）</w:t>
      </w:r>
    </w:p>
    <w:p w14:paraId="17852E23">
      <w:pPr>
        <w:rPr>
          <w:rFonts w:hint="eastAsia" w:hAnsi="宋体" w:cs="宋体"/>
          <w:b w:val="0"/>
          <w:bCs w:val="0"/>
          <w:highlight w:val="none"/>
        </w:rPr>
      </w:pPr>
      <w:r>
        <w:rPr>
          <w:rFonts w:hint="eastAsia" w:hAnsi="宋体" w:cs="宋体"/>
          <w:b w:val="0"/>
          <w:bCs w:val="0"/>
          <w:highlight w:val="none"/>
        </w:rPr>
        <w:t>附</w:t>
      </w:r>
      <w:r>
        <w:rPr>
          <w:rFonts w:hint="eastAsia" w:hAnsi="宋体" w:cs="宋体"/>
          <w:b w:val="0"/>
          <w:bCs w:val="0"/>
          <w:highlight w:val="none"/>
          <w:lang w:eastAsia="zh-CN"/>
        </w:rPr>
        <w:t>：</w:t>
      </w:r>
      <w:r>
        <w:rPr>
          <w:rFonts w:hint="eastAsia" w:hAnsi="宋体" w:cs="宋体"/>
          <w:b w:val="0"/>
          <w:bCs w:val="0"/>
          <w:highlight w:val="none"/>
        </w:rPr>
        <w:t>2015年市信访局领导班子成员名单</w:t>
      </w:r>
    </w:p>
    <w:p w14:paraId="5022DE0C">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长：陈志刚（兼）（任至8月）</w:t>
      </w:r>
    </w:p>
    <w:p w14:paraId="5E473BD3">
      <w:pPr>
        <w:ind w:firstLine="1260" w:firstLineChars="600"/>
        <w:rPr>
          <w:rFonts w:hint="eastAsia" w:hAnsi="宋体" w:cs="宋体"/>
          <w:highlight w:val="none"/>
        </w:rPr>
      </w:pPr>
      <w:r>
        <w:rPr>
          <w:rFonts w:hint="eastAsia" w:hAnsi="宋体" w:cs="宋体"/>
          <w:b w:val="0"/>
          <w:bCs w:val="0"/>
          <w:highlight w:val="none"/>
        </w:rPr>
        <w:t>杨志峰（兼）（8月任</w:t>
      </w:r>
      <w:r>
        <w:rPr>
          <w:rFonts w:hint="eastAsia" w:hAnsi="宋体" w:cs="宋体"/>
          <w:highlight w:val="none"/>
        </w:rPr>
        <w:t>）</w:t>
      </w:r>
    </w:p>
    <w:p w14:paraId="7D1A9544">
      <w:pPr>
        <w:rPr>
          <w:rFonts w:hint="eastAsia" w:hAnsi="宋体" w:cs="宋体"/>
          <w:highlight w:val="none"/>
        </w:rPr>
      </w:pPr>
      <w:r>
        <w:rPr>
          <w:rFonts w:hint="eastAsia" w:hAnsi="宋体" w:cs="宋体"/>
          <w:highlight w:val="none"/>
        </w:rPr>
        <w:t>副局长：刘水英 刘世娣</w:t>
      </w:r>
    </w:p>
    <w:p w14:paraId="1E562818">
      <w:pPr>
        <w:pStyle w:val="3"/>
        <w:bidi w:val="0"/>
        <w:rPr>
          <w:rFonts w:hint="eastAsia"/>
          <w:highlight w:val="none"/>
        </w:rPr>
      </w:pPr>
      <w:r>
        <w:rPr>
          <w:rFonts w:hint="eastAsia"/>
          <w:highlight w:val="none"/>
        </w:rPr>
        <w:t>党校工作</w:t>
      </w:r>
    </w:p>
    <w:p w14:paraId="3E08C74C">
      <w:pPr>
        <w:pStyle w:val="4"/>
        <w:bidi w:val="0"/>
        <w:rPr>
          <w:rFonts w:hint="eastAsia"/>
          <w:highlight w:val="none"/>
        </w:rPr>
      </w:pPr>
      <w:r>
        <w:rPr>
          <w:rFonts w:hint="eastAsia"/>
          <w:highlight w:val="none"/>
        </w:rPr>
        <w:t>【概况】</w:t>
      </w:r>
    </w:p>
    <w:p w14:paraId="0A27D74C">
      <w:pPr>
        <w:rPr>
          <w:rFonts w:hint="eastAsia" w:hAnsi="宋体" w:cs="宋体"/>
          <w:highlight w:val="none"/>
        </w:rPr>
      </w:pPr>
      <w:r>
        <w:rPr>
          <w:rFonts w:hint="eastAsia" w:hAnsi="宋体" w:cs="宋体"/>
          <w:highlight w:val="none"/>
        </w:rPr>
        <w:t>中国共产党南雄市委员会党校位于南雄市雄州镇雄东路148号，占地面积15000平方米，建筑面积3200多平方米。2003年8月，中国共产党南雄市委员会党校、南雄市广播电视大学、南雄市教师进修学校“三校”合并，实行一套人马、三块牌子的办学模式。由南雄市委副书记兼任校长，常务副校长主持学校日常工作，实行校务委员会的管理体制，重大事项由校务委员会讨论决定。为南雄市委直属单位，内设6个股级机构：办公室、教务处、培训处、电教处、后勤处、农村劳动力培训服务中心。领导职数4名（一正三副），内设机构领导职数12名（6正6副）。学校办学经费主要来源于市财政拨款，教职工工资由市财政全额拨付。</w:t>
      </w:r>
    </w:p>
    <w:p w14:paraId="44D16E39">
      <w:pPr>
        <w:rPr>
          <w:rFonts w:hint="eastAsia" w:hAnsi="宋体" w:cs="宋体"/>
          <w:highlight w:val="none"/>
        </w:rPr>
      </w:pPr>
      <w:r>
        <w:rPr>
          <w:rFonts w:hint="eastAsia" w:hAnsi="宋体" w:cs="宋体"/>
          <w:highlight w:val="none"/>
        </w:rPr>
        <w:t>学校现有教职工44人，其中，专职教师29人，占全体教职工的64</w:t>
      </w:r>
      <w:r>
        <w:rPr>
          <w:rFonts w:hint="eastAsia" w:ascii="MingLiU_HKSCS" w:hAnsi="MingLiU_HKSCS" w:eastAsia="MingLiU_HKSCS" w:cs="MingLiU_HKSCS"/>
          <w:highlight w:val="none"/>
        </w:rPr>
        <w:t>.</w:t>
      </w:r>
      <w:r>
        <w:rPr>
          <w:rFonts w:hint="eastAsia" w:hAnsi="宋体" w:cs="宋体"/>
          <w:highlight w:val="none"/>
        </w:rPr>
        <w:t>4%（高级教师7人，中级教师16人，初级教师6人），其他专业技术人员1人，参公管理人员6人，职员3人，技术工人6人。</w:t>
      </w:r>
    </w:p>
    <w:p w14:paraId="5C07E01D">
      <w:pPr>
        <w:pStyle w:val="4"/>
        <w:bidi w:val="0"/>
        <w:rPr>
          <w:rFonts w:hint="eastAsia"/>
          <w:highlight w:val="none"/>
        </w:rPr>
      </w:pPr>
      <w:r>
        <w:rPr>
          <w:rFonts w:hint="eastAsia"/>
          <w:highlight w:val="none"/>
        </w:rPr>
        <w:t>【干部队伍建设】</w:t>
      </w:r>
    </w:p>
    <w:p w14:paraId="5446930E">
      <w:pPr>
        <w:rPr>
          <w:rFonts w:hint="eastAsia" w:hAnsi="宋体" w:cs="宋体"/>
          <w:highlight w:val="none"/>
        </w:rPr>
      </w:pPr>
      <w:r>
        <w:rPr>
          <w:rFonts w:hint="eastAsia" w:hAnsi="宋体" w:cs="宋体"/>
          <w:highlight w:val="none"/>
        </w:rPr>
        <w:t>优质高效的干部培训教学能力提升，必须有一支“政治强、业务精、作风正”的教师队伍，学校通过引进、培养、聘任等方式，有效地推进师资的优化和教学能力提升。</w:t>
      </w:r>
    </w:p>
    <w:p w14:paraId="156F55FA">
      <w:pPr>
        <w:rPr>
          <w:rFonts w:hint="eastAsia" w:hAnsi="宋体" w:cs="宋体"/>
          <w:highlight w:val="none"/>
        </w:rPr>
      </w:pPr>
      <w:r>
        <w:rPr>
          <w:rFonts w:hint="eastAsia" w:hAnsi="宋体" w:cs="宋体"/>
          <w:highlight w:val="none"/>
        </w:rPr>
        <w:t>由组织人事部门选调4位中高级职称教师充实教师队伍。</w:t>
      </w:r>
    </w:p>
    <w:p w14:paraId="0654F62F">
      <w:pPr>
        <w:rPr>
          <w:rFonts w:hint="eastAsia" w:hAnsi="宋体" w:cs="宋体"/>
          <w:highlight w:val="none"/>
        </w:rPr>
      </w:pPr>
      <w:r>
        <w:rPr>
          <w:rFonts w:hint="eastAsia" w:hAnsi="宋体" w:cs="宋体"/>
          <w:highlight w:val="none"/>
        </w:rPr>
        <w:t>鼓励教师申报高等级专业技术职称，有2位教师成功申报取得高级讲师职称并聘任。</w:t>
      </w:r>
    </w:p>
    <w:p w14:paraId="032BD122">
      <w:pPr>
        <w:rPr>
          <w:rFonts w:hint="eastAsia" w:hAnsi="宋体" w:cs="宋体"/>
          <w:highlight w:val="none"/>
        </w:rPr>
      </w:pPr>
      <w:r>
        <w:rPr>
          <w:rFonts w:hint="eastAsia" w:hAnsi="宋体" w:cs="宋体"/>
          <w:highlight w:val="none"/>
        </w:rPr>
        <w:t>精选外聘教师。聘请知识渊博、实践经验丰富的市直有关单位领导担任兼职教员。</w:t>
      </w:r>
    </w:p>
    <w:p w14:paraId="593B01F1">
      <w:pPr>
        <w:rPr>
          <w:rFonts w:hint="eastAsia" w:hAnsi="宋体" w:cs="宋体"/>
          <w:highlight w:val="none"/>
        </w:rPr>
      </w:pPr>
      <w:r>
        <w:rPr>
          <w:rFonts w:hint="eastAsia" w:hAnsi="宋体" w:cs="宋体"/>
          <w:highlight w:val="none"/>
        </w:rPr>
        <w:t>加大骨干教师培养力度。鼓励青年教师进修高等级学历或继续教育学习。8月份，选派2位青年教师参加韶关对口培训班学习。</w:t>
      </w:r>
    </w:p>
    <w:p w14:paraId="56282A1D">
      <w:pPr>
        <w:pStyle w:val="4"/>
        <w:bidi w:val="0"/>
        <w:rPr>
          <w:rFonts w:hint="eastAsia"/>
          <w:highlight w:val="none"/>
        </w:rPr>
      </w:pPr>
      <w:r>
        <w:rPr>
          <w:rFonts w:hint="eastAsia"/>
          <w:highlight w:val="none"/>
        </w:rPr>
        <w:t>【干部培训情况】</w:t>
      </w:r>
    </w:p>
    <w:p w14:paraId="58396C3D">
      <w:pPr>
        <w:rPr>
          <w:rFonts w:hint="eastAsia" w:hAnsi="宋体" w:cs="宋体"/>
          <w:highlight w:val="none"/>
        </w:rPr>
      </w:pPr>
      <w:r>
        <w:rPr>
          <w:rFonts w:hint="eastAsia" w:hAnsi="宋体" w:cs="宋体"/>
          <w:highlight w:val="none"/>
        </w:rPr>
        <w:t>党校是党员干部教育培训工作主阵地，为做好党员干部的培训轮训工作，党校配合组织人事部门，按照《中国共产党党校工作条例》《干部教育培训工作条例》《公务员法》要求，联合制订2015年度的干部教育培训计划，对各主体班次的培训对象、学制、举办时间、教学内容、培训措施等都作详细规定，然后分期实施。2015年，党校贯彻落实中组部、省委组织部《关于加强干部培训学员管理的若干规定》精神，借鉴兄弟党校经验，结合本地实际，采取有力措施，加强学风建设，使党校干部教育培训质量提升。2015年，党校先后承接各级各部门举办扶贫开发培训班、新录用公务员培训班、入党积极分子培训班、扶贫开发暨村支书、主任培训班、科级干部培训班、公务员全员培训班、住房公积金政策宣传与业务知识培训、公务员初任培训班、农村宣传思想文化知识培训班等各种培训班次27期，参加培训人数达3001人次，详情见下表：</w:t>
      </w:r>
    </w:p>
    <w:p w14:paraId="5A810918">
      <w:pPr>
        <w:jc w:val="center"/>
        <w:rPr>
          <w:rFonts w:hint="eastAsia" w:hAnsi="宋体" w:cs="宋体"/>
          <w:highlight w:val="none"/>
        </w:rPr>
      </w:pPr>
      <w:r>
        <w:rPr>
          <w:rFonts w:hint="eastAsia" w:hAnsi="宋体" w:cs="宋体"/>
          <w:highlight w:val="none"/>
        </w:rPr>
        <w:t>2015年组织各类培训情况表</w:t>
      </w:r>
    </w:p>
    <w:p w14:paraId="3D635475">
      <w:pPr>
        <w:rPr>
          <w:rFonts w:hAnsi="宋体" w:cs="宋体"/>
          <w:highlight w:val="none"/>
        </w:rPr>
      </w:pPr>
      <w:r>
        <w:rPr>
          <w:rFonts w:hint="eastAsia" w:hAnsi="宋体" w:cs="宋体"/>
          <w:highlight w:val="none"/>
        </w:rPr>
        <w:t>表2</w:t>
      </w:r>
    </w:p>
    <w:tbl>
      <w:tblPr>
        <w:tblStyle w:val="7"/>
        <w:tblW w:w="8820" w:type="dxa"/>
        <w:tblInd w:w="0" w:type="dxa"/>
        <w:tblLayout w:type="fixed"/>
        <w:tblCellMar>
          <w:top w:w="0" w:type="dxa"/>
          <w:left w:w="108" w:type="dxa"/>
          <w:bottom w:w="0" w:type="dxa"/>
          <w:right w:w="108" w:type="dxa"/>
        </w:tblCellMar>
      </w:tblPr>
      <w:tblGrid>
        <w:gridCol w:w="4500"/>
        <w:gridCol w:w="1260"/>
        <w:gridCol w:w="1260"/>
        <w:gridCol w:w="1800"/>
      </w:tblGrid>
      <w:tr w14:paraId="6DD76FBB">
        <w:tblPrEx>
          <w:tblCellMar>
            <w:top w:w="0" w:type="dxa"/>
            <w:left w:w="108" w:type="dxa"/>
            <w:bottom w:w="0" w:type="dxa"/>
            <w:right w:w="108" w:type="dxa"/>
          </w:tblCellMar>
        </w:tblPrEx>
        <w:trPr>
          <w:trHeight w:val="764" w:hRule="atLeast"/>
        </w:trPr>
        <w:tc>
          <w:tcPr>
            <w:tcW w:w="4500" w:type="dxa"/>
            <w:tcBorders>
              <w:top w:val="single" w:color="auto" w:sz="4" w:space="0"/>
              <w:left w:val="single" w:color="auto" w:sz="4" w:space="0"/>
              <w:bottom w:val="single" w:color="auto" w:sz="4" w:space="0"/>
              <w:right w:val="single" w:color="auto" w:sz="4" w:space="0"/>
            </w:tcBorders>
            <w:noWrap w:val="0"/>
            <w:vAlign w:val="center"/>
          </w:tcPr>
          <w:p w14:paraId="3758CA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b w:val="0"/>
                <w:bCs/>
                <w:highlight w:val="none"/>
              </w:rPr>
              <w:t>培   训   班   别</w:t>
            </w:r>
          </w:p>
        </w:tc>
        <w:tc>
          <w:tcPr>
            <w:tcW w:w="1260" w:type="dxa"/>
            <w:tcBorders>
              <w:top w:val="single" w:color="auto" w:sz="4" w:space="0"/>
              <w:left w:val="nil"/>
              <w:bottom w:val="single" w:color="auto" w:sz="4" w:space="0"/>
              <w:right w:val="single" w:color="auto" w:sz="4" w:space="0"/>
            </w:tcBorders>
            <w:noWrap w:val="0"/>
            <w:vAlign w:val="center"/>
          </w:tcPr>
          <w:p w14:paraId="09BA6C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举 办 期 数</w:t>
            </w:r>
          </w:p>
        </w:tc>
        <w:tc>
          <w:tcPr>
            <w:tcW w:w="1260" w:type="dxa"/>
            <w:tcBorders>
              <w:top w:val="single" w:color="auto" w:sz="4" w:space="0"/>
              <w:left w:val="nil"/>
              <w:bottom w:val="single" w:color="auto" w:sz="4" w:space="0"/>
              <w:right w:val="single" w:color="auto" w:sz="4" w:space="0"/>
            </w:tcBorders>
            <w:noWrap w:val="0"/>
            <w:vAlign w:val="center"/>
          </w:tcPr>
          <w:p w14:paraId="278361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参 培  人 数</w:t>
            </w:r>
          </w:p>
        </w:tc>
        <w:tc>
          <w:tcPr>
            <w:tcW w:w="1800" w:type="dxa"/>
            <w:tcBorders>
              <w:top w:val="single" w:color="auto" w:sz="4" w:space="0"/>
              <w:left w:val="nil"/>
              <w:bottom w:val="single" w:color="auto" w:sz="4" w:space="0"/>
              <w:right w:val="single" w:color="auto" w:sz="4" w:space="0"/>
            </w:tcBorders>
            <w:noWrap w:val="0"/>
            <w:vAlign w:val="center"/>
          </w:tcPr>
          <w:p w14:paraId="003185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举 办 部 门</w:t>
            </w:r>
          </w:p>
        </w:tc>
      </w:tr>
      <w:tr w14:paraId="7AAEF975">
        <w:tblPrEx>
          <w:tblCellMar>
            <w:top w:w="0" w:type="dxa"/>
            <w:left w:w="108" w:type="dxa"/>
            <w:bottom w:w="0" w:type="dxa"/>
            <w:right w:w="108" w:type="dxa"/>
          </w:tblCellMar>
        </w:tblPrEx>
        <w:trPr>
          <w:trHeight w:val="318" w:hRule="atLeast"/>
        </w:trPr>
        <w:tc>
          <w:tcPr>
            <w:tcW w:w="4500" w:type="dxa"/>
            <w:tcBorders>
              <w:top w:val="single" w:color="auto" w:sz="4" w:space="0"/>
              <w:left w:val="single" w:color="auto" w:sz="4" w:space="0"/>
              <w:bottom w:val="single" w:color="auto" w:sz="4" w:space="0"/>
              <w:right w:val="single" w:color="auto" w:sz="4" w:space="0"/>
            </w:tcBorders>
            <w:noWrap w:val="0"/>
            <w:vAlign w:val="center"/>
          </w:tcPr>
          <w:p w14:paraId="24F798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扶贫开发培训班</w:t>
            </w:r>
          </w:p>
        </w:tc>
        <w:tc>
          <w:tcPr>
            <w:tcW w:w="1260" w:type="dxa"/>
            <w:tcBorders>
              <w:top w:val="single" w:color="auto" w:sz="4" w:space="0"/>
              <w:left w:val="nil"/>
              <w:bottom w:val="single" w:color="auto" w:sz="4" w:space="0"/>
              <w:right w:val="single" w:color="auto" w:sz="4" w:space="0"/>
            </w:tcBorders>
            <w:noWrap w:val="0"/>
            <w:vAlign w:val="center"/>
          </w:tcPr>
          <w:p w14:paraId="70D159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1260" w:type="dxa"/>
            <w:tcBorders>
              <w:top w:val="single" w:color="auto" w:sz="4" w:space="0"/>
              <w:left w:val="nil"/>
              <w:bottom w:val="single" w:color="auto" w:sz="4" w:space="0"/>
              <w:right w:val="single" w:color="auto" w:sz="4" w:space="0"/>
            </w:tcBorders>
            <w:noWrap w:val="0"/>
            <w:vAlign w:val="center"/>
          </w:tcPr>
          <w:p w14:paraId="77DC7E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207</w:t>
            </w:r>
          </w:p>
        </w:tc>
        <w:tc>
          <w:tcPr>
            <w:tcW w:w="1800" w:type="dxa"/>
            <w:tcBorders>
              <w:top w:val="single" w:color="auto" w:sz="4" w:space="0"/>
              <w:left w:val="nil"/>
              <w:bottom w:val="single" w:color="auto" w:sz="4" w:space="0"/>
              <w:right w:val="single" w:color="auto" w:sz="4" w:space="0"/>
            </w:tcBorders>
            <w:noWrap w:val="0"/>
            <w:vAlign w:val="center"/>
          </w:tcPr>
          <w:p w14:paraId="69886A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扶贫办</w:t>
            </w:r>
          </w:p>
        </w:tc>
      </w:tr>
      <w:tr w14:paraId="4A768A13">
        <w:tblPrEx>
          <w:tblCellMar>
            <w:top w:w="0" w:type="dxa"/>
            <w:left w:w="108" w:type="dxa"/>
            <w:bottom w:w="0" w:type="dxa"/>
            <w:right w:w="108" w:type="dxa"/>
          </w:tblCellMar>
        </w:tblPrEx>
        <w:trPr>
          <w:trHeight w:val="318" w:hRule="atLeast"/>
        </w:trPr>
        <w:tc>
          <w:tcPr>
            <w:tcW w:w="4500" w:type="dxa"/>
            <w:tcBorders>
              <w:top w:val="single" w:color="auto" w:sz="4" w:space="0"/>
              <w:left w:val="single" w:color="auto" w:sz="4" w:space="0"/>
              <w:bottom w:val="single" w:color="auto" w:sz="4" w:space="0"/>
              <w:right w:val="single" w:color="auto" w:sz="4" w:space="0"/>
            </w:tcBorders>
            <w:noWrap w:val="0"/>
            <w:vAlign w:val="center"/>
          </w:tcPr>
          <w:p w14:paraId="4640BE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新录用公务员培训班</w:t>
            </w:r>
          </w:p>
        </w:tc>
        <w:tc>
          <w:tcPr>
            <w:tcW w:w="1260" w:type="dxa"/>
            <w:tcBorders>
              <w:top w:val="single" w:color="auto" w:sz="4" w:space="0"/>
              <w:left w:val="nil"/>
              <w:bottom w:val="single" w:color="auto" w:sz="4" w:space="0"/>
              <w:right w:val="single" w:color="auto" w:sz="4" w:space="0"/>
            </w:tcBorders>
            <w:noWrap w:val="0"/>
            <w:vAlign w:val="center"/>
          </w:tcPr>
          <w:p w14:paraId="2C6F1E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1260" w:type="dxa"/>
            <w:tcBorders>
              <w:top w:val="single" w:color="auto" w:sz="4" w:space="0"/>
              <w:left w:val="nil"/>
              <w:bottom w:val="single" w:color="auto" w:sz="4" w:space="0"/>
              <w:right w:val="single" w:color="auto" w:sz="4" w:space="0"/>
            </w:tcBorders>
            <w:noWrap w:val="0"/>
            <w:vAlign w:val="center"/>
          </w:tcPr>
          <w:p w14:paraId="0B483A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89</w:t>
            </w:r>
          </w:p>
        </w:tc>
        <w:tc>
          <w:tcPr>
            <w:tcW w:w="1800" w:type="dxa"/>
            <w:tcBorders>
              <w:top w:val="single" w:color="auto" w:sz="4" w:space="0"/>
              <w:left w:val="nil"/>
              <w:bottom w:val="single" w:color="auto" w:sz="4" w:space="0"/>
              <w:right w:val="single" w:color="auto" w:sz="4" w:space="0"/>
            </w:tcBorders>
            <w:noWrap w:val="0"/>
            <w:vAlign w:val="center"/>
          </w:tcPr>
          <w:p w14:paraId="4661ED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人社局</w:t>
            </w:r>
          </w:p>
        </w:tc>
      </w:tr>
      <w:tr w14:paraId="2D1FB9F9">
        <w:tblPrEx>
          <w:tblCellMar>
            <w:top w:w="0" w:type="dxa"/>
            <w:left w:w="108" w:type="dxa"/>
            <w:bottom w:w="0" w:type="dxa"/>
            <w:right w:w="108" w:type="dxa"/>
          </w:tblCellMar>
        </w:tblPrEx>
        <w:trPr>
          <w:trHeight w:val="318" w:hRule="atLeast"/>
        </w:trPr>
        <w:tc>
          <w:tcPr>
            <w:tcW w:w="4500" w:type="dxa"/>
            <w:tcBorders>
              <w:top w:val="nil"/>
              <w:left w:val="single" w:color="auto" w:sz="4" w:space="0"/>
              <w:bottom w:val="single" w:color="auto" w:sz="4" w:space="0"/>
              <w:right w:val="single" w:color="auto" w:sz="4" w:space="0"/>
            </w:tcBorders>
            <w:noWrap w:val="0"/>
            <w:vAlign w:val="center"/>
          </w:tcPr>
          <w:p w14:paraId="40F825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入党积极分子培训班</w:t>
            </w:r>
          </w:p>
        </w:tc>
        <w:tc>
          <w:tcPr>
            <w:tcW w:w="1260" w:type="dxa"/>
            <w:tcBorders>
              <w:top w:val="nil"/>
              <w:left w:val="nil"/>
              <w:bottom w:val="single" w:color="auto" w:sz="4" w:space="0"/>
              <w:right w:val="single" w:color="auto" w:sz="4" w:space="0"/>
            </w:tcBorders>
            <w:noWrap w:val="0"/>
            <w:vAlign w:val="center"/>
          </w:tcPr>
          <w:p w14:paraId="3DB745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1260" w:type="dxa"/>
            <w:tcBorders>
              <w:top w:val="nil"/>
              <w:left w:val="nil"/>
              <w:bottom w:val="single" w:color="auto" w:sz="4" w:space="0"/>
              <w:right w:val="single" w:color="auto" w:sz="4" w:space="0"/>
            </w:tcBorders>
            <w:noWrap w:val="0"/>
            <w:vAlign w:val="center"/>
          </w:tcPr>
          <w:p w14:paraId="764435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57</w:t>
            </w:r>
          </w:p>
        </w:tc>
        <w:tc>
          <w:tcPr>
            <w:tcW w:w="1800" w:type="dxa"/>
            <w:tcBorders>
              <w:top w:val="nil"/>
              <w:left w:val="nil"/>
              <w:bottom w:val="single" w:color="auto" w:sz="4" w:space="0"/>
              <w:right w:val="single" w:color="auto" w:sz="4" w:space="0"/>
            </w:tcBorders>
            <w:noWrap w:val="0"/>
            <w:vAlign w:val="center"/>
          </w:tcPr>
          <w:p w14:paraId="5B65F5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直属工委</w:t>
            </w:r>
          </w:p>
        </w:tc>
      </w:tr>
      <w:tr w14:paraId="77CC40DB">
        <w:tblPrEx>
          <w:tblCellMar>
            <w:top w:w="0" w:type="dxa"/>
            <w:left w:w="108" w:type="dxa"/>
            <w:bottom w:w="0" w:type="dxa"/>
            <w:right w:w="108" w:type="dxa"/>
          </w:tblCellMar>
        </w:tblPrEx>
        <w:trPr>
          <w:trHeight w:val="318" w:hRule="atLeast"/>
        </w:trPr>
        <w:tc>
          <w:tcPr>
            <w:tcW w:w="4500" w:type="dxa"/>
            <w:tcBorders>
              <w:top w:val="nil"/>
              <w:left w:val="single" w:color="auto" w:sz="4" w:space="0"/>
              <w:bottom w:val="single" w:color="auto" w:sz="4" w:space="0"/>
              <w:right w:val="single" w:color="auto" w:sz="4" w:space="0"/>
            </w:tcBorders>
            <w:noWrap w:val="0"/>
            <w:vAlign w:val="center"/>
          </w:tcPr>
          <w:p w14:paraId="1AA073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扶贫开发暨村支书、主任培训班</w:t>
            </w:r>
          </w:p>
        </w:tc>
        <w:tc>
          <w:tcPr>
            <w:tcW w:w="1260" w:type="dxa"/>
            <w:tcBorders>
              <w:top w:val="nil"/>
              <w:left w:val="nil"/>
              <w:bottom w:val="single" w:color="auto" w:sz="4" w:space="0"/>
              <w:right w:val="single" w:color="auto" w:sz="4" w:space="0"/>
            </w:tcBorders>
            <w:noWrap w:val="0"/>
            <w:vAlign w:val="center"/>
          </w:tcPr>
          <w:p w14:paraId="20AFF7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1260" w:type="dxa"/>
            <w:tcBorders>
              <w:top w:val="nil"/>
              <w:left w:val="nil"/>
              <w:bottom w:val="single" w:color="auto" w:sz="4" w:space="0"/>
              <w:right w:val="single" w:color="auto" w:sz="4" w:space="0"/>
            </w:tcBorders>
            <w:noWrap w:val="0"/>
            <w:vAlign w:val="center"/>
          </w:tcPr>
          <w:p w14:paraId="0A59E3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235</w:t>
            </w:r>
          </w:p>
        </w:tc>
        <w:tc>
          <w:tcPr>
            <w:tcW w:w="1800" w:type="dxa"/>
            <w:tcBorders>
              <w:top w:val="nil"/>
              <w:left w:val="nil"/>
              <w:bottom w:val="single" w:color="auto" w:sz="4" w:space="0"/>
              <w:right w:val="single" w:color="auto" w:sz="4" w:space="0"/>
            </w:tcBorders>
            <w:noWrap w:val="0"/>
            <w:vAlign w:val="center"/>
          </w:tcPr>
          <w:p w14:paraId="2345FB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组织部、扶贫办</w:t>
            </w:r>
          </w:p>
        </w:tc>
      </w:tr>
      <w:tr w14:paraId="7C73C3D4">
        <w:tblPrEx>
          <w:tblCellMar>
            <w:top w:w="0" w:type="dxa"/>
            <w:left w:w="108" w:type="dxa"/>
            <w:bottom w:w="0" w:type="dxa"/>
            <w:right w:w="108" w:type="dxa"/>
          </w:tblCellMar>
        </w:tblPrEx>
        <w:trPr>
          <w:trHeight w:val="318" w:hRule="atLeast"/>
        </w:trPr>
        <w:tc>
          <w:tcPr>
            <w:tcW w:w="4500" w:type="dxa"/>
            <w:tcBorders>
              <w:top w:val="nil"/>
              <w:left w:val="single" w:color="auto" w:sz="4" w:space="0"/>
              <w:bottom w:val="single" w:color="auto" w:sz="4" w:space="0"/>
              <w:right w:val="single" w:color="auto" w:sz="4" w:space="0"/>
            </w:tcBorders>
            <w:noWrap w:val="0"/>
            <w:vAlign w:val="center"/>
          </w:tcPr>
          <w:p w14:paraId="3548F5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科级干部培训班</w:t>
            </w:r>
          </w:p>
        </w:tc>
        <w:tc>
          <w:tcPr>
            <w:tcW w:w="1260" w:type="dxa"/>
            <w:tcBorders>
              <w:top w:val="nil"/>
              <w:left w:val="nil"/>
              <w:bottom w:val="single" w:color="auto" w:sz="4" w:space="0"/>
              <w:right w:val="single" w:color="auto" w:sz="4" w:space="0"/>
            </w:tcBorders>
            <w:noWrap w:val="0"/>
            <w:vAlign w:val="center"/>
          </w:tcPr>
          <w:p w14:paraId="5DEFC5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1260" w:type="dxa"/>
            <w:tcBorders>
              <w:top w:val="nil"/>
              <w:left w:val="nil"/>
              <w:bottom w:val="single" w:color="auto" w:sz="4" w:space="0"/>
              <w:right w:val="single" w:color="auto" w:sz="4" w:space="0"/>
            </w:tcBorders>
            <w:noWrap w:val="0"/>
            <w:vAlign w:val="center"/>
          </w:tcPr>
          <w:p w14:paraId="33740E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103</w:t>
            </w:r>
          </w:p>
        </w:tc>
        <w:tc>
          <w:tcPr>
            <w:tcW w:w="1800" w:type="dxa"/>
            <w:tcBorders>
              <w:top w:val="nil"/>
              <w:left w:val="nil"/>
              <w:bottom w:val="single" w:color="auto" w:sz="4" w:space="0"/>
              <w:right w:val="single" w:color="auto" w:sz="4" w:space="0"/>
            </w:tcBorders>
            <w:noWrap w:val="0"/>
            <w:vAlign w:val="center"/>
          </w:tcPr>
          <w:p w14:paraId="5553D8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组织部</w:t>
            </w:r>
          </w:p>
        </w:tc>
      </w:tr>
      <w:tr w14:paraId="397004B9">
        <w:tblPrEx>
          <w:tblCellMar>
            <w:top w:w="0" w:type="dxa"/>
            <w:left w:w="108" w:type="dxa"/>
            <w:bottom w:w="0" w:type="dxa"/>
            <w:right w:w="108" w:type="dxa"/>
          </w:tblCellMar>
        </w:tblPrEx>
        <w:trPr>
          <w:trHeight w:val="318" w:hRule="atLeast"/>
        </w:trPr>
        <w:tc>
          <w:tcPr>
            <w:tcW w:w="4500" w:type="dxa"/>
            <w:tcBorders>
              <w:top w:val="single" w:color="auto" w:sz="4" w:space="0"/>
              <w:left w:val="single" w:color="auto" w:sz="4" w:space="0"/>
              <w:bottom w:val="single" w:color="auto" w:sz="4" w:space="0"/>
              <w:right w:val="single" w:color="auto" w:sz="4" w:space="0"/>
            </w:tcBorders>
            <w:noWrap w:val="0"/>
            <w:vAlign w:val="center"/>
          </w:tcPr>
          <w:p w14:paraId="6A125A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公务员全员培训班</w:t>
            </w:r>
          </w:p>
        </w:tc>
        <w:tc>
          <w:tcPr>
            <w:tcW w:w="1260" w:type="dxa"/>
            <w:tcBorders>
              <w:top w:val="single" w:color="auto" w:sz="4" w:space="0"/>
              <w:left w:val="nil"/>
              <w:bottom w:val="single" w:color="auto" w:sz="4" w:space="0"/>
              <w:right w:val="single" w:color="auto" w:sz="4" w:space="0"/>
            </w:tcBorders>
            <w:noWrap w:val="0"/>
            <w:vAlign w:val="center"/>
          </w:tcPr>
          <w:p w14:paraId="4E8360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1260" w:type="dxa"/>
            <w:tcBorders>
              <w:top w:val="single" w:color="auto" w:sz="4" w:space="0"/>
              <w:left w:val="nil"/>
              <w:bottom w:val="single" w:color="auto" w:sz="4" w:space="0"/>
              <w:right w:val="single" w:color="auto" w:sz="4" w:space="0"/>
            </w:tcBorders>
            <w:noWrap w:val="0"/>
            <w:vAlign w:val="center"/>
          </w:tcPr>
          <w:p w14:paraId="542E0D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1985</w:t>
            </w:r>
          </w:p>
        </w:tc>
        <w:tc>
          <w:tcPr>
            <w:tcW w:w="1800" w:type="dxa"/>
            <w:tcBorders>
              <w:top w:val="single" w:color="auto" w:sz="4" w:space="0"/>
              <w:left w:val="nil"/>
              <w:bottom w:val="single" w:color="auto" w:sz="4" w:space="0"/>
              <w:right w:val="single" w:color="auto" w:sz="4" w:space="0"/>
            </w:tcBorders>
            <w:noWrap w:val="0"/>
            <w:vAlign w:val="center"/>
          </w:tcPr>
          <w:p w14:paraId="4C7F8A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组织部、人社局</w:t>
            </w:r>
          </w:p>
        </w:tc>
      </w:tr>
      <w:tr w14:paraId="20C21985">
        <w:tblPrEx>
          <w:tblCellMar>
            <w:top w:w="0" w:type="dxa"/>
            <w:left w:w="108" w:type="dxa"/>
            <w:bottom w:w="0" w:type="dxa"/>
            <w:right w:w="108" w:type="dxa"/>
          </w:tblCellMar>
        </w:tblPrEx>
        <w:trPr>
          <w:trHeight w:val="318" w:hRule="atLeast"/>
        </w:trPr>
        <w:tc>
          <w:tcPr>
            <w:tcW w:w="4500" w:type="dxa"/>
            <w:tcBorders>
              <w:top w:val="single" w:color="auto" w:sz="4" w:space="0"/>
              <w:left w:val="single" w:color="auto" w:sz="4" w:space="0"/>
              <w:bottom w:val="single" w:color="auto" w:sz="4" w:space="0"/>
              <w:right w:val="single" w:color="auto" w:sz="4" w:space="0"/>
            </w:tcBorders>
            <w:noWrap w:val="0"/>
            <w:vAlign w:val="center"/>
          </w:tcPr>
          <w:p w14:paraId="276466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住房公积金政策宣传与业务知识培训</w:t>
            </w:r>
          </w:p>
        </w:tc>
        <w:tc>
          <w:tcPr>
            <w:tcW w:w="1260" w:type="dxa"/>
            <w:tcBorders>
              <w:top w:val="single" w:color="auto" w:sz="4" w:space="0"/>
              <w:left w:val="nil"/>
              <w:bottom w:val="single" w:color="auto" w:sz="4" w:space="0"/>
              <w:right w:val="single" w:color="auto" w:sz="4" w:space="0"/>
            </w:tcBorders>
            <w:noWrap w:val="0"/>
            <w:vAlign w:val="center"/>
          </w:tcPr>
          <w:p w14:paraId="722386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1260" w:type="dxa"/>
            <w:tcBorders>
              <w:top w:val="single" w:color="auto" w:sz="4" w:space="0"/>
              <w:left w:val="nil"/>
              <w:bottom w:val="single" w:color="auto" w:sz="4" w:space="0"/>
              <w:right w:val="single" w:color="auto" w:sz="4" w:space="0"/>
            </w:tcBorders>
            <w:noWrap w:val="0"/>
            <w:vAlign w:val="center"/>
          </w:tcPr>
          <w:p w14:paraId="18205F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198</w:t>
            </w:r>
          </w:p>
        </w:tc>
        <w:tc>
          <w:tcPr>
            <w:tcW w:w="1800" w:type="dxa"/>
            <w:tcBorders>
              <w:top w:val="single" w:color="auto" w:sz="4" w:space="0"/>
              <w:left w:val="nil"/>
              <w:bottom w:val="single" w:color="auto" w:sz="4" w:space="0"/>
              <w:right w:val="single" w:color="auto" w:sz="4" w:space="0"/>
            </w:tcBorders>
            <w:noWrap w:val="0"/>
            <w:vAlign w:val="center"/>
          </w:tcPr>
          <w:p w14:paraId="5E7DD3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住房公积金南雄办事处</w:t>
            </w:r>
          </w:p>
        </w:tc>
      </w:tr>
      <w:tr w14:paraId="49CF6134">
        <w:tblPrEx>
          <w:tblCellMar>
            <w:top w:w="0" w:type="dxa"/>
            <w:left w:w="108" w:type="dxa"/>
            <w:bottom w:w="0" w:type="dxa"/>
            <w:right w:w="108" w:type="dxa"/>
          </w:tblCellMar>
        </w:tblPrEx>
        <w:trPr>
          <w:trHeight w:val="318" w:hRule="atLeast"/>
        </w:trPr>
        <w:tc>
          <w:tcPr>
            <w:tcW w:w="4500" w:type="dxa"/>
            <w:tcBorders>
              <w:top w:val="nil"/>
              <w:left w:val="single" w:color="auto" w:sz="4" w:space="0"/>
              <w:bottom w:val="single" w:color="auto" w:sz="4" w:space="0"/>
              <w:right w:val="single" w:color="auto" w:sz="4" w:space="0"/>
            </w:tcBorders>
            <w:noWrap w:val="0"/>
            <w:vAlign w:val="center"/>
          </w:tcPr>
          <w:p w14:paraId="75B45B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公务员初任培训班</w:t>
            </w:r>
          </w:p>
        </w:tc>
        <w:tc>
          <w:tcPr>
            <w:tcW w:w="1260" w:type="dxa"/>
            <w:tcBorders>
              <w:top w:val="nil"/>
              <w:left w:val="nil"/>
              <w:bottom w:val="single" w:color="auto" w:sz="4" w:space="0"/>
              <w:right w:val="single" w:color="auto" w:sz="4" w:space="0"/>
            </w:tcBorders>
            <w:noWrap w:val="0"/>
            <w:vAlign w:val="center"/>
          </w:tcPr>
          <w:p w14:paraId="666CE7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1260" w:type="dxa"/>
            <w:tcBorders>
              <w:top w:val="nil"/>
              <w:left w:val="nil"/>
              <w:bottom w:val="single" w:color="auto" w:sz="4" w:space="0"/>
              <w:right w:val="single" w:color="auto" w:sz="4" w:space="0"/>
            </w:tcBorders>
            <w:noWrap w:val="0"/>
            <w:vAlign w:val="center"/>
          </w:tcPr>
          <w:p w14:paraId="0CE9A9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63</w:t>
            </w:r>
          </w:p>
        </w:tc>
        <w:tc>
          <w:tcPr>
            <w:tcW w:w="1800" w:type="dxa"/>
            <w:tcBorders>
              <w:top w:val="nil"/>
              <w:left w:val="nil"/>
              <w:bottom w:val="single" w:color="auto" w:sz="4" w:space="0"/>
              <w:right w:val="single" w:color="auto" w:sz="4" w:space="0"/>
            </w:tcBorders>
            <w:noWrap w:val="0"/>
            <w:vAlign w:val="center"/>
          </w:tcPr>
          <w:p w14:paraId="48AB7C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人社局</w:t>
            </w:r>
          </w:p>
        </w:tc>
      </w:tr>
      <w:tr w14:paraId="419E74FB">
        <w:tblPrEx>
          <w:tblCellMar>
            <w:top w:w="0" w:type="dxa"/>
            <w:left w:w="108" w:type="dxa"/>
            <w:bottom w:w="0" w:type="dxa"/>
            <w:right w:w="108" w:type="dxa"/>
          </w:tblCellMar>
        </w:tblPrEx>
        <w:trPr>
          <w:trHeight w:val="318" w:hRule="atLeast"/>
        </w:trPr>
        <w:tc>
          <w:tcPr>
            <w:tcW w:w="4500" w:type="dxa"/>
            <w:tcBorders>
              <w:top w:val="nil"/>
              <w:left w:val="single" w:color="auto" w:sz="4" w:space="0"/>
              <w:bottom w:val="single" w:color="auto" w:sz="4" w:space="0"/>
              <w:right w:val="single" w:color="auto" w:sz="4" w:space="0"/>
            </w:tcBorders>
            <w:noWrap w:val="0"/>
            <w:vAlign w:val="center"/>
          </w:tcPr>
          <w:p w14:paraId="03FC94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农村宣传思想文化知识培训班</w:t>
            </w:r>
          </w:p>
        </w:tc>
        <w:tc>
          <w:tcPr>
            <w:tcW w:w="1260" w:type="dxa"/>
            <w:tcBorders>
              <w:top w:val="nil"/>
              <w:left w:val="nil"/>
              <w:bottom w:val="single" w:color="auto" w:sz="4" w:space="0"/>
              <w:right w:val="single" w:color="auto" w:sz="4" w:space="0"/>
            </w:tcBorders>
            <w:noWrap w:val="0"/>
            <w:vAlign w:val="center"/>
          </w:tcPr>
          <w:p w14:paraId="0F34E2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1260" w:type="dxa"/>
            <w:tcBorders>
              <w:top w:val="nil"/>
              <w:left w:val="nil"/>
              <w:bottom w:val="single" w:color="auto" w:sz="4" w:space="0"/>
              <w:right w:val="single" w:color="auto" w:sz="4" w:space="0"/>
            </w:tcBorders>
            <w:noWrap w:val="0"/>
            <w:vAlign w:val="center"/>
          </w:tcPr>
          <w:p w14:paraId="4449C0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262</w:t>
            </w:r>
          </w:p>
        </w:tc>
        <w:tc>
          <w:tcPr>
            <w:tcW w:w="1800" w:type="dxa"/>
            <w:tcBorders>
              <w:top w:val="nil"/>
              <w:left w:val="nil"/>
              <w:bottom w:val="single" w:color="auto" w:sz="4" w:space="0"/>
              <w:right w:val="single" w:color="auto" w:sz="4" w:space="0"/>
            </w:tcBorders>
            <w:noWrap w:val="0"/>
            <w:vAlign w:val="center"/>
          </w:tcPr>
          <w:p w14:paraId="7B7366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宣传部</w:t>
            </w:r>
          </w:p>
        </w:tc>
      </w:tr>
      <w:tr w14:paraId="6584A231">
        <w:tblPrEx>
          <w:tblCellMar>
            <w:top w:w="0" w:type="dxa"/>
            <w:left w:w="108" w:type="dxa"/>
            <w:bottom w:w="0" w:type="dxa"/>
            <w:right w:w="108" w:type="dxa"/>
          </w:tblCellMar>
        </w:tblPrEx>
        <w:trPr>
          <w:trHeight w:val="508" w:hRule="atLeast"/>
        </w:trPr>
        <w:tc>
          <w:tcPr>
            <w:tcW w:w="4500" w:type="dxa"/>
            <w:tcBorders>
              <w:top w:val="single" w:color="auto" w:sz="4" w:space="0"/>
              <w:left w:val="single" w:color="auto" w:sz="4" w:space="0"/>
              <w:bottom w:val="single" w:color="auto" w:sz="4" w:space="0"/>
              <w:right w:val="single" w:color="auto" w:sz="4" w:space="0"/>
            </w:tcBorders>
            <w:noWrap w:val="0"/>
            <w:vAlign w:val="center"/>
          </w:tcPr>
          <w:p w14:paraId="16B09A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合  计</w:t>
            </w:r>
          </w:p>
        </w:tc>
        <w:tc>
          <w:tcPr>
            <w:tcW w:w="1260" w:type="dxa"/>
            <w:tcBorders>
              <w:top w:val="nil"/>
              <w:left w:val="nil"/>
              <w:bottom w:val="single" w:color="auto" w:sz="4" w:space="0"/>
              <w:right w:val="single" w:color="auto" w:sz="4" w:space="0"/>
            </w:tcBorders>
            <w:noWrap w:val="0"/>
            <w:vAlign w:val="center"/>
          </w:tcPr>
          <w:p w14:paraId="5C7A9E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w:t>
            </w:r>
          </w:p>
        </w:tc>
        <w:tc>
          <w:tcPr>
            <w:tcW w:w="1260" w:type="dxa"/>
            <w:tcBorders>
              <w:top w:val="nil"/>
              <w:left w:val="nil"/>
              <w:bottom w:val="single" w:color="auto" w:sz="4" w:space="0"/>
              <w:right w:val="single" w:color="auto" w:sz="4" w:space="0"/>
            </w:tcBorders>
            <w:noWrap w:val="0"/>
            <w:vAlign w:val="center"/>
          </w:tcPr>
          <w:p w14:paraId="057F51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3001</w:t>
            </w:r>
          </w:p>
        </w:tc>
        <w:tc>
          <w:tcPr>
            <w:tcW w:w="1800" w:type="dxa"/>
            <w:tcBorders>
              <w:top w:val="nil"/>
              <w:left w:val="nil"/>
              <w:bottom w:val="single" w:color="auto" w:sz="4" w:space="0"/>
              <w:right w:val="single" w:color="auto" w:sz="4" w:space="0"/>
            </w:tcBorders>
            <w:noWrap w:val="0"/>
            <w:vAlign w:val="center"/>
          </w:tcPr>
          <w:p w14:paraId="0888AA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bl>
    <w:tbl>
      <w:tblPr>
        <w:tblStyle w:val="8"/>
        <w:tblW w:w="88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6"/>
      </w:tblGrid>
      <w:tr w14:paraId="45A08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1481C38">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6590"/>
                  <wp:effectExtent l="0" t="0" r="8890" b="16510"/>
                  <wp:docPr id="44" name="图片 191" descr="2015年9月8日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1" descr="2015年9月8日南"/>
                          <pic:cNvPicPr>
                            <a:picLocks noChangeAspect="1"/>
                          </pic:cNvPicPr>
                        </pic:nvPicPr>
                        <pic:blipFill>
                          <a:blip r:embed="rId49"/>
                          <a:stretch>
                            <a:fillRect/>
                          </a:stretch>
                        </pic:blipFill>
                        <pic:spPr>
                          <a:xfrm>
                            <a:off x="0" y="0"/>
                            <a:ext cx="3420110" cy="1926590"/>
                          </a:xfrm>
                          <a:prstGeom prst="rect">
                            <a:avLst/>
                          </a:prstGeom>
                          <a:noFill/>
                          <a:ln>
                            <a:noFill/>
                          </a:ln>
                        </pic:spPr>
                      </pic:pic>
                    </a:graphicData>
                  </a:graphic>
                </wp:inline>
              </w:drawing>
            </w:r>
          </w:p>
        </w:tc>
      </w:tr>
      <w:tr w14:paraId="36D9C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BCFC832">
            <w:pPr>
              <w:jc w:val="center"/>
              <w:rPr>
                <w:rFonts w:hint="eastAsia" w:hAnsi="宋体" w:cs="宋体"/>
                <w:highlight w:val="none"/>
                <w:vertAlign w:val="baseline"/>
              </w:rPr>
            </w:pPr>
            <w:r>
              <w:rPr>
                <w:rFonts w:hint="eastAsia" w:hAnsi="宋体" w:cs="宋体"/>
                <w:highlight w:val="none"/>
                <w:vertAlign w:val="baseline"/>
              </w:rPr>
              <w:t>2015年9月8日，南雄市委副书记、党校校长丘德周在教师节前夕与党校领导班子谈心谈话并出席党校全体教职员工教师节座谈会（董书辉摄）</w:t>
            </w:r>
          </w:p>
        </w:tc>
      </w:tr>
    </w:tbl>
    <w:p w14:paraId="20861B31">
      <w:pPr>
        <w:pStyle w:val="4"/>
        <w:bidi w:val="0"/>
        <w:rPr>
          <w:rFonts w:hint="eastAsia"/>
          <w:highlight w:val="none"/>
        </w:rPr>
      </w:pPr>
      <w:r>
        <w:rPr>
          <w:rFonts w:hint="eastAsia"/>
          <w:highlight w:val="none"/>
        </w:rPr>
        <w:t>【学历教育】</w:t>
      </w:r>
    </w:p>
    <w:p w14:paraId="4A01657E">
      <w:pPr>
        <w:rPr>
          <w:rFonts w:hint="eastAsia" w:hAnsi="宋体" w:cs="宋体"/>
          <w:highlight w:val="none"/>
        </w:rPr>
      </w:pPr>
      <w:r>
        <w:rPr>
          <w:rFonts w:hint="eastAsia" w:hAnsi="宋体" w:cs="宋体"/>
          <w:highlight w:val="none"/>
        </w:rPr>
        <w:t>2015年，开设中央电大开放教育行政管理、法学、汉语言文学等专业本科班，法学、行政管理、会计、小学教育等专业专科班。2015年春、秋两季入学新生203人，其中专科学生99人、本科学生104人，在校学生接近一千人。2015年毕业生471人，其中，中央电大开放教育专业本科班187人，中央电大开放教育试点专业大专班284人。在教学管理上，学校狠抓常规管理，建立健全各项规章制度，严格执行考试纪律。加强班主任管理工作，要求班主任加强与学员的联系沟通，做好学员的思想教育工作，提高学员的到课率；加强科任教师业务能力培训，提高教师业务水平，严格要求教师备好课、上好课，重视教学的研究与反思，改进教学工作，作业的布置与批改有针对性和实效性。</w:t>
      </w:r>
    </w:p>
    <w:p w14:paraId="6307ED1A">
      <w:pPr>
        <w:pStyle w:val="4"/>
        <w:bidi w:val="0"/>
        <w:rPr>
          <w:rFonts w:hint="eastAsia"/>
          <w:highlight w:val="none"/>
        </w:rPr>
      </w:pPr>
      <w:r>
        <w:rPr>
          <w:rFonts w:hint="eastAsia"/>
          <w:highlight w:val="none"/>
        </w:rPr>
        <w:t>【科研工作】</w:t>
      </w:r>
    </w:p>
    <w:p w14:paraId="06CA955D">
      <w:pPr>
        <w:rPr>
          <w:rFonts w:hint="eastAsia" w:hAnsi="宋体" w:cs="宋体"/>
          <w:highlight w:val="none"/>
        </w:rPr>
      </w:pPr>
      <w:r>
        <w:rPr>
          <w:rFonts w:hint="eastAsia" w:hAnsi="宋体" w:cs="宋体"/>
          <w:highlight w:val="none"/>
        </w:rPr>
        <w:t>贯彻落实党校科研要“为推进党的理论创新服务，为提高党校教学质量服务，为党委和政府决策服务，为社会主义经济建设、政治建设、文化建设、社会建设和党的建设服务”的方针。主动承担或参与南雄市委、市政府重大课题的研究，组织不同形式的社会调查和社会实践活动，使科研工作为当地党委和政府决策服务；并引导教研人员和学员关注本地经济社会发展的重大现实问题，深入开展专题研究。2015年度，组织教师申报韶关市党校科研课题1项，组织实施学校科研课题2项，并取得阶段性成果，在CN级期刊发表课题研究成果论文1篇。</w:t>
      </w:r>
    </w:p>
    <w:p w14:paraId="1CC3236D">
      <w:pPr>
        <w:pStyle w:val="4"/>
        <w:bidi w:val="0"/>
        <w:rPr>
          <w:rFonts w:hint="eastAsia"/>
          <w:highlight w:val="none"/>
        </w:rPr>
      </w:pPr>
      <w:r>
        <w:rPr>
          <w:rFonts w:hint="eastAsia"/>
          <w:highlight w:val="none"/>
        </w:rPr>
        <w:t>【重大事件】</w:t>
      </w:r>
    </w:p>
    <w:p w14:paraId="7D0283C4">
      <w:pPr>
        <w:rPr>
          <w:rFonts w:hint="eastAsia" w:hAnsi="宋体" w:cs="宋体"/>
          <w:highlight w:val="none"/>
        </w:rPr>
      </w:pPr>
      <w:r>
        <w:rPr>
          <w:rFonts w:hint="eastAsia" w:hAnsi="宋体" w:cs="宋体"/>
          <w:highlight w:val="none"/>
        </w:rPr>
        <w:t>搭建高层次人才培养平台。为适应南雄经济社会发展需求，党校利用干部教育资源，拓宽办学渠道，加强与全日制院校联合办学，通过联合办学培养高层次人才，为推动南雄新发展服务。2015年继续与仲凯农业工程学院签署协议合作办学——开办仲凯农学院农业推广专业硕士研究生南雄班。第三期班于2015年5月25日开学，招录35位学员。（张斌）</w:t>
      </w:r>
    </w:p>
    <w:p w14:paraId="287FFA58">
      <w:pPr>
        <w:rPr>
          <w:rFonts w:hint="eastAsia" w:hAnsi="宋体" w:cs="宋体"/>
          <w:b w:val="0"/>
          <w:bCs w:val="0"/>
          <w:highlight w:val="none"/>
        </w:rPr>
      </w:pPr>
      <w:r>
        <w:rPr>
          <w:rFonts w:hint="eastAsia" w:hAnsi="宋体" w:cs="宋体"/>
          <w:b w:val="0"/>
          <w:bCs w:val="0"/>
          <w:highlight w:val="none"/>
        </w:rPr>
        <w:t>附：2015年市委党校领导班子成员名单</w:t>
      </w:r>
    </w:p>
    <w:p w14:paraId="0DAD67E2">
      <w:pPr>
        <w:rPr>
          <w:rFonts w:hint="eastAsia" w:hAnsi="宋体" w:cs="宋体"/>
          <w:b w:val="0"/>
          <w:bCs w:val="0"/>
          <w:highlight w:val="none"/>
        </w:rPr>
      </w:pPr>
      <w:r>
        <w:rPr>
          <w:rFonts w:hint="eastAsia" w:hAnsi="宋体" w:cs="宋体"/>
          <w:b w:val="0"/>
          <w:bCs w:val="0"/>
          <w:highlight w:val="none"/>
        </w:rPr>
        <w:t>校</w:t>
      </w:r>
      <w:r>
        <w:rPr>
          <w:rFonts w:hint="eastAsia" w:hAnsi="宋体" w:cs="宋体"/>
          <w:b w:val="0"/>
          <w:bCs w:val="0"/>
          <w:highlight w:val="none"/>
          <w:lang w:val="en-US" w:eastAsia="zh-CN"/>
        </w:rPr>
        <w:t xml:space="preserve">  </w:t>
      </w:r>
      <w:r>
        <w:rPr>
          <w:rFonts w:hint="eastAsia" w:hAnsi="宋体" w:cs="宋体"/>
          <w:b w:val="0"/>
          <w:bCs w:val="0"/>
          <w:highlight w:val="none"/>
        </w:rPr>
        <w:t>长（兼）：丘德周</w:t>
      </w:r>
    </w:p>
    <w:p w14:paraId="2EF7362E">
      <w:pPr>
        <w:rPr>
          <w:rFonts w:hint="eastAsia" w:hAnsi="宋体" w:cs="宋体"/>
          <w:b w:val="0"/>
          <w:bCs w:val="0"/>
          <w:highlight w:val="none"/>
        </w:rPr>
      </w:pPr>
      <w:r>
        <w:rPr>
          <w:rFonts w:hint="eastAsia" w:hAnsi="宋体" w:cs="宋体"/>
          <w:b w:val="0"/>
          <w:bCs w:val="0"/>
          <w:highlight w:val="none"/>
        </w:rPr>
        <w:t>常务副校长：何</w:t>
      </w:r>
      <w:r>
        <w:rPr>
          <w:rFonts w:hint="eastAsia" w:hAnsi="宋体" w:cs="宋体"/>
          <w:b w:val="0"/>
          <w:bCs w:val="0"/>
          <w:highlight w:val="none"/>
          <w:lang w:val="en-US" w:eastAsia="zh-CN"/>
        </w:rPr>
        <w:t xml:space="preserve">  </w:t>
      </w:r>
      <w:r>
        <w:rPr>
          <w:rFonts w:hint="eastAsia" w:hAnsi="宋体" w:cs="宋体"/>
          <w:b w:val="0"/>
          <w:bCs w:val="0"/>
          <w:highlight w:val="none"/>
        </w:rPr>
        <w:t>坚</w:t>
      </w:r>
    </w:p>
    <w:p w14:paraId="03E6800C">
      <w:pPr>
        <w:rPr>
          <w:rFonts w:hint="eastAsia" w:hAnsi="宋体" w:cs="宋体"/>
          <w:b w:val="0"/>
          <w:bCs w:val="0"/>
          <w:highlight w:val="none"/>
        </w:rPr>
      </w:pPr>
      <w:r>
        <w:rPr>
          <w:rFonts w:hint="eastAsia" w:hAnsi="宋体" w:cs="宋体"/>
          <w:b w:val="0"/>
          <w:bCs w:val="0"/>
          <w:highlight w:val="none"/>
        </w:rPr>
        <w:t>副校长：何文清 刘致虎 何英钊</w:t>
      </w:r>
    </w:p>
    <w:p w14:paraId="617B69D7">
      <w:pPr>
        <w:rPr>
          <w:rFonts w:hint="eastAsia" w:hAnsi="宋体" w:cs="宋体"/>
          <w:b w:val="0"/>
          <w:bCs w:val="0"/>
          <w:highlight w:val="none"/>
        </w:rPr>
      </w:pPr>
      <w:r>
        <w:rPr>
          <w:rFonts w:hint="eastAsia" w:hAnsi="宋体" w:cs="宋体"/>
          <w:b w:val="0"/>
          <w:bCs w:val="0"/>
          <w:highlight w:val="none"/>
        </w:rPr>
        <w:t>工会主席：邓宇行</w:t>
      </w:r>
    </w:p>
    <w:p w14:paraId="0F5DB715">
      <w:pPr>
        <w:pStyle w:val="3"/>
        <w:bidi w:val="0"/>
        <w:rPr>
          <w:rFonts w:hint="eastAsia"/>
          <w:highlight w:val="none"/>
        </w:rPr>
      </w:pPr>
      <w:r>
        <w:rPr>
          <w:rFonts w:hint="eastAsia"/>
          <w:highlight w:val="none"/>
        </w:rPr>
        <w:t>史志工作</w:t>
      </w:r>
    </w:p>
    <w:p w14:paraId="0A794D1F">
      <w:pPr>
        <w:pStyle w:val="4"/>
        <w:bidi w:val="0"/>
        <w:rPr>
          <w:rFonts w:hint="eastAsia"/>
          <w:highlight w:val="none"/>
        </w:rPr>
      </w:pPr>
      <w:r>
        <w:rPr>
          <w:rFonts w:hint="eastAsia"/>
          <w:highlight w:val="none"/>
        </w:rPr>
        <w:t>【概况】</w:t>
      </w:r>
    </w:p>
    <w:p w14:paraId="1E68C84A">
      <w:pPr>
        <w:rPr>
          <w:rFonts w:hint="eastAsia" w:hAnsi="宋体" w:cs="宋体"/>
          <w:highlight w:val="none"/>
        </w:rPr>
      </w:pPr>
      <w:r>
        <w:rPr>
          <w:rFonts w:hint="eastAsia" w:hAnsi="宋体" w:cs="宋体"/>
          <w:highlight w:val="none"/>
        </w:rPr>
        <w:t>2001年12月机构改革，南雄市地方志编纂委员会办公室与市党史研究室合并为史志办公室，正科级参公管理单位，行政编制6名，内设3个股：方志股、党史股、人秘股。原中共南雄市委党史研究室成立于1982年6月。2005年6月，人员变动，调整编纂委员会。2008年6月，史志办地址迁至政府大院机关事务局一楼，办公面积约120平方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60CD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1561C8B">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419985"/>
                  <wp:effectExtent l="0" t="0" r="8890" b="18415"/>
                  <wp:docPr id="45" name="图片 192" descr="启动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2" descr="启动仪式"/>
                          <pic:cNvPicPr>
                            <a:picLocks noChangeAspect="1"/>
                          </pic:cNvPicPr>
                        </pic:nvPicPr>
                        <pic:blipFill>
                          <a:blip r:embed="rId50"/>
                          <a:stretch>
                            <a:fillRect/>
                          </a:stretch>
                        </pic:blipFill>
                        <pic:spPr>
                          <a:xfrm>
                            <a:off x="0" y="0"/>
                            <a:ext cx="3420110" cy="2419985"/>
                          </a:xfrm>
                          <a:prstGeom prst="rect">
                            <a:avLst/>
                          </a:prstGeom>
                          <a:noFill/>
                          <a:ln>
                            <a:noFill/>
                          </a:ln>
                        </pic:spPr>
                      </pic:pic>
                    </a:graphicData>
                  </a:graphic>
                </wp:inline>
              </w:drawing>
            </w:r>
          </w:p>
        </w:tc>
      </w:tr>
      <w:tr w14:paraId="49F18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11E1042">
            <w:pPr>
              <w:jc w:val="center"/>
              <w:rPr>
                <w:rFonts w:hint="eastAsia" w:hAnsi="宋体" w:cs="宋体"/>
                <w:highlight w:val="none"/>
                <w:vertAlign w:val="baseline"/>
              </w:rPr>
            </w:pPr>
            <w:r>
              <w:rPr>
                <w:rFonts w:hint="eastAsia" w:hAnsi="宋体" w:cs="宋体"/>
                <w:highlight w:val="none"/>
                <w:vertAlign w:val="baseline"/>
              </w:rPr>
              <w:t>2015年5月20日，机关党员进社区服务活动启动仪式举行，市委常委、组织部长叶济熊授旗（徐丽芬摄）</w:t>
            </w:r>
          </w:p>
        </w:tc>
      </w:tr>
    </w:tbl>
    <w:p w14:paraId="0ACAF5CD">
      <w:pPr>
        <w:pStyle w:val="4"/>
        <w:bidi w:val="0"/>
        <w:rPr>
          <w:rFonts w:hint="eastAsia"/>
          <w:highlight w:val="none"/>
        </w:rPr>
      </w:pPr>
      <w:r>
        <w:rPr>
          <w:rFonts w:hint="eastAsia"/>
          <w:highlight w:val="none"/>
        </w:rPr>
        <w:t>【编纂《南雄年鉴》】</w:t>
      </w:r>
    </w:p>
    <w:p w14:paraId="71036A4A">
      <w:pPr>
        <w:rPr>
          <w:rFonts w:hint="eastAsia" w:hAnsi="宋体" w:cs="宋体"/>
          <w:highlight w:val="none"/>
        </w:rPr>
      </w:pPr>
      <w:r>
        <w:rPr>
          <w:rFonts w:hint="eastAsia" w:hAnsi="宋体" w:cs="宋体"/>
          <w:highlight w:val="none"/>
        </w:rPr>
        <w:t>2015年4月27日，以中共南雄市委办公室和南雄市人民政府办公室名义联合发文，关于转发《南雄年鉴》（2015）编纂方案的通知。史志办统筹负责该年鉴编纂工作。该书记述2014年度南雄市各行业发生的大事、要事及基本情况，突出反映年度内全市政治、经济、文化、社会发展和群众生活等各领域的新成说、新面貌。全书由图照彩页、特载、大事记、百科（各行业）、乡镇概况、统计资料、附录、图表、索引等组成，文字约50万字，彩页约30页。</w:t>
      </w:r>
    </w:p>
    <w:p w14:paraId="7FE8FA99">
      <w:pPr>
        <w:pStyle w:val="4"/>
        <w:bidi w:val="0"/>
        <w:rPr>
          <w:rFonts w:hint="eastAsia"/>
          <w:highlight w:val="none"/>
        </w:rPr>
      </w:pPr>
      <w:r>
        <w:rPr>
          <w:rFonts w:hint="eastAsia"/>
          <w:highlight w:val="none"/>
        </w:rPr>
        <w:t>【编辑南雄地方志资料年报】</w:t>
      </w:r>
    </w:p>
    <w:p w14:paraId="7FE2D059">
      <w:pPr>
        <w:rPr>
          <w:rFonts w:hint="eastAsia" w:hAnsi="宋体" w:cs="宋体"/>
          <w:highlight w:val="none"/>
        </w:rPr>
      </w:pPr>
      <w:r>
        <w:rPr>
          <w:rFonts w:hint="eastAsia" w:hAnsi="宋体" w:cs="宋体"/>
          <w:highlight w:val="none"/>
        </w:rPr>
        <w:t>10月16日，下发《关于报送2014年度地方志资料年报的通知》，要求全市各镇（街道）、市直副科以上（含垂直管理）单位，在2015年12月前报送2014年度地方志资料。对未上报2005—2011年的年报资料的单位，统筹安排补报。完成地方志资料年报达90%，这些资料已装订成册。</w:t>
      </w:r>
    </w:p>
    <w:p w14:paraId="0275ED91">
      <w:pPr>
        <w:pStyle w:val="4"/>
        <w:bidi w:val="0"/>
        <w:rPr>
          <w:rFonts w:hint="eastAsia"/>
          <w:highlight w:val="none"/>
        </w:rPr>
      </w:pPr>
      <w:r>
        <w:rPr>
          <w:rFonts w:hint="eastAsia"/>
          <w:highlight w:val="none"/>
        </w:rPr>
        <w:t>【编辑党史二卷】</w:t>
      </w:r>
    </w:p>
    <w:p w14:paraId="79E8497E">
      <w:pPr>
        <w:rPr>
          <w:rFonts w:hint="eastAsia" w:hAnsi="宋体" w:eastAsia="宋体" w:cs="宋体"/>
          <w:highlight w:val="none"/>
          <w:lang w:eastAsia="zh-CN"/>
        </w:rPr>
      </w:pPr>
      <w:r>
        <w:rPr>
          <w:rFonts w:hint="eastAsia" w:hAnsi="宋体" w:cs="宋体"/>
          <w:highlight w:val="none"/>
        </w:rPr>
        <w:t>完成校对修订《中国共产党南雄历史第二卷》（1949—1978年）。该书真实、全面、客观地记载此段历史时期南雄市政治、经济、社会发展轨迹，再现此段历史时期中国共产党领导和带领南雄人民发展历史足迹，是珍贵历史资料，具有存史、资政、育人价值。</w:t>
      </w:r>
    </w:p>
    <w:p w14:paraId="58206D95">
      <w:pPr>
        <w:pStyle w:val="4"/>
        <w:bidi w:val="0"/>
        <w:rPr>
          <w:rFonts w:hint="eastAsia"/>
          <w:highlight w:val="none"/>
        </w:rPr>
      </w:pPr>
      <w:r>
        <w:rPr>
          <w:rFonts w:hint="eastAsia"/>
          <w:highlight w:val="none"/>
        </w:rPr>
        <w:t>【革命遗址调查】</w:t>
      </w:r>
    </w:p>
    <w:p w14:paraId="45F74B6A">
      <w:pPr>
        <w:rPr>
          <w:rFonts w:hint="eastAsia" w:hAnsi="宋体" w:cs="宋体"/>
          <w:highlight w:val="none"/>
        </w:rPr>
      </w:pPr>
      <w:r>
        <w:rPr>
          <w:rFonts w:hint="eastAsia" w:hAnsi="宋体" w:cs="宋体"/>
          <w:highlight w:val="none"/>
        </w:rPr>
        <w:t>结合南雄实际情况，做好红军长征时期、革命战争时期历史遗址调查工作，通过走访调研，掌握各地革命遗址基本情况，把革命遗址集成图片、文字编纂成册，为科学制定革命遗址利用保护提供依据。</w:t>
      </w:r>
    </w:p>
    <w:p w14:paraId="2A15AB4A">
      <w:pPr>
        <w:pStyle w:val="4"/>
        <w:bidi w:val="0"/>
        <w:rPr>
          <w:rFonts w:hint="eastAsia"/>
          <w:highlight w:val="none"/>
        </w:rPr>
      </w:pPr>
      <w:r>
        <w:rPr>
          <w:rFonts w:hint="eastAsia"/>
          <w:highlight w:val="none"/>
        </w:rPr>
        <w:t>【编纂《广东中央苏区历史丛书》（南雄卷）】</w:t>
      </w:r>
    </w:p>
    <w:p w14:paraId="3EB469F4">
      <w:pPr>
        <w:rPr>
          <w:rFonts w:hint="eastAsia" w:hAnsi="宋体" w:cs="宋体"/>
          <w:highlight w:val="none"/>
        </w:rPr>
      </w:pPr>
      <w:r>
        <w:rPr>
          <w:rFonts w:hint="eastAsia" w:hAnsi="宋体" w:cs="宋体"/>
          <w:highlight w:val="none"/>
        </w:rPr>
        <w:t>为宣传广东中央苏区范围申报确认成果，介绍广东中央苏区范围的发展历程，展示广东中央苏区范围重要作用和历史贡献，突出苏区革命历史地方特色，弘扬苏区精神，开发红色资源，帮助落实有关政策，促进老区经济和社会快速发展。省委党史研究室决定编纂《广东中央苏区历史丛书》每个苏区县编纂1本，25万字。为编纂好《广东中央苏区历史丛书——南雄卷》，特成立编委会。该书从历史概述、档案文献、回忆资料、人物足迹、革命遗址、雄州风采、特色南雄等记述。</w:t>
      </w:r>
    </w:p>
    <w:p w14:paraId="5778AEC9">
      <w:pPr>
        <w:pStyle w:val="4"/>
        <w:bidi w:val="0"/>
        <w:rPr>
          <w:rFonts w:hint="eastAsia"/>
          <w:highlight w:val="none"/>
        </w:rPr>
      </w:pPr>
      <w:r>
        <w:rPr>
          <w:rFonts w:hint="eastAsia"/>
          <w:highlight w:val="none"/>
        </w:rPr>
        <w:t>【地情网建设】</w:t>
      </w:r>
    </w:p>
    <w:p w14:paraId="3312F0D4">
      <w:pPr>
        <w:rPr>
          <w:rFonts w:hint="eastAsia" w:hAnsi="宋体" w:cs="宋体"/>
          <w:highlight w:val="none"/>
        </w:rPr>
      </w:pPr>
      <w:r>
        <w:rPr>
          <w:rFonts w:hint="eastAsia" w:hAnsi="宋体" w:cs="宋体"/>
          <w:highlight w:val="none"/>
        </w:rPr>
        <w:t>做好地情网站日常管理维护和服务利用工作，突出史志特色、地域特色和文化特色。围绕市委、市政府的中心工作，完善各类内容的信息上传、更新。同时和有关省、市、县取得联系，交流年鉴及其他地情资料，增加藏书。（刘球凤）</w:t>
      </w:r>
    </w:p>
    <w:p w14:paraId="54873845">
      <w:pPr>
        <w:bidi w:val="0"/>
        <w:rPr>
          <w:rFonts w:hint="eastAsia"/>
          <w:b w:val="0"/>
          <w:bCs w:val="0"/>
          <w:highlight w:val="none"/>
        </w:rPr>
      </w:pPr>
      <w:r>
        <w:rPr>
          <w:rFonts w:hint="eastAsia"/>
          <w:b w:val="0"/>
          <w:bCs w:val="0"/>
          <w:highlight w:val="none"/>
        </w:rPr>
        <w:t>附：2015年市史志办领导班子成员名单</w:t>
      </w:r>
    </w:p>
    <w:p w14:paraId="646765D0">
      <w:pPr>
        <w:rPr>
          <w:rFonts w:hint="eastAsia" w:hAnsi="宋体" w:cs="宋体"/>
          <w:b w:val="0"/>
          <w:bCs w:val="0"/>
          <w:highlight w:val="none"/>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任：叶</w:t>
      </w:r>
      <w:r>
        <w:rPr>
          <w:rFonts w:hint="eastAsia" w:hAnsi="宋体" w:cs="宋体"/>
          <w:b w:val="0"/>
          <w:bCs w:val="0"/>
          <w:highlight w:val="none"/>
          <w:lang w:val="en-US" w:eastAsia="zh-CN"/>
        </w:rPr>
        <w:t xml:space="preserve">  </w:t>
      </w:r>
      <w:r>
        <w:rPr>
          <w:rFonts w:hint="eastAsia" w:hAnsi="宋体" w:cs="宋体"/>
          <w:b w:val="0"/>
          <w:bCs w:val="0"/>
          <w:highlight w:val="none"/>
        </w:rPr>
        <w:t>忠</w:t>
      </w:r>
    </w:p>
    <w:p w14:paraId="1EB2981F">
      <w:pPr>
        <w:rPr>
          <w:rFonts w:hint="eastAsia" w:hAnsi="宋体" w:cs="宋体"/>
          <w:b w:val="0"/>
          <w:bCs w:val="0"/>
          <w:highlight w:val="none"/>
        </w:rPr>
      </w:pPr>
      <w:r>
        <w:rPr>
          <w:rFonts w:hint="eastAsia" w:hAnsi="宋体" w:cs="宋体"/>
          <w:b w:val="0"/>
          <w:bCs w:val="0"/>
          <w:highlight w:val="none"/>
        </w:rPr>
        <w:t>副主任：李君祥 谢</w:t>
      </w:r>
      <w:r>
        <w:rPr>
          <w:rFonts w:hint="eastAsia" w:hAnsi="宋体" w:cs="宋体"/>
          <w:b w:val="0"/>
          <w:bCs w:val="0"/>
          <w:highlight w:val="none"/>
          <w:lang w:val="en-US" w:eastAsia="zh-CN"/>
        </w:rPr>
        <w:t xml:space="preserve">  </w:t>
      </w:r>
      <w:r>
        <w:rPr>
          <w:rFonts w:hint="eastAsia" w:hAnsi="宋体" w:cs="宋体"/>
          <w:b w:val="0"/>
          <w:bCs w:val="0"/>
          <w:highlight w:val="none"/>
        </w:rPr>
        <w:t>平</w:t>
      </w:r>
    </w:p>
    <w:p w14:paraId="40917F89">
      <w:pPr>
        <w:pStyle w:val="3"/>
        <w:bidi w:val="0"/>
        <w:rPr>
          <w:rFonts w:hint="eastAsia"/>
          <w:highlight w:val="none"/>
        </w:rPr>
      </w:pPr>
      <w:r>
        <w:rPr>
          <w:rFonts w:hint="eastAsia"/>
          <w:highlight w:val="none"/>
        </w:rPr>
        <w:t>机关党建</w:t>
      </w:r>
    </w:p>
    <w:p w14:paraId="44BDA534">
      <w:pPr>
        <w:pStyle w:val="4"/>
        <w:bidi w:val="0"/>
        <w:rPr>
          <w:rFonts w:hint="eastAsia"/>
          <w:highlight w:val="none"/>
        </w:rPr>
      </w:pPr>
      <w:r>
        <w:rPr>
          <w:rFonts w:hint="eastAsia"/>
          <w:highlight w:val="none"/>
        </w:rPr>
        <w:t>【概况】</w:t>
      </w:r>
    </w:p>
    <w:p w14:paraId="2D7C2102">
      <w:pPr>
        <w:rPr>
          <w:rFonts w:hint="eastAsia" w:hAnsi="宋体" w:cs="宋体"/>
          <w:highlight w:val="none"/>
        </w:rPr>
      </w:pPr>
      <w:r>
        <w:rPr>
          <w:rFonts w:hint="eastAsia" w:hAnsi="宋体" w:cs="宋体"/>
          <w:highlight w:val="none"/>
        </w:rPr>
        <w:t>中共南雄市直属机关工作委员会是中共南雄市委的派出机构，1996年，南雄撤县设市，县直属机关党委相应变为市直属机关党委。1997年南雄市机构改革，将市直属机关党委改称为市直属机关工作委员会，属市委党建工作的派出机构，主要负责规划市直机关党的建设，分类指导市直行政、事业单位和有关企业单位党务工作，抓好党的思想、组织、作风、制度和反腐倡廉建设等11项职能。2015年，新增“民主评议政风行风”以及“民声热线”上线和答复督办两项工作职能。内设办公室、组织股和市直团工委、市直机关武装部，2001年机构改革增设市纪委派出机构市直纪工委，2009年设立市纪委监察局派驻党群中心纪检监察组，2013年12月市纪委监察局派驻党群中心纪检监察组改设置在市委办。现有人员编制8名</w:t>
      </w:r>
      <w:r>
        <w:rPr>
          <w:rFonts w:hint="eastAsia" w:hAnsi="宋体" w:cs="宋体"/>
          <w:highlight w:val="none"/>
          <w:lang w:eastAsia="zh-CN"/>
        </w:rPr>
        <w:t>，</w:t>
      </w:r>
      <w:r>
        <w:rPr>
          <w:rFonts w:hint="eastAsia" w:hAnsi="宋体" w:cs="宋体"/>
          <w:highlight w:val="none"/>
        </w:rPr>
        <w:t>其中行政编制7名</w:t>
      </w:r>
      <w:r>
        <w:rPr>
          <w:rFonts w:hint="eastAsia" w:hAnsi="宋体" w:cs="宋体"/>
          <w:highlight w:val="none"/>
          <w:lang w:eastAsia="zh-CN"/>
        </w:rPr>
        <w:t>，</w:t>
      </w:r>
      <w:r>
        <w:rPr>
          <w:rFonts w:hint="eastAsia" w:hAnsi="宋体" w:cs="宋体"/>
          <w:highlight w:val="none"/>
        </w:rPr>
        <w:t>行政工勤编制1名，2015年年底在职8人，退休11人。2015年，直属机关工委在市委的领导下，贯彻习近平总书记“聚精会神抓党建”和“</w:t>
      </w:r>
      <w:r>
        <w:rPr>
          <w:rFonts w:hint="eastAsia" w:cs="宋体"/>
          <w:highlight w:val="none"/>
          <w:lang w:val="en-US" w:eastAsia="zh-CN"/>
        </w:rPr>
        <w:t>全面</w:t>
      </w:r>
      <w:r>
        <w:rPr>
          <w:rFonts w:hint="eastAsia" w:hAnsi="宋体" w:cs="宋体"/>
          <w:highlight w:val="none"/>
        </w:rPr>
        <w:t>从严治党”重要论述精神，结合市委、市政府的“双学双比”“三严三实”专题教育主题实践活动，以科学发展观为统领，加强和改进机关党的建设。</w:t>
      </w:r>
    </w:p>
    <w:p w14:paraId="3EC00A32">
      <w:pPr>
        <w:pStyle w:val="4"/>
        <w:bidi w:val="0"/>
        <w:rPr>
          <w:rFonts w:hint="eastAsia"/>
          <w:highlight w:val="none"/>
        </w:rPr>
      </w:pPr>
      <w:r>
        <w:rPr>
          <w:rFonts w:hint="eastAsia"/>
          <w:highlight w:val="none"/>
        </w:rPr>
        <w:t>【“三严三实”民主评议党员工作】</w:t>
      </w:r>
    </w:p>
    <w:p w14:paraId="77115BF7">
      <w:pPr>
        <w:rPr>
          <w:rFonts w:hint="eastAsia" w:hAnsi="宋体" w:cs="宋体"/>
          <w:highlight w:val="none"/>
        </w:rPr>
      </w:pPr>
      <w:r>
        <w:rPr>
          <w:rFonts w:hint="eastAsia" w:hAnsi="宋体" w:cs="宋体"/>
          <w:highlight w:val="none"/>
        </w:rPr>
        <w:t>组织全体市直机关党支部在以“为民务实清廉”为主题，以“反对‘四风’、服务群众”为重点，召开党支部“三严三实”组织生活会，通过谈心谈话、对照检查、开展批评和自我批评、党员互评、民主测评等方式，做好民主评议党员工作。市直131个党支部2630名党员参加了民主评议，评出优秀党员260人。</w:t>
      </w:r>
    </w:p>
    <w:p w14:paraId="6A86A16E">
      <w:pPr>
        <w:pStyle w:val="4"/>
        <w:bidi w:val="0"/>
        <w:rPr>
          <w:rFonts w:hint="eastAsia"/>
          <w:highlight w:val="none"/>
        </w:rPr>
      </w:pPr>
      <w:r>
        <w:rPr>
          <w:rFonts w:hint="eastAsia"/>
          <w:highlight w:val="none"/>
        </w:rPr>
        <w:t>【在职党员进社区服务工作】</w:t>
      </w:r>
    </w:p>
    <w:p w14:paraId="166A9F7C">
      <w:pPr>
        <w:rPr>
          <w:rFonts w:hint="eastAsia" w:hAnsi="宋体" w:cs="宋体"/>
          <w:highlight w:val="none"/>
        </w:rPr>
      </w:pPr>
      <w:r>
        <w:rPr>
          <w:rFonts w:hint="eastAsia" w:hAnsi="宋体" w:cs="宋体"/>
          <w:highlight w:val="none"/>
        </w:rPr>
        <w:t>2015年5月20日，南雄市直机关在职党员进社区志愿服务活动正式启动，2015年，市直工委组织市直机关900多名在职党员利用业余时间参与居住地社区建设、管理和服务，开展政策宣传、反映社情民意、参与社区建设、解决群众困难、弘扬先进文化、参与社区建设、管理和服务等六种方式的活动，推进服务型党组织建设。</w:t>
      </w:r>
    </w:p>
    <w:p w14:paraId="253DB741">
      <w:pPr>
        <w:pStyle w:val="4"/>
        <w:bidi w:val="0"/>
        <w:rPr>
          <w:rFonts w:hint="eastAsia"/>
          <w:highlight w:val="none"/>
        </w:rPr>
      </w:pPr>
      <w:r>
        <w:rPr>
          <w:rFonts w:hint="eastAsia"/>
          <w:highlight w:val="none"/>
        </w:rPr>
        <w:t>【组织建设工作】</w:t>
      </w:r>
    </w:p>
    <w:p w14:paraId="68EBBA30">
      <w:pPr>
        <w:rPr>
          <w:rFonts w:hint="eastAsia" w:hAnsi="宋体" w:cs="宋体"/>
          <w:highlight w:val="none"/>
        </w:rPr>
      </w:pPr>
      <w:r>
        <w:rPr>
          <w:rFonts w:hint="eastAsia" w:hAnsi="宋体" w:cs="宋体"/>
          <w:highlight w:val="none"/>
        </w:rPr>
        <w:t>表彰先进，彰显模范作用。召开</w:t>
      </w:r>
      <w:r>
        <w:rPr>
          <w:rFonts w:hint="eastAsia" w:cs="宋体"/>
          <w:highlight w:val="none"/>
          <w:lang w:val="en-US" w:eastAsia="zh-CN"/>
        </w:rPr>
        <w:t>庆祝</w:t>
      </w:r>
      <w:r>
        <w:rPr>
          <w:rFonts w:hint="eastAsia" w:hAnsi="宋体" w:cs="宋体"/>
          <w:highlight w:val="none"/>
        </w:rPr>
        <w:t>建党94周年暨“七一”表彰大会，对市直机关20个先进党组织、45名优秀共产党员、20名优秀党务工作者进行表彰。推动“学习型党组织”建设的深入开展。工委组织开展“上一堂党课；召开一次党员大会；学习一遍新《党章》；参观一次警示教育基地；重温一遍入党誓词；民主评议一次党员；为基层办一件实事、与扶贫联系村、挂点企业过好一次组织生活”等系列活动。督促市直72个单位任期届满的基层党组织及时进行换届和机关党组织负责人、党务干部的选配工作。</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B024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D5AA8BD">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14855"/>
                  <wp:effectExtent l="0" t="0" r="8890" b="4445"/>
                  <wp:docPr id="46" name="图片 193" descr="2015年12月18日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93" descr="2015年12月18日市"/>
                          <pic:cNvPicPr>
                            <a:picLocks noChangeAspect="1"/>
                          </pic:cNvPicPr>
                        </pic:nvPicPr>
                        <pic:blipFill>
                          <a:blip r:embed="rId51"/>
                          <a:stretch>
                            <a:fillRect/>
                          </a:stretch>
                        </pic:blipFill>
                        <pic:spPr>
                          <a:xfrm>
                            <a:off x="0" y="0"/>
                            <a:ext cx="3420110" cy="2014855"/>
                          </a:xfrm>
                          <a:prstGeom prst="rect">
                            <a:avLst/>
                          </a:prstGeom>
                          <a:noFill/>
                          <a:ln>
                            <a:noFill/>
                          </a:ln>
                        </pic:spPr>
                      </pic:pic>
                    </a:graphicData>
                  </a:graphic>
                </wp:inline>
              </w:drawing>
            </w:r>
          </w:p>
        </w:tc>
      </w:tr>
      <w:tr w14:paraId="04695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3C8FD28">
            <w:pPr>
              <w:jc w:val="center"/>
              <w:rPr>
                <w:rFonts w:hint="eastAsia" w:hAnsi="宋体" w:cs="宋体"/>
                <w:highlight w:val="none"/>
                <w:vertAlign w:val="baseline"/>
              </w:rPr>
            </w:pPr>
            <w:r>
              <w:rPr>
                <w:rFonts w:hint="eastAsia" w:hAnsi="宋体" w:cs="宋体"/>
                <w:highlight w:val="none"/>
                <w:vertAlign w:val="baseline"/>
              </w:rPr>
              <w:t>2015年12月18日，市直属机关工委组织召开南雄市民主评议政风行风集中测评会议（朱瑞凝摄）</w:t>
            </w:r>
          </w:p>
        </w:tc>
      </w:tr>
    </w:tbl>
    <w:p w14:paraId="08CC119B">
      <w:pPr>
        <w:pStyle w:val="4"/>
        <w:bidi w:val="0"/>
        <w:rPr>
          <w:rFonts w:hint="eastAsia"/>
          <w:highlight w:val="none"/>
        </w:rPr>
      </w:pPr>
      <w:r>
        <w:rPr>
          <w:rFonts w:hint="eastAsia"/>
          <w:highlight w:val="none"/>
        </w:rPr>
        <w:t>【新党员教育培训工作】</w:t>
      </w:r>
    </w:p>
    <w:p w14:paraId="0491F2DA">
      <w:pPr>
        <w:rPr>
          <w:rFonts w:hint="eastAsia" w:hAnsi="宋体" w:cs="宋体"/>
          <w:highlight w:val="none"/>
        </w:rPr>
      </w:pPr>
      <w:r>
        <w:rPr>
          <w:rFonts w:hint="eastAsia" w:hAnsi="宋体" w:cs="宋体"/>
          <w:highlight w:val="none"/>
        </w:rPr>
        <w:t>对市直51名新入党积极分子进行培训，当年发展党员27名，含女党员7人、大专以上学历22人、35岁以下10人。</w:t>
      </w:r>
    </w:p>
    <w:p w14:paraId="1F757408">
      <w:pPr>
        <w:pStyle w:val="4"/>
        <w:bidi w:val="0"/>
        <w:rPr>
          <w:rFonts w:hint="eastAsia"/>
          <w:highlight w:val="none"/>
        </w:rPr>
      </w:pPr>
      <w:r>
        <w:rPr>
          <w:rFonts w:hint="eastAsia"/>
          <w:highlight w:val="none"/>
        </w:rPr>
        <w:t>【党内激励、关怀、帮扶工作】</w:t>
      </w:r>
    </w:p>
    <w:p w14:paraId="31B83DF8">
      <w:pPr>
        <w:rPr>
          <w:rFonts w:hint="eastAsia" w:hAnsi="宋体" w:cs="宋体"/>
          <w:highlight w:val="none"/>
        </w:rPr>
      </w:pPr>
      <w:r>
        <w:rPr>
          <w:rFonts w:hint="eastAsia" w:hAnsi="宋体" w:cs="宋体"/>
          <w:highlight w:val="none"/>
        </w:rPr>
        <w:t>资助一批困难党员子女上大学，帮助一批下岗党员培训和再就业。元旦、春节和“七一”期间，走访、慰问困难党员、老党员21名，为新增党龄满50周年的6名老党员发放纪念章；为7名困难党员申请一次性困难补助。</w:t>
      </w:r>
    </w:p>
    <w:p w14:paraId="4B62493C">
      <w:pPr>
        <w:pStyle w:val="4"/>
        <w:bidi w:val="0"/>
        <w:rPr>
          <w:rFonts w:hint="eastAsia"/>
          <w:highlight w:val="none"/>
        </w:rPr>
      </w:pPr>
      <w:r>
        <w:rPr>
          <w:rFonts w:hint="eastAsia"/>
          <w:highlight w:val="none"/>
        </w:rPr>
        <w:t>【民主评议政风行风工作】</w:t>
      </w:r>
    </w:p>
    <w:p w14:paraId="19730EA2">
      <w:pPr>
        <w:rPr>
          <w:rFonts w:hint="eastAsia" w:hAnsi="宋体" w:cs="宋体"/>
          <w:highlight w:val="none"/>
        </w:rPr>
      </w:pPr>
      <w:r>
        <w:rPr>
          <w:rFonts w:hint="eastAsia" w:hAnsi="宋体" w:cs="宋体"/>
          <w:highlight w:val="none"/>
        </w:rPr>
        <w:t>依据《南雄市2015年民主评议政风行风工作方案》，以勤政敬业改进服务态度、提升服务效率、解决群众急难问题、服务南雄经济社会发展、落实党风廉政建设责任制、贯彻“三严三实”要求、落实八项规定厉行节约等7个方面作为评议的内容，通过自查自纠、群众直评、定期督导、行评团现场集中测评等各种方式，对市财政局、人社局、旅游局、体育局、民政局、城管局等7个单位进行重点政风行风评议。</w:t>
      </w:r>
    </w:p>
    <w:p w14:paraId="6BE64E09">
      <w:pPr>
        <w:pStyle w:val="4"/>
        <w:bidi w:val="0"/>
        <w:rPr>
          <w:rFonts w:hint="eastAsia"/>
          <w:highlight w:val="none"/>
        </w:rPr>
      </w:pPr>
      <w:r>
        <w:rPr>
          <w:rFonts w:hint="eastAsia"/>
          <w:highlight w:val="none"/>
        </w:rPr>
        <w:t>【“民声热线”上线和答复督办工作】</w:t>
      </w:r>
    </w:p>
    <w:p w14:paraId="3AF35CDF">
      <w:pPr>
        <w:rPr>
          <w:rFonts w:hint="eastAsia" w:hAnsi="宋体" w:eastAsia="宋体" w:cs="宋体"/>
          <w:highlight w:val="none"/>
          <w:lang w:eastAsia="zh-CN"/>
        </w:rPr>
      </w:pPr>
      <w:r>
        <w:rPr>
          <w:rFonts w:hint="eastAsia" w:hAnsi="宋体" w:cs="宋体"/>
          <w:highlight w:val="none"/>
        </w:rPr>
        <w:t>工委落实《2015年南雄市“民声热线”实施方案》，组织做好12月2日韶关现场和南雄分会场的南雄“民声热线”上线活动。活动接进并现场答复群众热线电话8个，韶关现场和南雄分会场秩序良好，热线接听顺畅，反映人对现场的答复都表示满意。2015年督办热线问题答复71宗，其中12月2日上线热线问题答复情况中发现民政局超时答复1宗。</w:t>
      </w:r>
    </w:p>
    <w:p w14:paraId="461FE65C">
      <w:pPr>
        <w:pStyle w:val="4"/>
        <w:bidi w:val="0"/>
        <w:rPr>
          <w:rFonts w:hint="eastAsia"/>
          <w:highlight w:val="none"/>
        </w:rPr>
      </w:pPr>
      <w:r>
        <w:rPr>
          <w:rFonts w:hint="eastAsia"/>
          <w:highlight w:val="none"/>
        </w:rPr>
        <w:t>【纪检监察】</w:t>
      </w:r>
    </w:p>
    <w:p w14:paraId="6EAD2536">
      <w:pPr>
        <w:rPr>
          <w:rFonts w:hint="eastAsia" w:hAnsi="宋体" w:cs="宋体"/>
          <w:highlight w:val="none"/>
        </w:rPr>
      </w:pPr>
      <w:r>
        <w:rPr>
          <w:rFonts w:hint="eastAsia" w:hAnsi="宋体" w:cs="宋体"/>
          <w:highlight w:val="none"/>
        </w:rPr>
        <w:t>纪工委结合市委开展“三严三实”专题教育实践活动</w:t>
      </w:r>
      <w:r>
        <w:rPr>
          <w:rFonts w:hint="eastAsia" w:hAnsi="宋体" w:cs="宋体"/>
          <w:highlight w:val="none"/>
          <w:lang w:eastAsia="zh-CN"/>
        </w:rPr>
        <w:t>，</w:t>
      </w:r>
      <w:r>
        <w:rPr>
          <w:rFonts w:hint="eastAsia" w:hAnsi="宋体" w:cs="宋体"/>
          <w:highlight w:val="none"/>
        </w:rPr>
        <w:t>抓好《中国共产党章程》《廉政准则》等的学习贯彻，2015年，工委主要领导为机关党员干部上廉政党课3次，党支部组织开展廉政教育专题学习，撰写学习体会文章5篇，重点调研课题1篇。组织市直机关近千名干部到预防职务犯罪警示教育基地开展警示教育活动，接受现场教育。</w:t>
      </w:r>
    </w:p>
    <w:p w14:paraId="55889624">
      <w:pPr>
        <w:pStyle w:val="4"/>
        <w:bidi w:val="0"/>
        <w:rPr>
          <w:rFonts w:hint="eastAsia"/>
          <w:highlight w:val="none"/>
        </w:rPr>
      </w:pPr>
      <w:r>
        <w:rPr>
          <w:rFonts w:hint="eastAsia"/>
          <w:highlight w:val="none"/>
        </w:rPr>
        <w:t>【武装工作】</w:t>
      </w:r>
    </w:p>
    <w:p w14:paraId="78AFE17C">
      <w:pPr>
        <w:rPr>
          <w:rFonts w:hint="eastAsia" w:hAnsi="宋体" w:cs="宋体"/>
          <w:highlight w:val="none"/>
        </w:rPr>
      </w:pPr>
      <w:r>
        <w:rPr>
          <w:rFonts w:hint="eastAsia" w:hAnsi="宋体" w:cs="宋体"/>
          <w:highlight w:val="none"/>
        </w:rPr>
        <w:t>根据上级军事地民兵工作整组的要求，完成机关民兵组织调整工作，在交通、公路、卫计、烟草、电信、汽车站等单位组建与军事专业对口的民兵专业技术分队，民兵队伍中党团骨干占95%以上；做好机关适龄青年兵役登记工作，为每个符合条件的适龄青年发放“兵役证”；按照市征兵办的要求，做好调查、动员、政审工作，完成上级赋予的征兵任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3E00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16C8D9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18360"/>
                  <wp:effectExtent l="0" t="0" r="8890" b="15240"/>
                  <wp:docPr id="47" name="图片 195" descr="民声热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95" descr="民声热线"/>
                          <pic:cNvPicPr>
                            <a:picLocks noChangeAspect="1"/>
                          </pic:cNvPicPr>
                        </pic:nvPicPr>
                        <pic:blipFill>
                          <a:blip r:embed="rId52"/>
                          <a:stretch>
                            <a:fillRect/>
                          </a:stretch>
                        </pic:blipFill>
                        <pic:spPr>
                          <a:xfrm>
                            <a:off x="0" y="0"/>
                            <a:ext cx="3420110" cy="2118360"/>
                          </a:xfrm>
                          <a:prstGeom prst="rect">
                            <a:avLst/>
                          </a:prstGeom>
                          <a:noFill/>
                          <a:ln>
                            <a:noFill/>
                          </a:ln>
                        </pic:spPr>
                      </pic:pic>
                    </a:graphicData>
                  </a:graphic>
                </wp:inline>
              </w:drawing>
            </w:r>
          </w:p>
        </w:tc>
      </w:tr>
      <w:tr w14:paraId="4E436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4BE931B">
            <w:pPr>
              <w:jc w:val="center"/>
              <w:rPr>
                <w:rFonts w:hint="eastAsia" w:hAnsi="宋体" w:cs="宋体"/>
                <w:highlight w:val="none"/>
                <w:vertAlign w:val="baseline"/>
              </w:rPr>
            </w:pPr>
            <w:r>
              <w:rPr>
                <w:rFonts w:hint="eastAsia" w:hAnsi="宋体" w:cs="宋体"/>
                <w:highlight w:val="none"/>
                <w:vertAlign w:val="baseline"/>
              </w:rPr>
              <w:t>2015年12月2日，南雄“民声热线”上线活动韶关直播现场（朱瑞凝摄）</w:t>
            </w:r>
          </w:p>
        </w:tc>
      </w:tr>
    </w:tbl>
    <w:p w14:paraId="5269B273">
      <w:pPr>
        <w:pStyle w:val="4"/>
        <w:bidi w:val="0"/>
        <w:rPr>
          <w:rFonts w:hint="eastAsia"/>
          <w:highlight w:val="none"/>
        </w:rPr>
      </w:pPr>
      <w:r>
        <w:rPr>
          <w:rFonts w:hint="eastAsia"/>
          <w:highlight w:val="none"/>
        </w:rPr>
        <w:t>【扶贫“双到”工作】</w:t>
      </w:r>
    </w:p>
    <w:p w14:paraId="2E120CA7">
      <w:pPr>
        <w:rPr>
          <w:rFonts w:hint="eastAsia" w:hAnsi="宋体" w:cs="宋体"/>
          <w:highlight w:val="none"/>
        </w:rPr>
      </w:pPr>
      <w:r>
        <w:rPr>
          <w:rFonts w:hint="eastAsia" w:hAnsi="宋体" w:cs="宋体"/>
          <w:highlight w:val="none"/>
        </w:rPr>
        <w:t>直属工委结合自身工作实际，在该单位联系的全安镇古塘村进行帮扶，2015年，到村进行调研5次，召开各种座谈会3次，帮扶困难党员和困难群众18人。</w:t>
      </w:r>
    </w:p>
    <w:p w14:paraId="70540823">
      <w:pPr>
        <w:pStyle w:val="4"/>
        <w:bidi w:val="0"/>
        <w:rPr>
          <w:rFonts w:hint="eastAsia"/>
          <w:highlight w:val="none"/>
        </w:rPr>
      </w:pPr>
      <w:r>
        <w:rPr>
          <w:rFonts w:hint="eastAsia"/>
          <w:highlight w:val="none"/>
        </w:rPr>
        <w:t>【挂点联系企业】</w:t>
      </w:r>
    </w:p>
    <w:p w14:paraId="02F1C5A0">
      <w:pPr>
        <w:rPr>
          <w:rFonts w:hint="eastAsia" w:hAnsi="宋体" w:cs="宋体"/>
          <w:highlight w:val="none"/>
        </w:rPr>
      </w:pPr>
      <w:r>
        <w:rPr>
          <w:rFonts w:hint="eastAsia" w:hAnsi="宋体" w:cs="宋体"/>
          <w:highlight w:val="none"/>
        </w:rPr>
        <w:t>抓好对马来宾环保油墨公司的跟踪服务，坚持每月1次到企业了解情况，帮助解决一些生产过程中的问题。同时，实施机关党组织“挂点联系企业”活动，实现党建工作与中心工作有机结合、深度融合、相互促进。</w:t>
      </w:r>
    </w:p>
    <w:p w14:paraId="1BEF39F1">
      <w:pPr>
        <w:pStyle w:val="4"/>
        <w:bidi w:val="0"/>
        <w:rPr>
          <w:rFonts w:hint="eastAsia"/>
          <w:highlight w:val="none"/>
        </w:rPr>
      </w:pPr>
      <w:r>
        <w:rPr>
          <w:rFonts w:hint="eastAsia"/>
          <w:highlight w:val="none"/>
        </w:rPr>
        <w:t>【节约型机关建设】</w:t>
      </w:r>
    </w:p>
    <w:p w14:paraId="09A75B55">
      <w:pPr>
        <w:rPr>
          <w:rFonts w:hint="eastAsia" w:hAnsi="宋体" w:cs="宋体"/>
          <w:highlight w:val="none"/>
        </w:rPr>
      </w:pPr>
      <w:r>
        <w:rPr>
          <w:rFonts w:hint="eastAsia" w:hAnsi="宋体" w:cs="宋体"/>
          <w:highlight w:val="none"/>
        </w:rPr>
        <w:t>建立健全直属工委《厉行节约规定》《差旅费管理办法》《因公出国（境）管理办法》《培训费管理办法》等制度；配合公车改革制度的落实，做好公车信息资料的完整如实上报，以及在规定日期封存车辆和上交车辆工作；严格执行市委、市政府制定的干部职工津补贴统一标准。</w:t>
      </w:r>
    </w:p>
    <w:p w14:paraId="26B91F1B">
      <w:pPr>
        <w:pStyle w:val="4"/>
        <w:bidi w:val="0"/>
        <w:rPr>
          <w:rFonts w:hint="eastAsia"/>
          <w:highlight w:val="none"/>
        </w:rPr>
      </w:pPr>
      <w:r>
        <w:rPr>
          <w:rFonts w:hint="eastAsia"/>
          <w:highlight w:val="none"/>
        </w:rPr>
        <w:t>【人事工作】</w:t>
      </w:r>
    </w:p>
    <w:p w14:paraId="7C0AE6D0">
      <w:pPr>
        <w:rPr>
          <w:rFonts w:hint="eastAsia" w:hAnsi="宋体" w:cs="宋体"/>
          <w:highlight w:val="none"/>
        </w:rPr>
      </w:pPr>
      <w:r>
        <w:rPr>
          <w:rFonts w:hint="eastAsia" w:hAnsi="宋体" w:cs="宋体"/>
          <w:highlight w:val="none"/>
        </w:rPr>
        <w:t>调入2名年轻干部，填补到办公室和组织股，人员结构得到调整。（朱瑞凝）</w:t>
      </w:r>
    </w:p>
    <w:p w14:paraId="780B23E4">
      <w:pPr>
        <w:bidi w:val="0"/>
        <w:rPr>
          <w:rFonts w:hint="eastAsia"/>
          <w:b w:val="0"/>
          <w:bCs w:val="0"/>
          <w:highlight w:val="none"/>
        </w:rPr>
      </w:pPr>
      <w:r>
        <w:rPr>
          <w:rFonts w:hint="eastAsia"/>
          <w:b w:val="0"/>
          <w:bCs w:val="0"/>
          <w:highlight w:val="none"/>
        </w:rPr>
        <w:t>附：2015年市直工委领导班子成员名单</w:t>
      </w:r>
    </w:p>
    <w:p w14:paraId="08D5CD60">
      <w:pPr>
        <w:rPr>
          <w:rFonts w:hint="eastAsia" w:hAnsi="宋体" w:cs="宋体"/>
          <w:bCs/>
          <w:highlight w:val="none"/>
        </w:rPr>
      </w:pPr>
      <w:r>
        <w:rPr>
          <w:rFonts w:hint="eastAsia" w:hAnsi="宋体" w:cs="宋体"/>
          <w:b w:val="0"/>
          <w:bCs/>
          <w:highlight w:val="none"/>
        </w:rPr>
        <w:t>书</w:t>
      </w:r>
      <w:r>
        <w:rPr>
          <w:rFonts w:hint="eastAsia" w:hAnsi="宋体" w:cs="宋体"/>
          <w:b w:val="0"/>
          <w:bCs/>
          <w:highlight w:val="none"/>
          <w:lang w:val="en-US" w:eastAsia="zh-CN"/>
        </w:rPr>
        <w:t xml:space="preserve">  </w:t>
      </w:r>
      <w:r>
        <w:rPr>
          <w:rFonts w:hint="eastAsia" w:hAnsi="宋体" w:cs="宋体"/>
          <w:bCs/>
          <w:highlight w:val="none"/>
        </w:rPr>
        <w:t>记：蔡德华</w:t>
      </w:r>
    </w:p>
    <w:p w14:paraId="0B8D146A">
      <w:pPr>
        <w:rPr>
          <w:rFonts w:hint="eastAsia" w:hAnsi="宋体" w:cs="宋体"/>
          <w:bCs/>
          <w:highlight w:val="none"/>
        </w:rPr>
      </w:pPr>
      <w:r>
        <w:rPr>
          <w:rFonts w:hint="eastAsia" w:hAnsi="宋体" w:cs="宋体"/>
          <w:bCs/>
          <w:highlight w:val="none"/>
        </w:rPr>
        <w:t>纪工委书记：孔明华</w:t>
      </w:r>
    </w:p>
    <w:p w14:paraId="4C44A202">
      <w:pPr>
        <w:rPr>
          <w:rFonts w:hint="eastAsia" w:hAnsi="宋体" w:cs="宋体"/>
          <w:highlight w:val="none"/>
        </w:rPr>
      </w:pPr>
      <w:r>
        <w:rPr>
          <w:rFonts w:hint="eastAsia" w:hAnsi="宋体" w:cs="宋体"/>
          <w:bCs/>
          <w:highlight w:val="none"/>
        </w:rPr>
        <w:t>武装部部长：李</w:t>
      </w:r>
      <w:r>
        <w:rPr>
          <w:rFonts w:hint="eastAsia" w:hAnsi="宋体" w:cs="宋体"/>
          <w:highlight w:val="none"/>
        </w:rPr>
        <w:t>卫东</w:t>
      </w:r>
    </w:p>
    <w:p w14:paraId="3BF7FFD8">
      <w:pPr>
        <w:pStyle w:val="3"/>
        <w:bidi w:val="0"/>
        <w:rPr>
          <w:rFonts w:hint="eastAsia"/>
          <w:highlight w:val="none"/>
        </w:rPr>
      </w:pPr>
      <w:r>
        <w:rPr>
          <w:rFonts w:hint="eastAsia"/>
          <w:highlight w:val="none"/>
        </w:rPr>
        <w:t>依法治市</w:t>
      </w:r>
    </w:p>
    <w:p w14:paraId="20834883">
      <w:pPr>
        <w:pStyle w:val="4"/>
        <w:bidi w:val="0"/>
        <w:rPr>
          <w:rFonts w:hint="eastAsia"/>
          <w:highlight w:val="none"/>
        </w:rPr>
      </w:pPr>
      <w:r>
        <w:rPr>
          <w:rFonts w:hint="eastAsia"/>
          <w:highlight w:val="none"/>
        </w:rPr>
        <w:t>【概况】</w:t>
      </w:r>
    </w:p>
    <w:p w14:paraId="05CAAF49">
      <w:pPr>
        <w:rPr>
          <w:rFonts w:hint="eastAsia" w:hAnsi="宋体" w:cs="宋体"/>
          <w:highlight w:val="none"/>
        </w:rPr>
      </w:pPr>
      <w:r>
        <w:rPr>
          <w:rFonts w:hint="eastAsia" w:hAnsi="宋体" w:cs="宋体"/>
          <w:highlight w:val="none"/>
        </w:rPr>
        <w:t>中共南雄市委依法治市领导小组办公室（以下简称依法治市办）成立于1997年4月，是南雄市委正科级常设议事协调机构，委托南雄市人大常委会党组代管。设有两个股室，编制3人。在市委的领导下负责组织、协调、监督、检查全市依法治理和法制宣传教育工作。2015年市依法治市办做到注重改善民生，夯实法治基础，促进民主科学决策，推进法治政府建设，加强法治宣传，为南雄建设生态富裕文明法治和谐粤北门户城市提供良好法治保障。</w:t>
      </w:r>
    </w:p>
    <w:p w14:paraId="769FEF18">
      <w:pPr>
        <w:rPr>
          <w:rFonts w:hint="eastAsia" w:hAnsi="宋体" w:cs="宋体"/>
          <w:highlight w:val="none"/>
        </w:rPr>
      </w:pPr>
      <w:r>
        <w:rPr>
          <w:rFonts w:hint="eastAsia" w:hAnsi="宋体" w:cs="宋体"/>
          <w:highlight w:val="none"/>
        </w:rPr>
        <w:t>2015年4月20日，南雄市荣获“广东省法治县（市、区）创建活动先进单位”，这是南雄市继2010年被评为“全国法治县（市、区）创建活动先进单位”“广东省法治县（市、区）创建活动先进单位”之后，再次荣获“广东省法治县（市、区）创建活动先进单位”荣誉称号。</w:t>
      </w:r>
    </w:p>
    <w:p w14:paraId="65236440">
      <w:pPr>
        <w:pStyle w:val="4"/>
        <w:bidi w:val="0"/>
        <w:rPr>
          <w:rFonts w:hint="eastAsia"/>
          <w:highlight w:val="none"/>
        </w:rPr>
      </w:pPr>
      <w:r>
        <w:rPr>
          <w:rFonts w:hint="eastAsia"/>
          <w:highlight w:val="none"/>
        </w:rPr>
        <w:t>【依法行政考评会议】</w:t>
      </w:r>
    </w:p>
    <w:p w14:paraId="2ABE9199">
      <w:pPr>
        <w:rPr>
          <w:rFonts w:hint="eastAsia" w:hAnsi="宋体" w:cs="宋体"/>
          <w:highlight w:val="none"/>
        </w:rPr>
      </w:pPr>
      <w:r>
        <w:rPr>
          <w:rFonts w:hint="eastAsia" w:hAnsi="宋体" w:cs="宋体"/>
          <w:highlight w:val="none"/>
        </w:rPr>
        <w:t>2015年2月4日，南雄市依法行政考评工作会，分管依法行政的市领导、市依法行政领导小组成员单位的领导及有工作任务的有关单位分管依法行政工作的领导出席会议。各部门高度重视依法行政工作，加强领导、明确责任，对照各自的工作任务，逐一抓好落实，整理好相关材料，确保依法行政考评各项指标任务的完成，使南雄市依法行政考评取得好成绩。</w:t>
      </w:r>
    </w:p>
    <w:p w14:paraId="08CC4A23">
      <w:pPr>
        <w:pStyle w:val="4"/>
        <w:bidi w:val="0"/>
        <w:rPr>
          <w:rFonts w:hint="eastAsia"/>
          <w:highlight w:val="none"/>
        </w:rPr>
      </w:pPr>
      <w:r>
        <w:rPr>
          <w:rFonts w:hint="eastAsia"/>
          <w:highlight w:val="none"/>
        </w:rPr>
        <w:t>【经验介绍】</w:t>
      </w:r>
    </w:p>
    <w:p w14:paraId="6C71DE47">
      <w:pPr>
        <w:rPr>
          <w:rFonts w:hint="eastAsia" w:hAnsi="宋体" w:cs="宋体"/>
          <w:highlight w:val="none"/>
        </w:rPr>
      </w:pPr>
      <w:r>
        <w:rPr>
          <w:rFonts w:hint="eastAsia" w:hAnsi="宋体" w:cs="宋体"/>
          <w:highlight w:val="none"/>
        </w:rPr>
        <w:t>2015年4月28日，全省依法治市办公室主任会议暨按法治框架解决基层矛盾试点工作推进会在中山市召开。南雄市作为全省唯一的县（市）级单位发言代表，市人大常委会副主任、市依法治市工作领导小组副组长张宗财同志作题为《构建多层次法治平台有效化解基层社会矛盾》经验介绍，省人大常委会副主任陈小川同志对南雄市开展按法治框架解决基层矛盾试点工作予以肯定。</w:t>
      </w:r>
    </w:p>
    <w:p w14:paraId="75B066E6">
      <w:pPr>
        <w:pStyle w:val="4"/>
        <w:bidi w:val="0"/>
        <w:rPr>
          <w:rFonts w:hint="eastAsia"/>
          <w:highlight w:val="none"/>
        </w:rPr>
      </w:pPr>
      <w:r>
        <w:rPr>
          <w:rFonts w:hint="eastAsia"/>
          <w:highlight w:val="none"/>
        </w:rPr>
        <w:t>【法律顾问专栏】</w:t>
      </w:r>
    </w:p>
    <w:p w14:paraId="4E2F5CBE">
      <w:pPr>
        <w:rPr>
          <w:rFonts w:hint="eastAsia" w:hAnsi="宋体" w:cs="宋体"/>
          <w:highlight w:val="none"/>
        </w:rPr>
      </w:pPr>
      <w:r>
        <w:rPr>
          <w:rFonts w:hint="eastAsia" w:hAnsi="宋体" w:cs="宋体"/>
          <w:highlight w:val="none"/>
        </w:rPr>
        <w:t>2015年6月，南雄市电视台开通一村（社区）一法律顾问专栏，对南雄开展一村（社区）一法律顾问下基层活动进行专题系列报道。</w:t>
      </w:r>
    </w:p>
    <w:p w14:paraId="187FFFE7">
      <w:pPr>
        <w:pStyle w:val="4"/>
        <w:bidi w:val="0"/>
        <w:rPr>
          <w:rFonts w:hint="eastAsia"/>
          <w:highlight w:val="none"/>
        </w:rPr>
      </w:pPr>
      <w:r>
        <w:rPr>
          <w:rFonts w:hint="eastAsia"/>
          <w:highlight w:val="none"/>
        </w:rPr>
        <w:t>【检查验收】</w:t>
      </w:r>
    </w:p>
    <w:p w14:paraId="0EC1B506">
      <w:pPr>
        <w:rPr>
          <w:rFonts w:hint="eastAsia" w:hAnsi="宋体" w:cs="宋体"/>
          <w:highlight w:val="none"/>
        </w:rPr>
      </w:pPr>
      <w:r>
        <w:rPr>
          <w:rFonts w:hint="eastAsia" w:hAnsi="宋体" w:cs="宋体"/>
          <w:highlight w:val="none"/>
        </w:rPr>
        <w:t>2015年9月14日，韶关市对南雄市《法治广东建设五年规划》和“六五”普法规划实施情况进行检查评估。韶关市评估检查组深入到南雄市教育局、职中、黄坑镇进行检查，通过仔细翻阅有关材料和组织测试，检查各单位五年来依法行政执行情况，检查肯定南雄《法治广东建设五年规划》工作，顺利通过验收。</w:t>
      </w:r>
    </w:p>
    <w:p w14:paraId="24A12DE0">
      <w:pPr>
        <w:pStyle w:val="4"/>
        <w:bidi w:val="0"/>
        <w:rPr>
          <w:rFonts w:hint="eastAsia"/>
          <w:highlight w:val="none"/>
        </w:rPr>
      </w:pPr>
      <w:r>
        <w:rPr>
          <w:rFonts w:hint="eastAsia"/>
          <w:highlight w:val="none"/>
        </w:rPr>
        <w:t>【试点工作取得阶段性成果】</w:t>
      </w:r>
    </w:p>
    <w:p w14:paraId="79E70D17">
      <w:pPr>
        <w:rPr>
          <w:rFonts w:hint="eastAsia" w:hAnsi="宋体" w:cs="宋体"/>
          <w:highlight w:val="none"/>
        </w:rPr>
      </w:pPr>
      <w:r>
        <w:rPr>
          <w:rFonts w:hint="eastAsia" w:hAnsi="宋体" w:cs="宋体"/>
          <w:highlight w:val="none"/>
        </w:rPr>
        <w:t>自2014年南雄市被省确定为全省按法治框架解决基层矛盾工作试点县（市），南雄试点工作以法治平台建设为抓手，从党委、行政、司法、基层、行业等领域，构建起覆盖全社会的依法化解矛盾纠纷的平台体系，依法化解基层矛盾，切实维护社会稳定，试点工作取得阶段性成果。如古市镇溪口村的“</w:t>
      </w:r>
      <w:r>
        <w:rPr>
          <w:rFonts w:hint="eastAsia" w:hAnsi="宋体" w:cs="宋体"/>
          <w:highlight w:val="none"/>
          <w:lang w:eastAsia="zh-CN"/>
        </w:rPr>
        <w:t>董事会</w:t>
      </w:r>
      <w:r>
        <w:rPr>
          <w:rFonts w:hint="eastAsia" w:hAnsi="宋体" w:cs="宋体"/>
          <w:highlight w:val="none"/>
        </w:rPr>
        <w:t>”、珠玑镇里仁村 “理事会”、雄州街道水南村 “听证会”、市供电局的“法律诊所”等单位在法治框架内化解基层矛盾做法，成为全省开展试点工作的亮点，得到省办充分肯定，韶关日报、韶关电视台对该市开展试点工作做法和成就进行专题报道宣传。全市建立市、镇、村</w:t>
      </w:r>
      <w:r>
        <w:rPr>
          <w:rFonts w:hint="eastAsia" w:hAnsi="宋体" w:cs="宋体"/>
          <w:highlight w:val="none"/>
          <w:lang w:eastAsia="zh-CN"/>
        </w:rPr>
        <w:t>（</w:t>
      </w:r>
      <w:r>
        <w:rPr>
          <w:rFonts w:hint="eastAsia" w:hAnsi="宋体" w:cs="宋体"/>
          <w:highlight w:val="none"/>
        </w:rPr>
        <w:t>社区</w:t>
      </w:r>
      <w:r>
        <w:rPr>
          <w:rFonts w:hint="eastAsia" w:hAnsi="宋体" w:cs="宋体"/>
          <w:highlight w:val="none"/>
          <w:lang w:eastAsia="zh-CN"/>
        </w:rPr>
        <w:t>）</w:t>
      </w:r>
      <w:r>
        <w:rPr>
          <w:rFonts w:hint="eastAsia" w:hAnsi="宋体" w:cs="宋体"/>
          <w:highlight w:val="none"/>
        </w:rPr>
        <w:t>、村</w:t>
      </w:r>
      <w:r>
        <w:rPr>
          <w:rFonts w:hint="eastAsia" w:hAnsi="宋体" w:cs="宋体"/>
          <w:highlight w:val="none"/>
          <w:lang w:eastAsia="zh-CN"/>
        </w:rPr>
        <w:t>（</w:t>
      </w:r>
      <w:r>
        <w:rPr>
          <w:rFonts w:hint="eastAsia" w:hAnsi="宋体" w:cs="宋体"/>
          <w:highlight w:val="none"/>
        </w:rPr>
        <w:t>居</w:t>
      </w:r>
      <w:r>
        <w:rPr>
          <w:rFonts w:hint="eastAsia" w:hAnsi="宋体" w:cs="宋体"/>
          <w:highlight w:val="none"/>
          <w:lang w:eastAsia="zh-CN"/>
        </w:rPr>
        <w:t>）</w:t>
      </w:r>
      <w:r>
        <w:rPr>
          <w:rFonts w:hint="eastAsia" w:hAnsi="宋体" w:cs="宋体"/>
          <w:highlight w:val="none"/>
        </w:rPr>
        <w:t>民小组四级调解组织2898个，调解员4017人。创办“南雄市民间纠纷调处中心”，为广东省矛盾纠纷调处方式的首创。该中心在行政调解、司法调解和人民调解的基础上，形成 “3+1”调解模式，全市民事纠纷调处受理率达到100%</w:t>
      </w:r>
      <w:r>
        <w:rPr>
          <w:rFonts w:hint="eastAsia" w:hAnsi="宋体" w:cs="宋体"/>
          <w:highlight w:val="none"/>
          <w:lang w:eastAsia="zh-CN"/>
        </w:rPr>
        <w:t>，</w:t>
      </w:r>
      <w:r>
        <w:rPr>
          <w:rFonts w:hint="eastAsia" w:hAnsi="宋体" w:cs="宋体"/>
          <w:highlight w:val="none"/>
        </w:rPr>
        <w:t>成功率达98%。</w:t>
      </w:r>
    </w:p>
    <w:p w14:paraId="1D755D99">
      <w:pPr>
        <w:pStyle w:val="4"/>
        <w:bidi w:val="0"/>
        <w:rPr>
          <w:rFonts w:hint="eastAsia"/>
          <w:highlight w:val="none"/>
        </w:rPr>
      </w:pPr>
      <w:r>
        <w:rPr>
          <w:rFonts w:hint="eastAsia"/>
          <w:highlight w:val="none"/>
        </w:rPr>
        <w:t>【法治南雄宣传教育周】</w:t>
      </w:r>
    </w:p>
    <w:p w14:paraId="3F2D9F73">
      <w:pPr>
        <w:rPr>
          <w:rFonts w:hint="eastAsia" w:hAnsi="宋体" w:cs="宋体"/>
          <w:highlight w:val="none"/>
        </w:rPr>
      </w:pPr>
      <w:r>
        <w:rPr>
          <w:rFonts w:hint="eastAsia" w:hAnsi="宋体" w:cs="宋体"/>
          <w:highlight w:val="none"/>
        </w:rPr>
        <w:t>2015年12月4—11日，南雄市结合“12·4”全国法制宣传日，深入开展“法治南雄宣传周”活动。市委常委、政法委书记刘发龙发表电视讲话；全市悬挂横幅48条，发放各类宣传单、手册、读本等共10000多份；全市和中小学校组织学生法律知识测试；全市160多个单位，近万名公职人员进行普法考试，实现全市无纸化普法考试100%全面覆盖。</w:t>
      </w:r>
    </w:p>
    <w:p w14:paraId="55537841">
      <w:pPr>
        <w:pStyle w:val="4"/>
        <w:bidi w:val="0"/>
        <w:rPr>
          <w:rFonts w:hint="eastAsia"/>
          <w:highlight w:val="none"/>
        </w:rPr>
      </w:pPr>
      <w:r>
        <w:rPr>
          <w:rFonts w:hint="eastAsia"/>
          <w:highlight w:val="none"/>
        </w:rPr>
        <w:t>【法治文化进校园】</w:t>
      </w:r>
    </w:p>
    <w:p w14:paraId="593E2DBE">
      <w:pPr>
        <w:rPr>
          <w:rFonts w:hint="eastAsia" w:hAnsi="宋体" w:cs="宋体"/>
          <w:highlight w:val="none"/>
        </w:rPr>
      </w:pPr>
      <w:r>
        <w:rPr>
          <w:rFonts w:hint="eastAsia" w:hAnsi="宋体" w:cs="宋体"/>
          <w:highlight w:val="none"/>
        </w:rPr>
        <w:t>南雄市发送《中小学生安全自救手册——生命之光》和《中小学生预防犯罪手册——青春堡垒》等法律书籍给全市小学生，加强在校中小学生法制教育，有效预防青少年学生违法犯罪，教育学生学会用法律武器保护自己，从小养成遵纪守法的好习惯。南雄市黎灿学校评为广东省依法治校示范校。</w:t>
      </w:r>
    </w:p>
    <w:p w14:paraId="1478170B">
      <w:pPr>
        <w:pStyle w:val="4"/>
        <w:bidi w:val="0"/>
        <w:rPr>
          <w:rFonts w:hint="eastAsia"/>
          <w:highlight w:val="none"/>
        </w:rPr>
      </w:pPr>
      <w:r>
        <w:rPr>
          <w:rFonts w:hint="eastAsia"/>
          <w:highlight w:val="none"/>
        </w:rPr>
        <w:t>【法治镇创建】</w:t>
      </w:r>
    </w:p>
    <w:p w14:paraId="6055CD85">
      <w:pPr>
        <w:rPr>
          <w:rFonts w:hint="eastAsia" w:hAnsi="宋体" w:cs="宋体"/>
          <w:highlight w:val="none"/>
        </w:rPr>
      </w:pPr>
      <w:r>
        <w:rPr>
          <w:rFonts w:hint="eastAsia" w:hAnsi="宋体" w:cs="宋体"/>
          <w:highlight w:val="none"/>
        </w:rPr>
        <w:t>2015年，南雄市以雄州、珠玑、古市、乌迳等镇</w:t>
      </w:r>
      <w:r>
        <w:rPr>
          <w:rFonts w:hint="eastAsia" w:hAnsi="宋体" w:cs="宋体"/>
          <w:highlight w:val="none"/>
          <w:lang w:eastAsia="zh-CN"/>
        </w:rPr>
        <w:t>（</w:t>
      </w:r>
      <w:r>
        <w:rPr>
          <w:rFonts w:hint="eastAsia" w:hAnsi="宋体" w:cs="宋体"/>
          <w:highlight w:val="none"/>
        </w:rPr>
        <w:t>街道</w:t>
      </w:r>
      <w:r>
        <w:rPr>
          <w:rFonts w:hint="eastAsia" w:hAnsi="宋体" w:cs="宋体"/>
          <w:highlight w:val="none"/>
          <w:lang w:eastAsia="zh-CN"/>
        </w:rPr>
        <w:t>）</w:t>
      </w:r>
      <w:r>
        <w:rPr>
          <w:rFonts w:hint="eastAsia" w:hAnsi="宋体" w:cs="宋体"/>
          <w:highlight w:val="none"/>
        </w:rPr>
        <w:t>为试点，开展法治文化宣传教育，以建设社会主义新农村为目标，创建法治镇村，促进村委会依法管理；提高镇村干部、农民的法律意识；推进村民自治，提升村级事务决策管理的民主化、制度化、法治化水平。</w:t>
      </w:r>
    </w:p>
    <w:p w14:paraId="01C6CD0F">
      <w:pPr>
        <w:pStyle w:val="4"/>
        <w:bidi w:val="0"/>
        <w:rPr>
          <w:rFonts w:hint="eastAsia"/>
          <w:highlight w:val="none"/>
        </w:rPr>
      </w:pPr>
      <w:r>
        <w:rPr>
          <w:rFonts w:hint="eastAsia"/>
          <w:highlight w:val="none"/>
        </w:rPr>
        <w:t>【文明法治村】</w:t>
      </w:r>
    </w:p>
    <w:p w14:paraId="2877F8E1">
      <w:pPr>
        <w:rPr>
          <w:rFonts w:hint="eastAsia" w:hAnsi="宋体" w:cs="宋体"/>
          <w:highlight w:val="none"/>
        </w:rPr>
      </w:pPr>
      <w:r>
        <w:rPr>
          <w:rFonts w:hint="eastAsia" w:hAnsi="宋体" w:cs="宋体"/>
          <w:highlight w:val="none"/>
        </w:rPr>
        <w:t>2015年全市各镇主要通过开展“六个一”活动，推进文明法治村的开展，发放一本农村法治文明教育教材，建立一个农村法治文明阵地，建设集知识性、趣味性为一体的农村法治文明阵地，开设一堂法制教育课，开辟一个法律图书角，组建一个农村法律服务团队，珠玑镇里仁村、古市镇溪口村、水口镇沙头村、黄坑镇四方坑村成为全市文明法治村建设楷模。</w:t>
      </w:r>
    </w:p>
    <w:p w14:paraId="08D514E7">
      <w:pPr>
        <w:pStyle w:val="4"/>
        <w:bidi w:val="0"/>
        <w:rPr>
          <w:rFonts w:hint="eastAsia"/>
          <w:highlight w:val="none"/>
        </w:rPr>
      </w:pPr>
      <w:r>
        <w:rPr>
          <w:rFonts w:hint="eastAsia"/>
          <w:highlight w:val="none"/>
        </w:rPr>
        <w:t>【法治南雄宣传】</w:t>
      </w:r>
    </w:p>
    <w:p w14:paraId="4AB5CEFD">
      <w:pPr>
        <w:rPr>
          <w:rFonts w:hint="eastAsia" w:hAnsi="宋体" w:cs="宋体"/>
          <w:highlight w:val="none"/>
        </w:rPr>
      </w:pPr>
      <w:r>
        <w:rPr>
          <w:rFonts w:hint="eastAsia" w:hAnsi="宋体" w:cs="宋体"/>
          <w:highlight w:val="none"/>
        </w:rPr>
        <w:t>2015年，南雄市依法治市办被法治广东网用稿26篇，广东省依法治省工作简报用稿13篇，南雄政府网用稿48篇，韶关日报专题报道一篇，韶关电视台民生栏目《新视界》对南雄市试点工作做法和成就进行专题报道。</w:t>
      </w:r>
    </w:p>
    <w:p w14:paraId="2249E093">
      <w:pPr>
        <w:pStyle w:val="4"/>
        <w:bidi w:val="0"/>
        <w:rPr>
          <w:rFonts w:hint="eastAsia"/>
          <w:highlight w:val="none"/>
        </w:rPr>
      </w:pPr>
      <w:r>
        <w:rPr>
          <w:rFonts w:hint="eastAsia"/>
          <w:highlight w:val="none"/>
        </w:rPr>
        <w:t>【人事任免】</w:t>
      </w:r>
    </w:p>
    <w:p w14:paraId="24DBE565">
      <w:pPr>
        <w:rPr>
          <w:rFonts w:hint="eastAsia" w:hAnsi="宋体" w:cs="宋体"/>
          <w:highlight w:val="none"/>
        </w:rPr>
      </w:pPr>
      <w:r>
        <w:rPr>
          <w:rFonts w:hint="eastAsia" w:hAnsi="宋体" w:cs="宋体"/>
          <w:highlight w:val="none"/>
        </w:rPr>
        <w:t>2015年8月12日，接南雄市委组织部通知，陈志刚同志任中共南雄市委依法治市办公室主任，免去其市委办副主任、市信访局局长职务。</w:t>
      </w:r>
    </w:p>
    <w:p w14:paraId="744200F5">
      <w:pPr>
        <w:jc w:val="right"/>
        <w:rPr>
          <w:rFonts w:hint="eastAsia" w:hAnsi="宋体" w:cs="宋体"/>
          <w:highlight w:val="none"/>
        </w:rPr>
      </w:pPr>
      <w:r>
        <w:rPr>
          <w:rFonts w:hint="eastAsia" w:hAnsi="宋体" w:cs="宋体"/>
          <w:highlight w:val="none"/>
        </w:rPr>
        <w:t>（邱万锋）</w:t>
      </w:r>
    </w:p>
    <w:p w14:paraId="3F1902BB">
      <w:pPr>
        <w:rPr>
          <w:rFonts w:hint="eastAsia" w:hAnsi="宋体" w:cs="宋体"/>
          <w:b w:val="0"/>
          <w:bCs w:val="0"/>
          <w:highlight w:val="none"/>
        </w:rPr>
      </w:pPr>
      <w:r>
        <w:rPr>
          <w:rFonts w:hint="eastAsia" w:hAnsi="宋体" w:cs="宋体"/>
          <w:b w:val="0"/>
          <w:bCs w:val="0"/>
          <w:highlight w:val="none"/>
        </w:rPr>
        <w:t>附：2015年市依法治市办领导班子成员名单</w:t>
      </w:r>
    </w:p>
    <w:p w14:paraId="688B2021">
      <w:pPr>
        <w:rPr>
          <w:rFonts w:hint="eastAsia" w:hAnsi="宋体" w:cs="宋体"/>
          <w:b w:val="0"/>
          <w:bCs w:val="0"/>
          <w:highlight w:val="none"/>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任：陈志刚（8月任）</w:t>
      </w:r>
    </w:p>
    <w:p w14:paraId="71DCBFB2">
      <w:pPr>
        <w:rPr>
          <w:rFonts w:hint="eastAsia" w:hAnsi="宋体" w:cs="宋体"/>
          <w:b w:val="0"/>
          <w:bCs w:val="0"/>
          <w:highlight w:val="none"/>
        </w:rPr>
      </w:pPr>
      <w:r>
        <w:rPr>
          <w:rFonts w:hint="eastAsia" w:hAnsi="宋体" w:cs="宋体"/>
          <w:b w:val="0"/>
          <w:bCs w:val="0"/>
          <w:highlight w:val="none"/>
        </w:rPr>
        <w:t>副主任：邱万锋</w:t>
      </w:r>
    </w:p>
    <w:p w14:paraId="6E8184CD">
      <w:pPr>
        <w:pStyle w:val="2"/>
        <w:bidi w:val="0"/>
        <w:rPr>
          <w:rFonts w:hint="eastAsia"/>
          <w:highlight w:val="none"/>
        </w:rPr>
      </w:pPr>
      <w:r>
        <w:rPr>
          <w:highlight w:val="none"/>
        </w:rPr>
        <w:br w:type="page"/>
      </w:r>
      <w:r>
        <w:rPr>
          <w:rFonts w:hint="eastAsia"/>
          <w:highlight w:val="none"/>
        </w:rPr>
        <w:t>南雄市人民代表大会</w:t>
      </w:r>
    </w:p>
    <w:p w14:paraId="77F9A0C5">
      <w:pPr>
        <w:pStyle w:val="3"/>
        <w:bidi w:val="0"/>
        <w:rPr>
          <w:rFonts w:hint="eastAsia"/>
          <w:highlight w:val="none"/>
        </w:rPr>
      </w:pPr>
      <w:r>
        <w:rPr>
          <w:rFonts w:hint="eastAsia"/>
          <w:highlight w:val="none"/>
        </w:rPr>
        <w:t>综述</w:t>
      </w:r>
    </w:p>
    <w:p w14:paraId="334BF40D">
      <w:pPr>
        <w:pStyle w:val="4"/>
        <w:bidi w:val="0"/>
        <w:rPr>
          <w:rFonts w:hint="eastAsia"/>
          <w:highlight w:val="none"/>
        </w:rPr>
      </w:pPr>
      <w:r>
        <w:rPr>
          <w:rFonts w:hint="eastAsia"/>
          <w:highlight w:val="none"/>
        </w:rPr>
        <w:t>【概况】</w:t>
      </w:r>
    </w:p>
    <w:p w14:paraId="5F6E68EE">
      <w:pPr>
        <w:rPr>
          <w:rFonts w:hint="eastAsia" w:hAnsi="宋体" w:cs="宋体"/>
          <w:highlight w:val="none"/>
        </w:rPr>
      </w:pPr>
      <w:r>
        <w:rPr>
          <w:rFonts w:hint="eastAsia" w:hAnsi="宋体" w:cs="宋体"/>
          <w:highlight w:val="none"/>
        </w:rPr>
        <w:t>南雄市人大常委会机关内设“一室四委”，即办公室、内务司法工作委员会、经济工作委员会、教科文卫工作委员会、选举联络人事任免工作委员会。编制21人，其中行政编制19人，工勤编制2人。以全市深入开展“三严三实”主题教育活动为有利契机，紧扣全市改革发展稳定大局，认真履职，主动作为，各项工作成效显著。完成市十四届人大五次会议确定的各项工作任务。</w:t>
      </w:r>
    </w:p>
    <w:p w14:paraId="1C2C7849">
      <w:pPr>
        <w:pStyle w:val="4"/>
        <w:bidi w:val="0"/>
        <w:rPr>
          <w:rFonts w:hint="eastAsia"/>
          <w:highlight w:val="none"/>
        </w:rPr>
      </w:pPr>
      <w:r>
        <w:rPr>
          <w:rFonts w:hint="eastAsia"/>
          <w:highlight w:val="none"/>
        </w:rPr>
        <w:t>【监督工作】</w:t>
      </w:r>
    </w:p>
    <w:p w14:paraId="01C89E2C">
      <w:pPr>
        <w:rPr>
          <w:rFonts w:hint="eastAsia" w:hAnsi="宋体" w:cs="宋体"/>
          <w:highlight w:val="none"/>
        </w:rPr>
      </w:pPr>
      <w:r>
        <w:rPr>
          <w:rFonts w:hint="eastAsia" w:hAnsi="宋体" w:cs="宋体"/>
          <w:highlight w:val="none"/>
        </w:rPr>
        <w:t>常委会根据经济新常态的运行特点，立足本市实际，加强重点领域和环节的监督，提高监督实效。推动经济健康发展。常委会组成人员听取和审议2015年上半年国民经济和社会发展计划执行情况报告，建议政府按照“适应新常态、实现新作为”的要求，加强经济分析研判，对实体经济的服务支持力度，发挥产业转移园优势，加大招商引资力度，推进重点项目的建设。常委会抓住重点开展工作监督，听取和审议国有资本经营情况报告，建议政府优化国有企业发展环境，提升国有资产监管能力水平，建立健全国有资本经营管理制度，加强风险防范，确保国有资产保值增值。常委会高度重视规划的引领作用，全体组成人员分组到相关单位，对南雄市“十三五”规划的制订作前期调研，听取和审议编制情况报告，建议政府准确定位，明确目标和战略重点，突出“主动融入珠三角，加快建设粤北门户城市”核心主题，确保“十三五”规划符合南雄实际，体现时代发展要求。依法加强全口径预决算审查监督。常委会依照法律规定加强对预决算的审查监督。听取和审议2014年决算和审计情况、2015年上半年预算执行情况、2015年地方政府性债务限额和前后三次预算调整等报告，依法审查批准2014年度市级决算。建议政府加强财政结余结转资金清理，严格收支管理，完善绩效评价考核体系，提高财政资金使用效益，发挥财政资金的杠杆作用；加强依法理财，深化政府、部门预决算及“三公”经费预决算公开工作；加强债务管理，防范政府性债务风险。市政府对人大常委会提出的审议意见高度重视，研究改进措施，抓好整改落实。</w:t>
      </w:r>
    </w:p>
    <w:p w14:paraId="3E893FF6">
      <w:pPr>
        <w:rPr>
          <w:rFonts w:hint="eastAsia" w:hAnsi="宋体" w:cs="宋体"/>
          <w:highlight w:val="none"/>
        </w:rPr>
      </w:pPr>
      <w:r>
        <w:rPr>
          <w:rFonts w:hint="eastAsia" w:hAnsi="宋体" w:cs="宋体"/>
          <w:highlight w:val="none"/>
        </w:rPr>
        <w:t>开展代表评公务活动。常委会根据市十四届人大五次会议全体代表对“一府两院”各单位以及其他市直有关单位（含垂直管理）工作的测评结果，依法确定南雄市司法局、南雄市环境保护局、广东电网韶关南雄供电局等3个单位为年度工作评议对象单位。通过开展调研，经单位自评、收集意见、集中评议、落实整改等工作开展，最终3个单位工作评议结果确定为满意。</w:t>
      </w:r>
    </w:p>
    <w:p w14:paraId="32384027">
      <w:pPr>
        <w:pStyle w:val="4"/>
        <w:bidi w:val="0"/>
        <w:rPr>
          <w:rFonts w:hint="eastAsia"/>
          <w:highlight w:val="none"/>
        </w:rPr>
      </w:pPr>
      <w:r>
        <w:rPr>
          <w:rFonts w:hint="eastAsia"/>
          <w:highlight w:val="none"/>
        </w:rPr>
        <w:t>【推进法治建设】</w:t>
      </w:r>
    </w:p>
    <w:p w14:paraId="25009089">
      <w:pPr>
        <w:rPr>
          <w:rFonts w:hint="eastAsia" w:hAnsi="宋体" w:cs="宋体"/>
          <w:highlight w:val="none"/>
        </w:rPr>
      </w:pPr>
      <w:r>
        <w:rPr>
          <w:rFonts w:hint="eastAsia" w:hAnsi="宋体" w:cs="宋体"/>
          <w:highlight w:val="none"/>
        </w:rPr>
        <w:t>常委会推进依法行政和公正司法，为全市改革发展营造良好的法治环境。组织执法检查。常委会对《人民警察法》在南雄市的贯彻实施，进行执法检查，深入公安局和多个基层派出所以及乡镇（街道），围绕队伍建设、职责履行、执法监督、规范管理、基础设施建设及装备配置等方面，进行检查。针对存在问题，建议政府要做好宣传工作，在全社会形成关心、理解和支持人民警察依法履行职责的浓厚氛围；要加强学习培训，提高执法能力和水平；要强化警务保障，切实改善警察的执法环境；健全工作机制，确保《人民警察法》在南雄市的顺利贯彻实施。推进依法治市。常委会举办《宪法》《预算法》等法律讲座，对法治南雄建设2011—2015五年规划暨“六五”普法工作的贯彻实施进行总结验收，建议政府继续强化宪法意识，弘扬宪法精神，全面推进法治政府、法治市场、法治社会一体化建设，提高依法行政水平和公正司法能力，抓好法治宣传教育和法治文化“六进”，扎实开展在法治框架内化解社会矛盾试点和法治创建工作。年内，南雄市荣获第三批全省法治县（市、区）创建先进单位。此外，常委会还严格落实规范性文件备案审查制，配合韶关市人大常委会做好《韶关市制定地方性法规条例（草案）》立法调研和基层立法联系点等工作。推进司法公正。常委会分别听取和审议市法院《关于民事诉讼受理审判工作情况的报告》和市检察院《关于刑事诉讼立案侦查实施监督的工作情况报告》，在肯定成绩的同时，对扎实做好新常态下的司法工作提出一系列意见建议。组织代表参加法院“庭审开放日”和检察院“检察开放日”活动，加深代表及社会各界对法检“两院”工作业绩、岗位职责和办案流程等司法工作的认识，营造遵纪守法、公正司法的良好社会氛围。2015年收到国家、省、韶关人大转来信访件3件，接待群众来信来访53件108人（次），并对涉法涉诉信访件进行重点督办。依法任免干部。常委会坚持党管干部原则与依法行使人事任免职权的有机统一，听取市委组织部或提请任免单位的情况说明，慎重行使任免权，完善人事任免工作程序，执行任前法律知识考试、任前表态发言、任命书颁发等制度，彰显人民主体地位和法制权威，增强任命干部的法治意识、责任意识和公仆意识。2015年，依法任免国家干部40人（次）。</w:t>
      </w:r>
    </w:p>
    <w:p w14:paraId="6704D5E5">
      <w:pPr>
        <w:pStyle w:val="4"/>
        <w:bidi w:val="0"/>
        <w:rPr>
          <w:rFonts w:hint="eastAsia"/>
          <w:highlight w:val="none"/>
        </w:rPr>
      </w:pPr>
      <w:r>
        <w:rPr>
          <w:rFonts w:hint="eastAsia"/>
          <w:highlight w:val="none"/>
        </w:rPr>
        <w:t>【参与中心工作】</w:t>
      </w:r>
    </w:p>
    <w:p w14:paraId="7A9FAD0B">
      <w:pPr>
        <w:rPr>
          <w:rFonts w:hint="eastAsia" w:hAnsi="宋体" w:cs="宋体"/>
          <w:highlight w:val="none"/>
        </w:rPr>
      </w:pPr>
      <w:r>
        <w:rPr>
          <w:rFonts w:hint="eastAsia" w:hAnsi="宋体" w:cs="宋体"/>
          <w:highlight w:val="none"/>
        </w:rPr>
        <w:t>常委会始终关注社会热点和难点问题，促进民生改善和社会和谐。关注民生工程和群众诉求。常委会把民生工程建设列为监督重点，年内，组织省、韶关、南雄三级代表，开展政府承诺民生实事办理情况专题视察，针对个别项目建设进度缓慢，影响周边群众生产生活等问题，提出政府及有关部门要明确界定好民生实事完成标准，把握好节点性、进度性要求，继续深入实施和推动民生事业发展，最大限度地满足群众的诉求和愿望。实现经济效益和社会效益的统一，政府推动和群众需求的统一。常委会还运用网络问政平台关注人大代表反映民生问题，及时转交相关单位办理并做好跟踪督办和问责工作，确保事事有回音、件件有落实，促进政府对民生问题的了解和解决。促使工作评议惠及百姓。为推动政府部门和窗口部门服务水平的提高。常委会继续推动评议工作的开展。根据全体代表民主测评结果，确定市司法局、市环保局、市供电局等3个单位为年度工作评议对象单位，并启动评议工作程序。3个单位经过8个多月的整改，最终顺利通过常委会的工作评议，取得较好的效果。其中，市司法局扎实推进“一村（社区）一法律服务”工作，组织61名法律顾问深入全市18个镇（街）、232个村（社区）为基层群众提供法律服务，累计调解纠纷118宗，代理诉讼案件3宗，为维护基层和谐稳定作出贡献。市环保局开展121家畜禽养殖场的环境综合整治和污染减排工作，关停坪田、珠玑、主田、帽子峰4大景区及环境敏感区域养殖场33家；完成并顺利通过上级部门组织开展的“环境保护责任制考核”“城市环境定量考核”工作，在2015年省11个参与国家生态功能区考核的县（市、区）中，排名第一。市供电局争取项目资金4360万元，加大线路新建（改造）力度，落实江头圩镇电网改造工程建设。同时，多方联动推进澜河、百顺和帽子峰三镇农电体制改革，为老百姓解决用电难、用电贵问题。</w:t>
      </w:r>
    </w:p>
    <w:p w14:paraId="057BB6CA">
      <w:pPr>
        <w:rPr>
          <w:rFonts w:hint="eastAsia" w:hAnsi="宋体" w:cs="宋体"/>
          <w:highlight w:val="none"/>
        </w:rPr>
      </w:pPr>
      <w:r>
        <w:rPr>
          <w:rFonts w:hint="eastAsia" w:hAnsi="宋体" w:cs="宋体"/>
          <w:highlight w:val="none"/>
        </w:rPr>
        <w:t>助力推动旅游景区建设。常委会根据南雄市实施“旅游旺市”战略的安排，强化作为意识。围绕市委对坪田银杏旅游项目要实现“路要顺、景能看、有吃住、心情好”的“十二字”目标，挑起牵头开发建设坪田银杏旅游项目重任，历经一年时间，项目开发建设取得显著成果。年内，景区经受“银杏染秋”旅游旺季高峰期大密度人流车流的考验，获得市委的好评。此外，常委会还协助做好珠玑古巷宗祠建设用地保障工作，为加快古巷姓氏宗祠建设以及南雄市举办第三届姓氏文化旅游节。</w:t>
      </w:r>
    </w:p>
    <w:p w14:paraId="27C88CCA">
      <w:pPr>
        <w:pStyle w:val="4"/>
        <w:bidi w:val="0"/>
        <w:rPr>
          <w:rFonts w:hint="eastAsia"/>
          <w:highlight w:val="none"/>
        </w:rPr>
      </w:pPr>
      <w:r>
        <w:rPr>
          <w:rFonts w:hint="eastAsia"/>
          <w:highlight w:val="none"/>
        </w:rPr>
        <w:t>【代表工作】</w:t>
      </w:r>
    </w:p>
    <w:p w14:paraId="59F561A1">
      <w:pPr>
        <w:rPr>
          <w:rFonts w:hint="eastAsia" w:hAnsi="宋体" w:cs="宋体"/>
          <w:highlight w:val="none"/>
        </w:rPr>
      </w:pPr>
      <w:r>
        <w:rPr>
          <w:rFonts w:hint="eastAsia" w:hAnsi="宋体" w:cs="宋体"/>
          <w:highlight w:val="none"/>
        </w:rPr>
        <w:t>常委会尊重代表主体地位，加强代表工作，发挥代表作用，提升代表履职实效。“三民”活动不断引向深入。年内，市镇两级人大“察民情、代民言、暖民心·人大代表在行动”主题实践活动不断深化，代表主动“访”民意成为常态，在密切与人民群众联系的同时，也更好地为群众多办实事好事。常委会还督促各镇（街）始终坚持把“三民”活动作为人大工作重要抓手，发挥代表联络室作用，丰富代表活动内容，推进网络问政工作。对代表通过网络问政提出的意见建议，按照《南雄人大网络问政暂行办法》要求予以交办转办，并严格落实有关受理与答复时效的责任追究制度。议案建议办理实效增强。12月底，常委会专题听取市政府对代表在市十四届人大五次会议期间提出的38件议案、建议办理落实情况报告，并及时征询代表对办理落实进展情况的意见建议。目前38件代表议案、建议均在规定期限内办理完毕，并答复代表，得到解决和基本解决的有11件，列入年度计划解决和列入规划逐步解决的19件，作出说明解释的8件，代表对议案、建议办理的满意率达100%。代表履职能力水平提升。常委会组织安排代表列席有关会议听取“一府两院”工作报告、参与视察检查，拓宽代表知情知政渠道。健全代表履职登记制度，加强代表履职服务，发挥“人大代表联络室”阵地作用，促进代表活动制度化、规范化。加强对镇（街）人大工作的指导与联系，开展市、镇两级人大联动，提高代表活动质量和水平。</w:t>
      </w:r>
    </w:p>
    <w:p w14:paraId="6B1B13E5">
      <w:pPr>
        <w:pStyle w:val="4"/>
        <w:bidi w:val="0"/>
        <w:rPr>
          <w:rFonts w:hint="eastAsia"/>
          <w:highlight w:val="none"/>
        </w:rPr>
      </w:pPr>
      <w:r>
        <w:rPr>
          <w:rFonts w:hint="eastAsia"/>
          <w:highlight w:val="none"/>
        </w:rPr>
        <w:t>【乡镇人大建设】</w:t>
      </w:r>
    </w:p>
    <w:p w14:paraId="71DBB7F5">
      <w:pPr>
        <w:rPr>
          <w:rFonts w:hint="eastAsia" w:hAnsi="宋体" w:cs="宋体"/>
          <w:highlight w:val="none"/>
        </w:rPr>
      </w:pPr>
      <w:r>
        <w:rPr>
          <w:rFonts w:hint="eastAsia" w:hAnsi="宋体" w:cs="宋体"/>
          <w:highlight w:val="none"/>
        </w:rPr>
        <w:t>常委会高度重视并狠抓镇（街）人大建设，提升全市人大整体工作水平。完善镇（街）人大规范化建设，在全市各镇（街）人大全面实现名称、制度“两个统一”，场地、人员、设备、制度和活动“五个有”的基础上，加大督促检查力度，为激发代表履职激情畅通渠道。常委会高度重视对镇（街）人大的工作指导，注重依托镇（街）人大“两室”和代表的力量，加强联系和指导镇（街）人大工作。出台《关于对南雄市2015年度镇（街）人大工作目标管理考评方案》，加强对镇（街）人大工作的考核与监督。常委会结合南雄市镇（街）人大工作特点，定期组织镇（街）人大主席、副主席和“两室”主任学习相关的法律法规和业务知识，参加省、韶关组织的代表学习培训活动。利用网络平台、会议审议讨论环节，组织各乡镇人大工作负责人相互交流工作经验和做法。组织各镇（街）人大干部到机关跟班学习，提高人大干部工作水平。</w:t>
      </w:r>
    </w:p>
    <w:p w14:paraId="62919E23">
      <w:pPr>
        <w:pStyle w:val="4"/>
        <w:bidi w:val="0"/>
        <w:rPr>
          <w:rFonts w:hint="eastAsia"/>
          <w:highlight w:val="none"/>
        </w:rPr>
      </w:pPr>
      <w:r>
        <w:rPr>
          <w:rFonts w:hint="eastAsia"/>
          <w:highlight w:val="none"/>
        </w:rPr>
        <w:t>【自身建设】</w:t>
      </w:r>
    </w:p>
    <w:p w14:paraId="7DC3CDE7">
      <w:pPr>
        <w:rPr>
          <w:rFonts w:hint="eastAsia" w:hAnsi="宋体" w:cs="宋体"/>
          <w:highlight w:val="none"/>
        </w:rPr>
      </w:pPr>
      <w:r>
        <w:rPr>
          <w:rFonts w:hint="eastAsia" w:hAnsi="宋体" w:cs="宋体"/>
          <w:highlight w:val="none"/>
        </w:rPr>
        <w:t>学习贯彻中央、省委人大工作会议精神。加强人大常委会及其机关作风建设，在人大机关开展“双学双比”活动。优化作风效能，组织机关人员对人大工作业务知识的学习。加强人大工作宣传，加大常委会和人大代表活动的报道力度，2015年南雄市人大常委会被韶关人大常委会评为宣传工作先进单位。6月，全国人大常委会办公厅联络局在全国人大内参刊物《联络动态》上，专门刊载南雄市关于加强县乡人大工作的经验材料，并印发全国各省区人大。常委会注重加强与广东省各市、县及外省人大的联系，迎接多个兄弟县（市、区）及几个外省人大来雄开展考察学习活动。</w:t>
      </w:r>
    </w:p>
    <w:p w14:paraId="341E1195">
      <w:pPr>
        <w:pStyle w:val="3"/>
        <w:bidi w:val="0"/>
        <w:rPr>
          <w:rFonts w:hint="eastAsia"/>
          <w:highlight w:val="none"/>
        </w:rPr>
      </w:pPr>
      <w:r>
        <w:rPr>
          <w:rFonts w:hint="eastAsia"/>
          <w:highlight w:val="none"/>
        </w:rPr>
        <w:t>市人大及其常委会重要会议</w:t>
      </w:r>
    </w:p>
    <w:p w14:paraId="75126D53">
      <w:pPr>
        <w:pStyle w:val="4"/>
        <w:bidi w:val="0"/>
        <w:rPr>
          <w:rFonts w:hint="eastAsia"/>
          <w:highlight w:val="none"/>
        </w:rPr>
      </w:pPr>
      <w:r>
        <w:rPr>
          <w:rFonts w:hint="eastAsia"/>
          <w:highlight w:val="none"/>
        </w:rPr>
        <w:t>【十四届人大常委会二十七次会议】</w:t>
      </w:r>
    </w:p>
    <w:p w14:paraId="73F9696F">
      <w:pPr>
        <w:rPr>
          <w:rFonts w:hint="eastAsia" w:hAnsi="宋体" w:cs="宋体"/>
          <w:highlight w:val="none"/>
        </w:rPr>
      </w:pPr>
      <w:r>
        <w:rPr>
          <w:rFonts w:hint="eastAsia" w:hAnsi="宋体" w:cs="宋体"/>
          <w:highlight w:val="none"/>
        </w:rPr>
        <w:t>1月8日，南雄市第十四届人民代表大会常务委员会第二十七次会议在市人大常委会会议室召开，市人大常委会代理主任罗勇新主持会议。会议审议关于李传忠辞去韶关市第十三届人民代表大会代表职务请求的事项。会议同意李传忠辞去韶关市第十三届人民代表大会代表职务。并报韶关市人民代表大会常务委员会备案。</w:t>
      </w:r>
    </w:p>
    <w:p w14:paraId="233B8A0E">
      <w:pPr>
        <w:pStyle w:val="4"/>
        <w:bidi w:val="0"/>
        <w:rPr>
          <w:rFonts w:hint="eastAsia"/>
          <w:highlight w:val="none"/>
        </w:rPr>
      </w:pPr>
      <w:r>
        <w:rPr>
          <w:rFonts w:hint="eastAsia"/>
          <w:highlight w:val="none"/>
        </w:rPr>
        <w:t>【十四届人大常委会二十八次会议】</w:t>
      </w:r>
    </w:p>
    <w:p w14:paraId="378511F0">
      <w:pPr>
        <w:rPr>
          <w:rFonts w:hint="eastAsia" w:hAnsi="宋体" w:cs="宋体"/>
          <w:highlight w:val="none"/>
        </w:rPr>
      </w:pPr>
      <w:r>
        <w:rPr>
          <w:rFonts w:hint="eastAsia" w:hAnsi="宋体" w:cs="宋体"/>
          <w:highlight w:val="none"/>
        </w:rPr>
        <w:t>1月26日上午，南雄市第十四届人民代表大会常务委员会第二十八次会议在市人大常委会会议室召开，市人大常委会代理主任罗勇新主持会议。会议审议通过南雄市人民政府《关于提请审议调整南雄建材五金综合大市场规划条件的议案》、南雄市人民政府《关于提请华电南雄热电联产工程（2×35万千瓦）项目选址意见的议案》以及南雄市第十四届人民代表大会常务委员会代表资格审查委员会《关于部分代表的代表资格的报告》。</w:t>
      </w:r>
    </w:p>
    <w:p w14:paraId="3F14023A">
      <w:pPr>
        <w:pStyle w:val="4"/>
        <w:bidi w:val="0"/>
        <w:rPr>
          <w:rFonts w:hint="eastAsia"/>
          <w:highlight w:val="none"/>
        </w:rPr>
      </w:pPr>
      <w:r>
        <w:rPr>
          <w:rFonts w:hint="eastAsia"/>
          <w:highlight w:val="none"/>
        </w:rPr>
        <w:t>【十四届人大常委会二十九次会议】</w:t>
      </w:r>
    </w:p>
    <w:p w14:paraId="6087F390">
      <w:pPr>
        <w:rPr>
          <w:rFonts w:hint="eastAsia" w:hAnsi="宋体" w:cs="宋体"/>
          <w:highlight w:val="none"/>
        </w:rPr>
      </w:pPr>
      <w:r>
        <w:rPr>
          <w:rFonts w:hint="eastAsia" w:hAnsi="宋体" w:cs="宋体"/>
          <w:highlight w:val="none"/>
        </w:rPr>
        <w:t>2月11日，南雄市第十四届人民代表大会常务委员会第二十九次会议在市人大常委会会议室召开，市人大常委会代理主任罗勇新主持会议。会议审议通过有关人事任免和代表辞职事项，市人大常委会首次对3位拟</w:t>
      </w:r>
      <w:r>
        <w:rPr>
          <w:rFonts w:hint="eastAsia" w:hAnsi="宋体" w:cs="宋体"/>
          <w:highlight w:val="none"/>
          <w:shd w:val="clear"/>
        </w:rPr>
        <w:t>任干部人选进行任前“表态发言”。会议审</w:t>
      </w:r>
      <w:r>
        <w:rPr>
          <w:rFonts w:hint="eastAsia" w:hAnsi="宋体" w:cs="宋体"/>
          <w:highlight w:val="none"/>
        </w:rPr>
        <w:t>议通过《南雄市人民代表大会常务委员会2015年工作计划》。</w:t>
      </w:r>
    </w:p>
    <w:p w14:paraId="0756E829">
      <w:pPr>
        <w:pStyle w:val="4"/>
        <w:bidi w:val="0"/>
        <w:rPr>
          <w:rFonts w:hint="eastAsia"/>
          <w:highlight w:val="none"/>
        </w:rPr>
      </w:pPr>
      <w:r>
        <w:rPr>
          <w:rFonts w:hint="eastAsia"/>
          <w:highlight w:val="none"/>
        </w:rPr>
        <w:t>【十四届人大常委会三十次会议】</w:t>
      </w:r>
    </w:p>
    <w:p w14:paraId="596ED66D">
      <w:pPr>
        <w:rPr>
          <w:rFonts w:hint="eastAsia" w:hAnsi="宋体" w:cs="宋体"/>
          <w:highlight w:val="none"/>
        </w:rPr>
      </w:pPr>
      <w:r>
        <w:rPr>
          <w:rFonts w:hint="eastAsia" w:hAnsi="宋体" w:cs="宋体"/>
          <w:highlight w:val="none"/>
        </w:rPr>
        <w:t>2月16日上午，南雄市第十四届人民代表大会常务委员会第三十次会议在市人大常委会会议室召开，市人大常委会代理主任罗勇新主持会议。会议审议通过有关人事任职事项。决定任命李海霞为南雄市人民政府副市长。市人大常委会代理主任罗勇新为新任市人民政府副市长李海霞同志颁发任命书。</w:t>
      </w:r>
    </w:p>
    <w:p w14:paraId="7EDD87F7">
      <w:pPr>
        <w:pStyle w:val="4"/>
        <w:bidi w:val="0"/>
        <w:rPr>
          <w:rFonts w:hint="eastAsia"/>
          <w:highlight w:val="none"/>
        </w:rPr>
      </w:pPr>
      <w:r>
        <w:rPr>
          <w:rFonts w:hint="eastAsia"/>
          <w:highlight w:val="none"/>
        </w:rPr>
        <w:t>【十四届人大常委会三十一次会议】</w:t>
      </w:r>
    </w:p>
    <w:p w14:paraId="1600970E">
      <w:pPr>
        <w:rPr>
          <w:rFonts w:hint="eastAsia" w:hAnsi="宋体" w:cs="宋体"/>
          <w:highlight w:val="none"/>
        </w:rPr>
      </w:pPr>
      <w:r>
        <w:rPr>
          <w:rFonts w:hint="eastAsia" w:hAnsi="宋体" w:cs="宋体"/>
          <w:highlight w:val="none"/>
        </w:rPr>
        <w:t>3月10日上午，南雄市第十四届人民代表大会常务委员会第三十一次会议在市人大常委会会议室召开，市人大常委会代理主任罗勇新主持会议。会议听取和审议关于南雄市第十四届人民代表大会部分代表的代表资格审查报告，确认李泉洲、钟祥文、谭福志、温春花、吴少华、陈志光、叶邱婷等补选代表的代表资格。会议审议通过关于召开南雄市第十四届人民代表大会第五次会议若干事项安排及建议名单和《南雄市人民代表大会常务委员会工作报告（稿）》。决定南雄市第十四届人民代表大会第五次会议于2015年3月17日至19日（含预备会议）在市区南雄大会堂举行，会期4个半天。</w:t>
      </w:r>
    </w:p>
    <w:p w14:paraId="54BCE5A1">
      <w:pPr>
        <w:pStyle w:val="4"/>
        <w:bidi w:val="0"/>
        <w:rPr>
          <w:rFonts w:hint="eastAsia"/>
          <w:highlight w:val="none"/>
        </w:rPr>
      </w:pPr>
      <w:r>
        <w:rPr>
          <w:rFonts w:hint="eastAsia"/>
          <w:highlight w:val="none"/>
        </w:rPr>
        <w:t>【十四届人大五次会议】</w:t>
      </w:r>
    </w:p>
    <w:p w14:paraId="50333040">
      <w:pPr>
        <w:rPr>
          <w:rFonts w:hint="eastAsia" w:hAnsi="宋体" w:cs="宋体"/>
          <w:highlight w:val="none"/>
        </w:rPr>
      </w:pPr>
      <w:r>
        <w:rPr>
          <w:rFonts w:hint="eastAsia" w:hAnsi="宋体" w:cs="宋体"/>
          <w:highlight w:val="none"/>
        </w:rPr>
        <w:t>3月17—19日，南雄市第十四届人民代表大会第五次会议在市区召开。会议听取和审议市长曾风保代表市政府所作的《政府工作报告》，审查和批准《南雄市2014年国民经济和社会发展计划执行情况与2015年计划草案报告》《南雄市2014年预算执行情况与2015年预算草案报告》，听取和审议市人大常委会代理主任罗勇新代表市人大常委会所作的《南雄市人民代表大会常务委员会工作报告》，听取和审议市人民法院院长肖裕忠所作的《南雄市人民法院工作报告》，听取和审议市人民检察院检察长赖正志所作的《南雄市人民检察院工作报告》，会议还听取和审议《关于进一步加强小区建设管理议案》。该次会议依法选举董圣国、王高峰、叶邱婷为南雄市第十四届人民代表大会常务委员会委员。市委书记、市长曾风保颁发当选证书。</w:t>
      </w:r>
    </w:p>
    <w:p w14:paraId="333286A2">
      <w:pPr>
        <w:pStyle w:val="4"/>
        <w:bidi w:val="0"/>
        <w:rPr>
          <w:rFonts w:hint="eastAsia"/>
          <w:highlight w:val="none"/>
        </w:rPr>
      </w:pPr>
      <w:r>
        <w:rPr>
          <w:rFonts w:hint="eastAsia"/>
          <w:highlight w:val="none"/>
        </w:rPr>
        <w:t>【十四届人大常委会三十二次会议】</w:t>
      </w:r>
    </w:p>
    <w:p w14:paraId="5B7637DA">
      <w:pPr>
        <w:rPr>
          <w:rFonts w:hint="eastAsia" w:hAnsi="宋体" w:cs="宋体"/>
          <w:highlight w:val="none"/>
        </w:rPr>
      </w:pPr>
      <w:r>
        <w:rPr>
          <w:rFonts w:hint="eastAsia" w:hAnsi="宋体" w:cs="宋体"/>
          <w:highlight w:val="none"/>
        </w:rPr>
        <w:t>4月17日，南雄市第十四届人民代表大会常务委员会第三十二次会议在市人大常委会会议室召开，市人大常委会代理主任罗勇新主持会议。会议审议关于王发平辞去韶关市第十三届人民代表大会代表职务请求的事项。会议同意王发平辞去韶关市第十三届人民代表大会代表职务。并报韶关市人民代表大会常务委员会备案。</w:t>
      </w:r>
    </w:p>
    <w:p w14:paraId="060126BC">
      <w:pPr>
        <w:pStyle w:val="4"/>
        <w:bidi w:val="0"/>
        <w:rPr>
          <w:rFonts w:hint="eastAsia"/>
          <w:highlight w:val="none"/>
        </w:rPr>
      </w:pPr>
      <w:r>
        <w:rPr>
          <w:rFonts w:hint="eastAsia"/>
          <w:highlight w:val="none"/>
        </w:rPr>
        <w:t>【十四届人大常委会三十三次会议】</w:t>
      </w:r>
    </w:p>
    <w:p w14:paraId="7EA6F365">
      <w:pPr>
        <w:rPr>
          <w:rFonts w:hint="eastAsia" w:hAnsi="宋体" w:cs="宋体"/>
          <w:highlight w:val="none"/>
        </w:rPr>
      </w:pPr>
      <w:r>
        <w:rPr>
          <w:rFonts w:hint="eastAsia" w:hAnsi="宋体" w:cs="宋体"/>
          <w:highlight w:val="none"/>
        </w:rPr>
        <w:t>4月29日上午，南雄市第十四届人民代表大会常务委员会第三十三次会议在市人大常委会会议室召开，市人大常委会副主任陈玉英主持会议。会议审议通过有关代表辞职事项。同意接受黄文儒辞去南雄市第十四届人民代表大会代表职务，并报南雄市第十四届人民代表大会第六次会议备案。会议审议通过有关人事任免事项。依法对2名拟任国家机关领导干部进行任命。会议决定任命王友华为南雄市财政局局长，黄文儒同志为南雄市发展和改革局局长。市人大常委会副主任陈玉英为新任命的同志颁发任命书。会议对市十四届人大五次会议代表测评“一府两院”各单位以及其他市直有关单位（含垂直管理单位）工作情况进行通报。根据《南雄市第十四届人民代表大会代表测评“一府两院”各单位及其他市直有关单位工作办法》的有关规定，经会议审议通过，依法确定南雄市司法局、南雄市环境保护局、广东电网韶关南雄供电局等3个单位为2015年度工作评议对象单位。会议听取和审议《南雄市国有资本经营情况的报告》。会议认为，在国企改革和结构调整深入的大环境下，伴随着国有资本覆盖面扩大，南雄市国有资本经营、监管工作取得一定成效。但国有资本经营监管仍未实现全覆盖、国有资本经营预算体系不够健全、国有资产尚未完全实行集中统一管理工作等，需要在今后工作中加以改进。为此，市政府要围绕国有资本经营、优化国有企业发展环境、提升国有资产监管能力、完善国有资本经营管理制度等方面加大工作力度，为南雄市今后开展国有资本经营预算编制、提升国有资本运行水平打下坚实基础。会上，市人民政府副市长袁元桃对国有资本经营管理情况及下一步工作作发言。</w:t>
      </w:r>
    </w:p>
    <w:p w14:paraId="33F2F882">
      <w:pPr>
        <w:pStyle w:val="4"/>
        <w:bidi w:val="0"/>
        <w:rPr>
          <w:rFonts w:hint="eastAsia"/>
          <w:highlight w:val="none"/>
        </w:rPr>
      </w:pPr>
      <w:r>
        <w:rPr>
          <w:rFonts w:hint="eastAsia"/>
          <w:highlight w:val="none"/>
        </w:rPr>
        <w:t>【十四届人大常委会三十四次会议】</w:t>
      </w:r>
    </w:p>
    <w:p w14:paraId="2B518C6B">
      <w:pPr>
        <w:rPr>
          <w:rFonts w:hint="eastAsia" w:hAnsi="宋体" w:cs="宋体"/>
          <w:highlight w:val="none"/>
        </w:rPr>
      </w:pPr>
      <w:r>
        <w:rPr>
          <w:rFonts w:hint="eastAsia" w:hAnsi="宋体" w:cs="宋体"/>
          <w:highlight w:val="none"/>
        </w:rPr>
        <w:t>5月6日上午，南雄市第十四届人民代表大会常务委员会第三十四次会议在市人大常委会会议室召开。市人大常委会副主任陈玉英主持会议。会上，市人大常委会副主任陈玉英为王碧安颁发任命书。会议审议通过（决定）有关人事事项。根据政府有关任职提请议案和相关法律法规规定，经表决通过，决定任命王碧安为南雄市人民政府副市长。根据干部个人辞职申请和相关法律法规规定，经审议通过，决定接受曾风保辞去南雄市人民政府市长职务，并报南雄市第十四届人民代表大会第六次会议备案。根据市人大常委会主任会议《关于提请审议决定王碧安代理南雄市人民政府市长职务的议案》，经审议通过，决定王碧安代理南雄市人民政府市长职务。会上，市人大常委会副主任陈玉英为王碧安颁发任命书。</w:t>
      </w:r>
    </w:p>
    <w:p w14:paraId="3E1F1FD7">
      <w:pPr>
        <w:pStyle w:val="4"/>
        <w:bidi w:val="0"/>
        <w:rPr>
          <w:rFonts w:hint="eastAsia"/>
          <w:highlight w:val="none"/>
        </w:rPr>
      </w:pPr>
      <w:r>
        <w:rPr>
          <w:rFonts w:hint="eastAsia"/>
          <w:highlight w:val="none"/>
        </w:rPr>
        <w:t>【十四届人大常委会三十五次会议】</w:t>
      </w:r>
    </w:p>
    <w:p w14:paraId="2699C681">
      <w:pPr>
        <w:rPr>
          <w:rFonts w:hint="eastAsia" w:hAnsi="宋体" w:cs="宋体"/>
          <w:highlight w:val="none"/>
        </w:rPr>
      </w:pPr>
      <w:r>
        <w:rPr>
          <w:rFonts w:hint="eastAsia" w:hAnsi="宋体" w:cs="宋体"/>
          <w:highlight w:val="none"/>
        </w:rPr>
        <w:t>5月21日，南雄市第十四届人民代表大会常务委员会第三十五次会议在市人大常委会会议室召开，市人大常委会副主任陈玉英主持会议。会议听取和审议关于部分补选代表的代表资格审查报告，确认王碧安、李霄山、李帆等代表资格。会议审议通过补选韶关市第十三届人民代表大会代表的有关事项。根据市人大常委会主任会议《关于补选王碧安为韶关市第十三届人民代表大会代表的议案》，经审议通过，依法补选王碧安为韶关市第十三届人民代表大会代表，并报韶关市人民代表大会常务委员会审查确认。会议审议通过关于召开南雄市第十四届人民代表大会第六次会议的若干事项安排及建议名单，决定南雄市第十四届人民代表大会第六次会议于2015年6月2日至3日（含预备会议）在市区南雄大会堂举行，会期3个半天。</w:t>
      </w:r>
    </w:p>
    <w:p w14:paraId="042C2E4C">
      <w:pPr>
        <w:pStyle w:val="4"/>
        <w:bidi w:val="0"/>
        <w:rPr>
          <w:rFonts w:hint="eastAsia"/>
          <w:highlight w:val="none"/>
        </w:rPr>
      </w:pPr>
      <w:r>
        <w:rPr>
          <w:rFonts w:hint="eastAsia"/>
          <w:highlight w:val="none"/>
        </w:rPr>
        <w:t>【十四届人大六次会议】</w:t>
      </w:r>
    </w:p>
    <w:p w14:paraId="2C772932">
      <w:pPr>
        <w:rPr>
          <w:rFonts w:hint="eastAsia" w:hAnsi="宋体" w:cs="宋体"/>
          <w:highlight w:val="none"/>
        </w:rPr>
      </w:pPr>
      <w:r>
        <w:rPr>
          <w:rFonts w:hint="eastAsia" w:hAnsi="宋体" w:cs="宋体"/>
          <w:highlight w:val="none"/>
        </w:rPr>
        <w:t>6月2日至3日，南雄市第十四届人民代表大会第六次会议在市区召开。南雄市第十四届人民代表大会第六次会议于2015年6月3日依法选举：曾风保为南雄市第十四届人民代表大会常务委员会主任，王碧安为南雄市人民政府市长，李帆为南雄市第十四届人民代表大会常务委员会委员。</w:t>
      </w:r>
    </w:p>
    <w:p w14:paraId="61763EE8">
      <w:pPr>
        <w:pStyle w:val="4"/>
        <w:bidi w:val="0"/>
        <w:rPr>
          <w:rFonts w:hint="eastAsia"/>
          <w:highlight w:val="none"/>
        </w:rPr>
      </w:pPr>
      <w:r>
        <w:rPr>
          <w:rFonts w:hint="eastAsia"/>
          <w:highlight w:val="none"/>
        </w:rPr>
        <w:t>【十四届人大常委会三十六次会议】</w:t>
      </w:r>
    </w:p>
    <w:p w14:paraId="52CECEB3">
      <w:pPr>
        <w:rPr>
          <w:rFonts w:hint="eastAsia" w:hAnsi="宋体" w:cs="宋体"/>
          <w:highlight w:val="none"/>
        </w:rPr>
      </w:pPr>
      <w:r>
        <w:rPr>
          <w:rFonts w:hint="eastAsia" w:hAnsi="宋体" w:cs="宋体"/>
          <w:highlight w:val="none"/>
        </w:rPr>
        <w:t>6月26日，南雄市第十四届人民代表大会常务委员会第三十六次会议在市人大常委会会议室召开，受市委书记、市人大常委会主任曾风保委托，市人大常委会副主任陈玉英主持会议。会议听取和审议检察长赖正志代表南雄市人民检察院所作的《关于刑事诉讼立案侦查实施监督的工作情况报告》。会议认为，报告较为全面地总结近年来南雄市检察院机关开展刑事诉讼立案侦查监督的工作情况，所述问题客观实在，会议审议通过这个报告。会议对南雄市司法局、南雄市环境保护局、广东电网韶关南雄供电局等单位进行工作评议。3个评议对象单位负责同志在会上先后作工作自查报告。全体参会人员分成2个讨论组，结合前期市人大常委会开展的调研情况展开交流讨论，讨论组代表还就讨论情况作归纳性重点发言。会议审议通过《南雄市人大常委会关于评议南雄市司法局等单位工作的综合情况反馈意见（草案）》，会议在评议南雄市司法局、南雄市环境保护局、广东电网韶关南雄供电局工作时，分别作出基本评价，指出存在问题，提出意见和建议，并对市人民政府提出相关的建议。3个评议对象单位负责人就会后落实整改工作作表态发言，做到思想认识到位、配合措施到位、整改落实到位，以这次评议工作为新起点，投入到整改工作上去，做到围绕问题抓整改，突出实效抓落实。</w:t>
      </w:r>
    </w:p>
    <w:p w14:paraId="3D369948">
      <w:pPr>
        <w:pStyle w:val="4"/>
        <w:bidi w:val="0"/>
        <w:rPr>
          <w:rFonts w:hint="eastAsia"/>
          <w:highlight w:val="none"/>
        </w:rPr>
      </w:pPr>
      <w:r>
        <w:rPr>
          <w:rFonts w:hint="eastAsia"/>
          <w:highlight w:val="none"/>
        </w:rPr>
        <w:t>【十四届人大常委会三十七次会议】</w:t>
      </w:r>
    </w:p>
    <w:p w14:paraId="3E530918">
      <w:pPr>
        <w:rPr>
          <w:rFonts w:hint="eastAsia" w:hAnsi="宋体" w:cs="宋体"/>
          <w:highlight w:val="none"/>
        </w:rPr>
      </w:pPr>
      <w:r>
        <w:rPr>
          <w:rFonts w:hint="eastAsia" w:hAnsi="宋体" w:cs="宋体"/>
          <w:highlight w:val="none"/>
        </w:rPr>
        <w:t>7月3日，南雄市第十四届人民代表大会常务委员会第三十七次会议在市人大常委会会议室召开，市人大常委会副主任陈玉英主持会议。会议审议关于罗少林辞去韶关市第十三届人民代表大会代表职务请求的事项。会议同意罗少林辞去韶关市第十三届人民代表大会代表职务。并报韶关市人民代表大会常务委员会备案。</w:t>
      </w:r>
    </w:p>
    <w:p w14:paraId="03C6941A">
      <w:pPr>
        <w:pStyle w:val="4"/>
        <w:bidi w:val="0"/>
        <w:rPr>
          <w:rFonts w:hint="eastAsia"/>
          <w:highlight w:val="none"/>
        </w:rPr>
      </w:pPr>
      <w:r>
        <w:rPr>
          <w:rFonts w:hint="eastAsia"/>
          <w:highlight w:val="none"/>
        </w:rPr>
        <w:t>【十四届人大常委会三十八次会议】</w:t>
      </w:r>
    </w:p>
    <w:p w14:paraId="6202E6AB">
      <w:pPr>
        <w:rPr>
          <w:rFonts w:hint="eastAsia" w:hAnsi="宋体" w:cs="宋体"/>
          <w:highlight w:val="none"/>
        </w:rPr>
      </w:pPr>
      <w:r>
        <w:rPr>
          <w:rFonts w:hint="eastAsia" w:hAnsi="宋体" w:cs="宋体"/>
          <w:highlight w:val="none"/>
        </w:rPr>
        <w:t>7月15日，南雄市第十四届人民代表大会常务委员会第三十八次会议在市人大常委会会议室召开，会议审议通过有关人事免职事项。会议决定免去吕道宏南雄市人民政府副市长职务。会议审议通过接受个别辞职请求有关事项。会议同意接受罗勇新辞去南雄市第十四届人民代表大会常务委员会副主任职务，报南雄市第十四届人民代表大会第七次会议备案。</w:t>
      </w:r>
    </w:p>
    <w:p w14:paraId="25C6ECE1">
      <w:pPr>
        <w:pStyle w:val="4"/>
        <w:bidi w:val="0"/>
        <w:rPr>
          <w:rFonts w:hint="eastAsia"/>
          <w:highlight w:val="none"/>
        </w:rPr>
      </w:pPr>
      <w:r>
        <w:rPr>
          <w:rFonts w:hint="eastAsia"/>
          <w:highlight w:val="none"/>
        </w:rPr>
        <w:t>【十四届人大常委会三十九次会议】</w:t>
      </w:r>
    </w:p>
    <w:p w14:paraId="2115663A">
      <w:pPr>
        <w:rPr>
          <w:rFonts w:hint="eastAsia" w:hAnsi="宋体" w:cs="宋体"/>
          <w:highlight w:val="none"/>
        </w:rPr>
      </w:pPr>
      <w:r>
        <w:rPr>
          <w:rFonts w:hint="eastAsia" w:hAnsi="宋体" w:cs="宋体"/>
          <w:highlight w:val="none"/>
        </w:rPr>
        <w:t>8月21日，南雄市第十四届人民代表大会常务委员会第三十九次会议在市人大常委会会议室召开，市人大常委会主任曾风保主持会议，副主任陈玉英、刘宏伟、李冰、陈培兰、张宗财等出席会议。会议审议通过有关人事事项。根据市人大常委会主任会议《关于提请审议何金生同志任职的议案》，经会议审议通过，任命何金生为南雄市人民代表大会常务委员会内务司法工作委员会副主任（正科级）。根据政府有关任职提请议案和相关法律法规规定，经会议审议通过，决定任命廖声华为南雄市经济和信息化局局长，谭志良为南雄市市场监督管理局局长，叶世明为南雄市商务局局长。审议通过有关代表辞职事项。会议听取和审议市人民政府《关于南雄市2015年上半年国民经济和社会发展计划执行情况的报告》。会议听取和审议市人民政府《关于南雄市2014年财政决算草案的报告》《关于南雄市2015年上半年全口径预算执行情况的报告》《关于南雄市2014年度本级预算执行情况和其他财政收支的审计工作报告》。会议听取和审议市人民政府《关于南雄市2015年预算调整草案的报告》。会议还听取和审议市人民法院《关于民事诉讼受理审判工作情况的报告》。会议审议通过南雄市人大常委会关于批准南雄市2014年财政决算的决议和关于批准南雄市2015年预算调整的决议。</w:t>
      </w:r>
    </w:p>
    <w:p w14:paraId="2E0BCE83">
      <w:pPr>
        <w:pStyle w:val="4"/>
        <w:bidi w:val="0"/>
        <w:rPr>
          <w:rFonts w:hint="eastAsia"/>
          <w:highlight w:val="none"/>
        </w:rPr>
      </w:pPr>
      <w:r>
        <w:rPr>
          <w:rFonts w:hint="eastAsia"/>
          <w:highlight w:val="none"/>
        </w:rPr>
        <w:t>【十四届人大常委会四十次会议】</w:t>
      </w:r>
    </w:p>
    <w:p w14:paraId="66076B80">
      <w:pPr>
        <w:rPr>
          <w:rFonts w:hint="eastAsia" w:hAnsi="宋体" w:cs="宋体"/>
          <w:highlight w:val="none"/>
        </w:rPr>
      </w:pPr>
      <w:r>
        <w:rPr>
          <w:rFonts w:hint="eastAsia" w:hAnsi="宋体" w:cs="宋体"/>
          <w:highlight w:val="none"/>
        </w:rPr>
        <w:t>10月28日，南雄市第十四届人民代表大会常务委员会第四十次会议在市人大常委会会议室召开，市人大常委会副主任陈玉英主持会议。会议审议通过有关人事任免事项。补选了陈玉英同志为韶关市第十三届人民代表大会代表，并报韶关市人民代表大会常务委员会审查确认。会议听取和审议市人民政府《关于南雄市2015年第二次预算调整草案的报告》，审查和批准市人民政府关于2015年第二次预算调整。会议还听取和审议市人民政府《关于贯彻实施〈中华人民共和国警察法〉情况的报告》。会上，市人民政府副市长袁元桃就做精、做好、做实预算工作及贯彻会议决议决定作发言。</w:t>
      </w:r>
    </w:p>
    <w:p w14:paraId="1AF7BC6C">
      <w:pPr>
        <w:pStyle w:val="4"/>
        <w:bidi w:val="0"/>
        <w:rPr>
          <w:rFonts w:hint="eastAsia"/>
          <w:highlight w:val="none"/>
        </w:rPr>
      </w:pPr>
      <w:r>
        <w:rPr>
          <w:rFonts w:hint="eastAsia"/>
          <w:highlight w:val="none"/>
        </w:rPr>
        <w:t>【十四届人大常委会四十一次会议】</w:t>
      </w:r>
    </w:p>
    <w:p w14:paraId="4267C002">
      <w:pPr>
        <w:rPr>
          <w:rFonts w:hint="eastAsia" w:hAnsi="宋体" w:cs="宋体"/>
          <w:highlight w:val="none"/>
        </w:rPr>
      </w:pPr>
      <w:r>
        <w:rPr>
          <w:rFonts w:hint="eastAsia" w:hAnsi="宋体" w:cs="宋体"/>
          <w:highlight w:val="none"/>
        </w:rPr>
        <w:t>11月25日，南雄市第十四届人民代表大会常务委员会第四十一次会议在市人大常委会会议室召开，市人大常委会副主任陈玉英主持会议。会议审议通过接受个别韶关市第十三届人民代表大会代表辞职的有关事项。会议决定接受张志才辞去韶关市第十三届人民代表大会代表职务的请求，并报韶关市人民代表大会常务委员会备案、公告。会议审议通过接受个别南雄市第十四届人民代表大会代表辞职的有关事项。会议决定接受曾智辞去南雄市第十四届人民代表大会代表职务的请求，并予以公告。</w:t>
      </w:r>
    </w:p>
    <w:p w14:paraId="149CB0BB">
      <w:pPr>
        <w:pStyle w:val="4"/>
        <w:bidi w:val="0"/>
        <w:rPr>
          <w:rFonts w:hint="eastAsia"/>
          <w:highlight w:val="none"/>
        </w:rPr>
      </w:pPr>
      <w:r>
        <w:rPr>
          <w:rFonts w:hint="eastAsia"/>
          <w:highlight w:val="none"/>
        </w:rPr>
        <w:t>【十四届人大常委会四十二次会议】</w:t>
      </w:r>
    </w:p>
    <w:p w14:paraId="36F22249">
      <w:pPr>
        <w:rPr>
          <w:rFonts w:hint="eastAsia" w:hAnsi="宋体" w:cs="宋体"/>
          <w:highlight w:val="none"/>
        </w:rPr>
      </w:pPr>
      <w:r>
        <w:rPr>
          <w:rFonts w:hint="eastAsia" w:hAnsi="宋体" w:cs="宋体"/>
          <w:highlight w:val="none"/>
        </w:rPr>
        <w:t>12月28日，南雄市第十四届人民代表大会常务委员会第四十二次会议在市人大常委会会议室召开，市人大常委会副主任陈玉英主持会议。会议审议通过有关人事任免事项。经会议审议通过，任命陈健生为南雄市人民代表大会常务委员会经济工作委员会副主任（正科级）。会议听取和审议市财政局局长王友华受市人民政府委托所作的《关于南雄市2015年第三次预算调整草案的报告》，审查和批准市政府关于2015年第三次预算调整。会议听取和审议关于个别补选代表的代表资格审查报告，确认补选代表的代表资格。会议听取和审议《市政府关于办理市十四届人大三次会议以来代表议案以及市十四届人大五次会议代表建议和批评意见情况的报告》《市政府关于办理2015年市人大常委会会议提出意见建议的落实情况报告》和《市政府关于落实2015年承诺民生实事进展情况的报告》，并分别提出审议意见。会议还听取和审议市司法局、市环保局、市供电局等3个年度评议对象单位《关于落实工作评议整改情况的报告》。会议根据《南雄市人大常委会关于开展工作评议实施方案》要求，对市司法局、市环保局、市供电局等3个评议对象单位工作进行评议结果投票，经常委会组成人员民主评议投票，3个评议对象单位最终评定为满意等次。</w:t>
      </w:r>
    </w:p>
    <w:p w14:paraId="466E94B8">
      <w:pPr>
        <w:pStyle w:val="3"/>
        <w:bidi w:val="0"/>
        <w:rPr>
          <w:rFonts w:hint="eastAsia"/>
          <w:highlight w:val="none"/>
        </w:rPr>
      </w:pPr>
      <w:r>
        <w:rPr>
          <w:rFonts w:hint="eastAsia"/>
          <w:highlight w:val="none"/>
        </w:rPr>
        <w:t>南雄市人大常委会领导职务变动</w:t>
      </w:r>
    </w:p>
    <w:p w14:paraId="3F7D6415">
      <w:pPr>
        <w:pStyle w:val="4"/>
        <w:bidi w:val="0"/>
        <w:rPr>
          <w:rFonts w:hint="eastAsia"/>
          <w:highlight w:val="none"/>
        </w:rPr>
      </w:pPr>
      <w:r>
        <w:rPr>
          <w:rFonts w:hint="eastAsia"/>
          <w:highlight w:val="none"/>
        </w:rPr>
        <w:t>【第十四届人大常委会主任、副主任、委员名单】</w:t>
      </w:r>
    </w:p>
    <w:p w14:paraId="0B7577B3">
      <w:pPr>
        <w:rPr>
          <w:rFonts w:hint="eastAsia" w:hAnsi="宋体" w:cs="宋体"/>
          <w:highlight w:val="none"/>
        </w:rPr>
      </w:pPr>
      <w:r>
        <w:rPr>
          <w:rFonts w:hint="eastAsia" w:hAnsi="宋体" w:cs="宋体"/>
          <w:highlight w:val="none"/>
        </w:rPr>
        <w:t>主任：曾风保（2015年6月3日—在任）</w:t>
      </w:r>
    </w:p>
    <w:p w14:paraId="5D1EC35D">
      <w:pPr>
        <w:rPr>
          <w:rFonts w:hint="eastAsia" w:hAnsi="宋体" w:cs="宋体"/>
          <w:highlight w:val="none"/>
        </w:rPr>
      </w:pPr>
      <w:r>
        <w:rPr>
          <w:rFonts w:hint="eastAsia" w:hAnsi="宋体" w:cs="宋体"/>
          <w:highlight w:val="none"/>
        </w:rPr>
        <w:t>副主任：罗勇新（2011年11月11日至2015年7月15日，其中2013年8月30日至2014年1月24日与2014年10月17日至2015年6月3日期间代理主任职务）</w:t>
      </w:r>
    </w:p>
    <w:p w14:paraId="7E5AD750">
      <w:pPr>
        <w:ind w:firstLine="1050" w:firstLineChars="500"/>
        <w:rPr>
          <w:rFonts w:hint="eastAsia" w:hAnsi="宋体" w:cs="宋体"/>
          <w:highlight w:val="none"/>
        </w:rPr>
      </w:pPr>
      <w:r>
        <w:rPr>
          <w:rFonts w:hint="eastAsia" w:hAnsi="宋体" w:cs="宋体"/>
          <w:highlight w:val="none"/>
        </w:rPr>
        <w:t>陈玉英（2011年11月11日—在任）</w:t>
      </w:r>
    </w:p>
    <w:p w14:paraId="0DA3EFC4">
      <w:pPr>
        <w:ind w:firstLine="1050" w:firstLineChars="500"/>
        <w:rPr>
          <w:rFonts w:hint="eastAsia" w:hAnsi="宋体" w:cs="宋体"/>
          <w:highlight w:val="none"/>
        </w:rPr>
      </w:pPr>
      <w:r>
        <w:rPr>
          <w:rFonts w:hint="eastAsia" w:hAnsi="宋体" w:cs="宋体"/>
          <w:highlight w:val="none"/>
        </w:rPr>
        <w:t>刘宏伟（2011年11月11日—在任）</w:t>
      </w:r>
    </w:p>
    <w:p w14:paraId="3ED72D22">
      <w:pPr>
        <w:ind w:firstLine="1050" w:firstLineChars="500"/>
        <w:rPr>
          <w:rFonts w:hint="eastAsia" w:hAnsi="宋体" w:cs="宋体"/>
          <w:highlight w:val="none"/>
        </w:rPr>
      </w:pPr>
      <w:r>
        <w:rPr>
          <w:rFonts w:hint="eastAsia" w:hAnsi="宋体" w:cs="宋体"/>
          <w:highlight w:val="none"/>
        </w:rPr>
        <w:t>李冰（2011年11月11日—在任）</w:t>
      </w:r>
    </w:p>
    <w:p w14:paraId="1A31753C">
      <w:pPr>
        <w:ind w:firstLine="1050" w:firstLineChars="500"/>
        <w:rPr>
          <w:rFonts w:hint="eastAsia" w:hAnsi="宋体" w:cs="宋体"/>
          <w:highlight w:val="none"/>
        </w:rPr>
      </w:pPr>
      <w:r>
        <w:rPr>
          <w:rFonts w:hint="eastAsia" w:hAnsi="宋体" w:cs="宋体"/>
          <w:highlight w:val="none"/>
        </w:rPr>
        <w:t>陈培兰（2011年11月11日—在任）</w:t>
      </w:r>
    </w:p>
    <w:p w14:paraId="1902D5F6">
      <w:pPr>
        <w:ind w:firstLine="1050" w:firstLineChars="500"/>
        <w:rPr>
          <w:rFonts w:hint="eastAsia" w:hAnsi="宋体" w:cs="宋体"/>
          <w:highlight w:val="none"/>
        </w:rPr>
      </w:pPr>
      <w:r>
        <w:rPr>
          <w:rFonts w:hint="eastAsia" w:hAnsi="宋体" w:cs="宋体"/>
          <w:highlight w:val="none"/>
        </w:rPr>
        <w:t>张宗财（2011年11月11日—在任）</w:t>
      </w:r>
    </w:p>
    <w:p w14:paraId="4B01D4D2">
      <w:pPr>
        <w:ind w:firstLine="1050" w:firstLineChars="500"/>
        <w:rPr>
          <w:rFonts w:hint="eastAsia" w:hAnsi="宋体" w:cs="宋体"/>
          <w:highlight w:val="none"/>
        </w:rPr>
      </w:pPr>
      <w:r>
        <w:rPr>
          <w:rFonts w:hint="eastAsia" w:hAnsi="宋体" w:cs="宋体"/>
          <w:highlight w:val="none"/>
        </w:rPr>
        <w:t>委员：张新（2012年2月10日—在任）</w:t>
      </w:r>
    </w:p>
    <w:p w14:paraId="4E513569">
      <w:pPr>
        <w:ind w:firstLine="1050" w:firstLineChars="500"/>
        <w:rPr>
          <w:rFonts w:hint="eastAsia" w:hAnsi="宋体" w:cs="宋体"/>
          <w:highlight w:val="none"/>
        </w:rPr>
      </w:pPr>
      <w:r>
        <w:rPr>
          <w:rFonts w:hint="eastAsia" w:hAnsi="宋体" w:cs="宋体"/>
          <w:highlight w:val="none"/>
        </w:rPr>
        <w:t>陈焱煌（2011年11月11日—在任）</w:t>
      </w:r>
    </w:p>
    <w:p w14:paraId="38E7D9CE">
      <w:pPr>
        <w:ind w:firstLine="1050" w:firstLineChars="500"/>
        <w:rPr>
          <w:rFonts w:hint="eastAsia" w:hAnsi="宋体" w:cs="宋体"/>
          <w:highlight w:val="none"/>
        </w:rPr>
      </w:pPr>
      <w:r>
        <w:rPr>
          <w:rFonts w:hint="eastAsia" w:hAnsi="宋体" w:cs="宋体"/>
          <w:highlight w:val="none"/>
        </w:rPr>
        <w:t>刘运平（2011年11月11日—在任）</w:t>
      </w:r>
    </w:p>
    <w:p w14:paraId="354AF326">
      <w:pPr>
        <w:ind w:firstLine="1050" w:firstLineChars="500"/>
        <w:rPr>
          <w:rFonts w:hint="eastAsia" w:hAnsi="宋体" w:cs="宋体"/>
          <w:highlight w:val="none"/>
        </w:rPr>
      </w:pPr>
      <w:r>
        <w:rPr>
          <w:rFonts w:hint="eastAsia" w:hAnsi="宋体" w:cs="宋体"/>
          <w:highlight w:val="none"/>
        </w:rPr>
        <w:t>赖长林（2011年11月11日—在任）</w:t>
      </w:r>
    </w:p>
    <w:p w14:paraId="7DAF7C29">
      <w:pPr>
        <w:ind w:firstLine="1050" w:firstLineChars="500"/>
        <w:rPr>
          <w:rFonts w:hint="eastAsia" w:hAnsi="宋体" w:cs="宋体"/>
          <w:highlight w:val="none"/>
        </w:rPr>
      </w:pPr>
      <w:r>
        <w:rPr>
          <w:rFonts w:hint="eastAsia" w:hAnsi="宋体" w:cs="宋体"/>
          <w:highlight w:val="none"/>
        </w:rPr>
        <w:t>董圣国（2015年3月19日—在任）</w:t>
      </w:r>
    </w:p>
    <w:p w14:paraId="0EAB5E4D">
      <w:pPr>
        <w:ind w:firstLine="1050" w:firstLineChars="500"/>
        <w:rPr>
          <w:rFonts w:hint="eastAsia" w:hAnsi="宋体" w:cs="宋体"/>
          <w:highlight w:val="none"/>
        </w:rPr>
      </w:pPr>
      <w:r>
        <w:rPr>
          <w:rFonts w:hint="eastAsia" w:hAnsi="宋体" w:cs="宋体"/>
          <w:highlight w:val="none"/>
        </w:rPr>
        <w:t>柯油松（2011年11月11日—在任）</w:t>
      </w:r>
    </w:p>
    <w:p w14:paraId="15A94C66">
      <w:pPr>
        <w:ind w:firstLine="1050" w:firstLineChars="500"/>
        <w:rPr>
          <w:rFonts w:hint="eastAsia" w:hAnsi="宋体" w:cs="宋体"/>
          <w:highlight w:val="none"/>
        </w:rPr>
      </w:pPr>
      <w:r>
        <w:rPr>
          <w:rFonts w:hint="eastAsia" w:hAnsi="宋体" w:cs="宋体"/>
          <w:highlight w:val="none"/>
        </w:rPr>
        <w:t>徐兴伦（2011年11月11日—在任）</w:t>
      </w:r>
    </w:p>
    <w:p w14:paraId="6276FA19">
      <w:pPr>
        <w:ind w:firstLine="1050" w:firstLineChars="500"/>
        <w:rPr>
          <w:rFonts w:hint="eastAsia" w:hAnsi="宋体" w:cs="宋体"/>
          <w:highlight w:val="none"/>
        </w:rPr>
      </w:pPr>
      <w:r>
        <w:rPr>
          <w:rFonts w:hint="eastAsia" w:hAnsi="宋体" w:cs="宋体"/>
          <w:highlight w:val="none"/>
        </w:rPr>
        <w:t>林彩虹（2011年11月11日—在任）</w:t>
      </w:r>
    </w:p>
    <w:p w14:paraId="1102E9C1">
      <w:pPr>
        <w:ind w:firstLine="1050" w:firstLineChars="500"/>
        <w:rPr>
          <w:rFonts w:hint="eastAsia" w:hAnsi="宋体" w:cs="宋体"/>
          <w:highlight w:val="none"/>
        </w:rPr>
      </w:pPr>
      <w:r>
        <w:rPr>
          <w:rFonts w:hint="eastAsia" w:hAnsi="宋体" w:cs="宋体"/>
          <w:highlight w:val="none"/>
        </w:rPr>
        <w:t>莫绵润（2011年11月11日—在任）</w:t>
      </w:r>
    </w:p>
    <w:p w14:paraId="79AC8E7C">
      <w:pPr>
        <w:ind w:firstLine="1050" w:firstLineChars="500"/>
        <w:rPr>
          <w:rFonts w:hint="eastAsia" w:hAnsi="宋体" w:cs="宋体"/>
          <w:highlight w:val="none"/>
        </w:rPr>
      </w:pPr>
      <w:r>
        <w:rPr>
          <w:rFonts w:hint="eastAsia" w:hAnsi="宋体" w:cs="宋体"/>
          <w:highlight w:val="none"/>
        </w:rPr>
        <w:t>曾光（2011年11月11日—在任）</w:t>
      </w:r>
    </w:p>
    <w:p w14:paraId="2957A668">
      <w:pPr>
        <w:ind w:firstLine="1050" w:firstLineChars="500"/>
        <w:rPr>
          <w:rFonts w:hint="eastAsia" w:hAnsi="宋体" w:cs="宋体"/>
          <w:highlight w:val="none"/>
        </w:rPr>
      </w:pPr>
      <w:r>
        <w:rPr>
          <w:rFonts w:hint="eastAsia" w:hAnsi="宋体" w:cs="宋体"/>
          <w:highlight w:val="none"/>
        </w:rPr>
        <w:t>张堂耀（2014年1月24日—在任）</w:t>
      </w:r>
    </w:p>
    <w:p w14:paraId="13D6BBD2">
      <w:pPr>
        <w:ind w:firstLine="1050" w:firstLineChars="500"/>
        <w:rPr>
          <w:rFonts w:hint="eastAsia" w:hAnsi="宋体" w:cs="宋体"/>
          <w:highlight w:val="none"/>
        </w:rPr>
      </w:pPr>
      <w:r>
        <w:rPr>
          <w:rFonts w:hint="eastAsia" w:hAnsi="宋体" w:cs="宋体"/>
          <w:highlight w:val="none"/>
        </w:rPr>
        <w:t>叶凌峰（2014年1月24日—在任）</w:t>
      </w:r>
    </w:p>
    <w:p w14:paraId="13A8B3F1">
      <w:pPr>
        <w:ind w:firstLine="1050" w:firstLineChars="500"/>
        <w:rPr>
          <w:rFonts w:hint="eastAsia" w:hAnsi="宋体" w:cs="宋体"/>
          <w:highlight w:val="none"/>
        </w:rPr>
      </w:pPr>
      <w:r>
        <w:rPr>
          <w:rFonts w:hint="eastAsia" w:hAnsi="宋体" w:cs="宋体"/>
          <w:highlight w:val="none"/>
        </w:rPr>
        <w:t>叶春福（2014年1月24日—在任）</w:t>
      </w:r>
    </w:p>
    <w:p w14:paraId="541DDBA8">
      <w:pPr>
        <w:ind w:firstLine="1050" w:firstLineChars="500"/>
        <w:rPr>
          <w:rFonts w:hint="eastAsia" w:hAnsi="宋体" w:cs="宋体"/>
          <w:highlight w:val="none"/>
        </w:rPr>
      </w:pPr>
      <w:r>
        <w:rPr>
          <w:rFonts w:hint="eastAsia" w:hAnsi="宋体" w:cs="宋体"/>
          <w:highlight w:val="none"/>
        </w:rPr>
        <w:t>王弟勤（2014年1月24日—在任）</w:t>
      </w:r>
    </w:p>
    <w:p w14:paraId="68ED6B5C">
      <w:pPr>
        <w:ind w:firstLine="1050" w:firstLineChars="500"/>
        <w:rPr>
          <w:rFonts w:hint="eastAsia" w:hAnsi="宋体" w:cs="宋体"/>
          <w:highlight w:val="none"/>
        </w:rPr>
      </w:pPr>
      <w:r>
        <w:rPr>
          <w:rFonts w:hint="eastAsia" w:hAnsi="宋体" w:cs="宋体"/>
          <w:highlight w:val="none"/>
        </w:rPr>
        <w:t>王高峰（2015年3月19日—在任）</w:t>
      </w:r>
    </w:p>
    <w:p w14:paraId="3624BC70">
      <w:pPr>
        <w:ind w:firstLine="1050" w:firstLineChars="500"/>
        <w:rPr>
          <w:rFonts w:hint="eastAsia" w:hAnsi="宋体" w:cs="宋体"/>
          <w:highlight w:val="none"/>
        </w:rPr>
      </w:pPr>
      <w:r>
        <w:rPr>
          <w:rFonts w:hint="eastAsia" w:hAnsi="宋体" w:cs="宋体"/>
          <w:highlight w:val="none"/>
        </w:rPr>
        <w:t>叶邱婷（2015年3月19日—在任）</w:t>
      </w:r>
    </w:p>
    <w:p w14:paraId="23BA798B">
      <w:pPr>
        <w:ind w:firstLine="1050" w:firstLineChars="500"/>
        <w:rPr>
          <w:rFonts w:hint="eastAsia" w:hAnsi="宋体" w:cs="宋体"/>
          <w:highlight w:val="none"/>
        </w:rPr>
      </w:pPr>
      <w:r>
        <w:rPr>
          <w:rFonts w:hint="eastAsia" w:hAnsi="宋体" w:cs="宋体"/>
          <w:highlight w:val="none"/>
        </w:rPr>
        <w:t>黄文儒（2011年11月11日至2015年4月29日）</w:t>
      </w:r>
    </w:p>
    <w:p w14:paraId="642CA600">
      <w:pPr>
        <w:ind w:firstLine="1050" w:firstLineChars="500"/>
        <w:rPr>
          <w:rFonts w:hint="eastAsia" w:hAnsi="宋体" w:cs="宋体"/>
          <w:highlight w:val="none"/>
        </w:rPr>
      </w:pPr>
      <w:r>
        <w:rPr>
          <w:rFonts w:hint="eastAsia" w:hAnsi="宋体" w:cs="宋体"/>
          <w:highlight w:val="none"/>
        </w:rPr>
        <w:t>陈伦寿（2011年11月11日至2015年2月11日）</w:t>
      </w:r>
    </w:p>
    <w:p w14:paraId="315D8893">
      <w:pPr>
        <w:ind w:firstLine="1050" w:firstLineChars="500"/>
        <w:rPr>
          <w:rFonts w:hint="eastAsia" w:hAnsi="宋体" w:cs="宋体"/>
          <w:highlight w:val="none"/>
        </w:rPr>
      </w:pPr>
      <w:r>
        <w:rPr>
          <w:rFonts w:hint="eastAsia" w:hAnsi="宋体" w:cs="宋体"/>
          <w:highlight w:val="none"/>
        </w:rPr>
        <w:t>黄恢伟（2011年11月11日至2015年2月11日）</w:t>
      </w:r>
    </w:p>
    <w:p w14:paraId="2B0B8CCF">
      <w:pPr>
        <w:ind w:firstLine="1050" w:firstLineChars="500"/>
        <w:rPr>
          <w:rFonts w:hint="eastAsia" w:hAnsi="宋体" w:cs="宋体"/>
          <w:highlight w:val="none"/>
        </w:rPr>
      </w:pPr>
      <w:r>
        <w:rPr>
          <w:rFonts w:hint="eastAsia" w:hAnsi="宋体" w:cs="宋体"/>
          <w:highlight w:val="none"/>
        </w:rPr>
        <w:t>李帆（2015年6月3日至2015年月21日）</w:t>
      </w:r>
    </w:p>
    <w:p w14:paraId="554F9B0F">
      <w:pPr>
        <w:pStyle w:val="3"/>
        <w:bidi w:val="0"/>
        <w:rPr>
          <w:rFonts w:hint="eastAsia"/>
          <w:highlight w:val="none"/>
        </w:rPr>
      </w:pPr>
      <w:r>
        <w:rPr>
          <w:rFonts w:hint="eastAsia"/>
          <w:highlight w:val="none"/>
        </w:rPr>
        <w:t>重要活动及主要工作</w:t>
      </w:r>
    </w:p>
    <w:p w14:paraId="350F71FF">
      <w:pPr>
        <w:pStyle w:val="4"/>
        <w:bidi w:val="0"/>
        <w:rPr>
          <w:rFonts w:hint="eastAsia"/>
          <w:highlight w:val="none"/>
        </w:rPr>
      </w:pPr>
      <w:r>
        <w:rPr>
          <w:rFonts w:hint="eastAsia"/>
          <w:highlight w:val="none"/>
        </w:rPr>
        <w:t>【决定重大事项】</w:t>
      </w:r>
    </w:p>
    <w:p w14:paraId="501F7D0B">
      <w:pPr>
        <w:rPr>
          <w:rFonts w:hint="eastAsia" w:hAnsi="宋体" w:cs="宋体"/>
          <w:highlight w:val="none"/>
        </w:rPr>
      </w:pPr>
      <w:r>
        <w:rPr>
          <w:rFonts w:hint="eastAsia" w:hAnsi="宋体" w:cs="宋体"/>
          <w:highlight w:val="none"/>
        </w:rPr>
        <w:t>2015年，市人大常委会共召开15次常委会会议，2次人大代表大会。会议审议和决定的主要事项有：审议关于李传忠辞去韶关市第十三届人民代表大会代表职务请求的事项</w:t>
      </w:r>
      <w:r>
        <w:rPr>
          <w:rFonts w:hint="eastAsia" w:hAnsi="宋体" w:cs="宋体"/>
          <w:highlight w:val="none"/>
          <w:lang w:eastAsia="zh-CN"/>
        </w:rPr>
        <w:t>，</w:t>
      </w:r>
      <w:r>
        <w:rPr>
          <w:rFonts w:hint="eastAsia" w:hAnsi="宋体" w:cs="宋体"/>
          <w:highlight w:val="none"/>
        </w:rPr>
        <w:t>同意李传忠辞去韶关市第十三届人民代表大会代表职务；审议通过南雄市人民政府《关于提请审议调整南雄建材五金综合大市场规划条件的议案》和南雄市人民政府《关于提请华电南雄热电联产工程（2×35万千瓦）项目选址意见的议案》</w:t>
      </w:r>
      <w:r>
        <w:rPr>
          <w:rFonts w:hint="eastAsia" w:hAnsi="宋体" w:cs="宋体"/>
          <w:highlight w:val="none"/>
          <w:lang w:eastAsia="zh-CN"/>
        </w:rPr>
        <w:t>，</w:t>
      </w:r>
      <w:r>
        <w:rPr>
          <w:rFonts w:hint="eastAsia" w:hAnsi="宋体" w:cs="宋体"/>
          <w:highlight w:val="none"/>
        </w:rPr>
        <w:t>以及南雄市第十四届人民代表大会常务委员会代表资格审查委员会《关于部分代表的代表资格的报告》；审议通过有关人事任免和代表辞职事项，市人大常委会首次对3位拟任干部人选进行任前“表态发言”；审议通过《南雄市人民代表大会常务委员会2015年工作计划》；审议通过有关人事任职事项，决定任命李海霞为南雄市人民政府副市长；听取和审议关于南雄市第十四届人民代表大会部分代表的代表资格审查报告，确认李泉洲、钟祥文、谭福志、温春花、吴少华、陈志光、叶邱婷等补选代表的代表资格；审议通过关于召开南雄市第十四届人民代表大会第五次会议的若干事项安排及建议名单和《南雄市人民代表大会常务委员会工作报告（稿）》；决定南雄市第十四届人民代表大会第五次会议于2015年3月17日至19日（含预备会议）在市区南雄大会堂举行，会期4个半天；听取和审议市长曾风保代表市政府所作的《政府工作报告》，审查和批准了《南雄市2014年国民经济和社会发展计划执行情况与2015年计划草案报告》《南雄市2014年预算执行情况与2015年预算草案报告》，听取和审议市人大常委会代理主任罗勇新代表市人大常委会所作的《南雄市人民代表大会常务委员会工作报告》，听取和审议市人民法院院长肖裕忠所作的《南雄市人民法院工作报告》，听取和审议市人民检察院检察长赖正志所作的《南雄市人民检察院工作报告》，听取和审议《关于进一步加强小区建设管理议案》，依法选举董圣国、王高峰、叶邱婷为南雄市第十四届人民代表大会常务委员会委员；审议关于王发平辞去韶关市第十三届人民代表大会代表职务请求的事项</w:t>
      </w:r>
      <w:r>
        <w:rPr>
          <w:rFonts w:hint="eastAsia" w:hAnsi="宋体" w:cs="宋体"/>
          <w:highlight w:val="none"/>
          <w:lang w:eastAsia="zh-CN"/>
        </w:rPr>
        <w:t>，</w:t>
      </w:r>
      <w:r>
        <w:rPr>
          <w:rFonts w:hint="eastAsia" w:hAnsi="宋体" w:cs="宋体"/>
          <w:highlight w:val="none"/>
        </w:rPr>
        <w:t>同意王发平辞去韶关市第十三届人民代表大会代表职务；审议通过有关代表辞职事项，同意接受黄文儒辞去南雄市第十四届人民代表大会代表职务，并报南雄市第十四届人民代表大会第六次会议备案；审议通过有关人事任免事项，依法对2名拟任国家机关领导干部进行任命，会议决定任命王友华为南雄市财政局局长，黄文儒同志为南雄市发展和改革局局长；对市十四届人大五次会议代表测评“一府两院”各单位以及其他市直有关单位（含垂直管理单位）工作情况进行通报，经审议通过，依法确定南雄市司法局、南雄市环境保护局、广东电网韶关南雄供电局等3个单位为2015年度工作评议对象单位；听取和审议《南雄市国有资本经营情况的报告》；审议通过（决定）有关人事事项，根据政府有关任职提请议案和相关法律法规规定，经表决通过，决定任命王碧安为南雄市人民政府副市长，根据干部个人辞职申请和相关法律法规规定，经审议通过，决定接受曾风保辞去南雄市人民政府市长职务，并报南雄市第十四届人民代表大会第六次会议备案，根据市人大常委会主任会议《关于提请审议决定王碧安代理南雄市人民政府市长职务的议案》，经审议通过，决定王碧安代理南雄市人民政府市长职务；听取和审议关于部分补选代表的代表资格审查报告，确认王碧安、李霄山、李帆代表资格；审议通过补选韶关市第十三届人民代表大会代表有关事项，经审议通过，依法补选王碧安同志为韶关市第十三届人民代表大会代表，并报韶关市人民代表大会常务委员会审查确认；审议通过关于召开南雄市第十四届人民代表大会第六次会议若干事项安排及建议名单，决定南雄市第十四届人民代表大会第六次会议于2015年6月2日至3日（含预备会议）在市区南雄大会堂举行，会期三个半天；依法选举：曾风保为南雄市第十四届人民代表大会常务委员会主任，王碧安为南雄市人民政府市长，李帆为南雄市第十四届人民代表大会常务委员会委员；听取和审议检察长赖正志同志代表南雄市人民检察院所作的《关于刑事诉讼立案侦查实施监督的工作情况报告》；审议关于罗少林辞去韶关市第十三届人民代表大会代表职务请求的事项，同意罗少林辞去韶关市第十三届人民代表大会代表职务；审议通过有关人事免职事项，决定免去吕道宏同志的南雄市人民政府副市长职务，审议通过接受个别辞职请求的有关事项，同意接受罗勇新辞去南雄市第十四届人民代表大会常务委员会副主任职务；对南雄市司法局、南雄市环境保护局、广东电网韶关南雄供电局等单位进行工作评议；审议通过有关代表辞职事项；听取和审议市人民政府《关于南雄市2015年上半年国民经济和社会发展计划执行情况的报告》；听取和审议市人民政府《关于南雄市2014年财政决算草案的报告》《关于南雄市2015年上半年全口径预算执行情况的报告》《关于南雄市2014年度本级预算执行情况和其他财政收支的审计工作报告》；听取和审议市人民政府《关于南雄市2015年预算调整草案的报告》；听取和审议市人民法院《关于民事诉讼受理审判工作情况的报告》；审议通过南雄市人大常委会关于批准南雄市2014年财政决算的决议和关于批准南雄市2015年预算调整的决议；审议通过有关人事任免事项，补选陈玉英为韶关市第十三届人民代表大会代表，并报韶关市人民代表大会常务委员会审查确认；听取和审议市人民政府《关于南雄市2015年第二次预算调整草案的报告》，审查和批准市人民政府关于2015年第二次预算调整；听取和审议市人民政府《关于贯彻实施〈中华人民共和国警察法〉情况的报告》；审议通过接受个别韶关市第十三届人民代表大会代表辞职的有关事项，决定接受张志才辞去韶关市第十三届人民代表大会代表职务请求，并报韶关市人民代表大会常务委员会备案、公告，审议通过接受个别南雄市第十四届人民代表大会代表辞职有关事项，决定接受曾智辞去南雄市第十四届人民代表大会代表职务请求，并予以公告；审议通过有关人事任免事项，经会议审议通过，任命陈健生为南雄市人民代表大会常务委员会经济工作委员会副主任（正科级）；听取和审议市财政局局长王友华受市人民政府委托所作的《关于南雄市2015年第三次预算调整草案的报告》，审查和批准市政府关于2015年第三次预算调整；听取和审议关于个别补选代表的代表资格审查报告，确认补选代表的代表资格；听取和审议《市政府关于办理市十四届人大三次会议以来代表议案以及市十四届人大五次会议代表建议和批评意见情况的报告》《市政府关于办理2015年市人大常委会会议提出意见建议的落实情况报告》和《市政府关于落实2015年承诺民生实事进展情况的报告》，并分别提出审议意见；听取和审议市司法局、市环保局、市供电局等3个年度评议对象单位《关于落实工作评议整改情况的报告》；根据《南雄市人大常委会关于开展工作评议实施方案》要求，对市司法局、市环保局、市供电局等3个评议对象单位工作进行评议结果投票，经常委会组成人员民主评议投票，3个评议对象单位最终评定为满意等次。</w:t>
      </w:r>
    </w:p>
    <w:p w14:paraId="5A2C1D03">
      <w:pPr>
        <w:pStyle w:val="4"/>
        <w:bidi w:val="0"/>
        <w:rPr>
          <w:rFonts w:hint="eastAsia"/>
          <w:highlight w:val="none"/>
        </w:rPr>
      </w:pPr>
      <w:r>
        <w:rPr>
          <w:rFonts w:hint="eastAsia"/>
          <w:highlight w:val="none"/>
        </w:rPr>
        <w:t>【人事任免】</w:t>
      </w:r>
    </w:p>
    <w:p w14:paraId="2A41C16D">
      <w:pPr>
        <w:rPr>
          <w:rFonts w:hint="eastAsia" w:hAnsi="宋体" w:cs="宋体"/>
          <w:highlight w:val="none"/>
        </w:rPr>
      </w:pPr>
      <w:r>
        <w:rPr>
          <w:rFonts w:hint="eastAsia" w:hAnsi="宋体" w:cs="宋体"/>
          <w:highlight w:val="none"/>
        </w:rPr>
        <w:t>常委会坚持党管干部原则和人大依法任免有机统一，严格依法组织任前法律知识考试，开展拟任法官、检察官的任前考核，形成一系列规范的工作程序，保证人事任免工作依法、规范进行。2015年，依法任免国家干部40人（次）。</w:t>
      </w:r>
    </w:p>
    <w:p w14:paraId="55AF0D42">
      <w:pPr>
        <w:pStyle w:val="4"/>
        <w:bidi w:val="0"/>
        <w:rPr>
          <w:rFonts w:hint="eastAsia"/>
          <w:highlight w:val="none"/>
        </w:rPr>
      </w:pPr>
      <w:r>
        <w:rPr>
          <w:rFonts w:hint="eastAsia"/>
          <w:highlight w:val="none"/>
        </w:rPr>
        <w:t>【调研与视察】</w:t>
      </w:r>
    </w:p>
    <w:p w14:paraId="3910CB31">
      <w:pPr>
        <w:rPr>
          <w:rFonts w:hint="eastAsia" w:hAnsi="宋体" w:cs="宋体"/>
          <w:highlight w:val="none"/>
        </w:rPr>
      </w:pPr>
      <w:r>
        <w:rPr>
          <w:rFonts w:hint="eastAsia" w:hAnsi="宋体" w:cs="宋体"/>
          <w:highlight w:val="none"/>
        </w:rPr>
        <w:t>1月19日至21日，南雄市人大派出5个调研组</w:t>
      </w:r>
      <w:r>
        <w:rPr>
          <w:rFonts w:hint="eastAsia" w:hAnsi="宋体" w:cs="宋体"/>
          <w:highlight w:val="none"/>
          <w:lang w:eastAsia="zh-CN"/>
        </w:rPr>
        <w:t>，</w:t>
      </w:r>
      <w:r>
        <w:rPr>
          <w:rFonts w:hint="eastAsia" w:hAnsi="宋体" w:cs="宋体"/>
          <w:highlight w:val="none"/>
        </w:rPr>
        <w:t>分别深入18个镇（街道），就市镇两级人大工作开展专项调研。2月27日，市委书记曾风保，市委常委、市委办主任黄德群一行到市人大指导工作，并召开工作座谈会。会上，曾风保肯定市人大履行职责，参与中心工作所取得的成绩，同时感谢市人大对市委工作的大力支持，并希望大家在新的一年要有新气象、新举措、新作为，以饱满的工作热情、良好的精神状态、务实的工作作风投入到工作中，做好2015年人大三项亮点工程，特别是围绕“路要顺、景能看、能吃住、心情好”十二字方针，全力抓好坪田银杏旅游项目建设开发工作。市人大常委会代理主任罗勇新表示，人大常委会将始终牢固树立大局意识，坚持党的领导、人民当家做主、依法治国的有机统一，把发挥代表主体作用与围绕中心、服务大局结合起来，主动作为，敢于担当，切实履行好法定职责，坚定不移打好苏区牌、走好生态路，为加快建设生态富裕法治文明和谐的粤北门户城市作出新的贡献。3月11日，仁化县人大常委会常务副主任张云勃率考察团到该市考察学习，南雄市人大常委会代理主任罗勇新，副主任刘宏伟，市人大常委会办公室、市人大常委会经济工委和市依法治市办负责同志陪同参加学习考察。张云勃一行首先来到南雄市的精细化工产业园区，听取园区负责人介绍园区布局规划和建设发展情况，观看园区开发建设视频短片，随后考察团深入企业生产厂房车间，详细了解企业的生产经营情况以及企业的生产流程和规模等。为加快推进坪田银杏旅游项目开发建设工作，3月24日，市人大常委会代理主任罗勇新，副主任刘宏伟、陈培兰，率领市交通、住建、国土、农业、水务等单位负责同志深入坪田镇，实地了解项目进展情况，并现场指导开发建设工作。据了解，自市人大接到坪田银杏旅游项目开发建设工作后，常委会高度重视，领导班子成员多次亲临一线，现场办公，逐项研究解决突出问题，协调推进项目建设。该次现场办公重点研究指导景区道路、停车场建设及幸福村居改造工作，经过多方协调和共同努力，目前3项工作已初步形成可行性实施方案。3月25日，市人大常委会代理主任罗勇新深入挂点村水口石庄村开展扶贫工作调研，并召开村“两委”及驻村干部座谈会，听取大家对2015年扶贫开发工作的意见建议，推动该村理清发展思路，拓宽脱贫致富渠道。3月25日，市人大常委会副主任张宗财在珠玑镇党委书记陈志光的陪同下，到挂点珠玑镇罗田村开展扶贫工作调研。3月31日，市人大常委会副主任刘宏伟率经济工委工作人员，对南雄市第十四届人民代表大会第四次会议关于《加强整治养殖业排污行为议案》的整改措施落实情况进行调研。4月8日，开平市人大常委会副主任余荣深率考察团来该市学习考察，南雄市人大常委会代理主任罗勇新，副主任陈培兰，市人大办及选联任工委负责同志陪同参加学习考察。考察团首先来到该市珠玑镇，实地考察代表联络室工作运行情况，并查阅有关文档资料，听取工作情况介绍，考察团对该市各镇（街）人大“两室”人员配备、办公配套设施、资料管理及联络室日常运行给予评价。4月15日至16日，肇庆市人大常委会党组书记、常务副主任孙德率领考察学习团一行50多人到南雄市，学习借鉴网络问政工作的先进经验。韶关市人大常委会副主任徐紫玲出席交流座谈会。徐紫玲要求，要把“网络问政”工作纳入各级政府及其职能部门日常工作范畴，建立健全日常考核“在线监督”制度、网上回复警示通报制度、答复质量的答复回访制网民评价制等严密的长效工作机制，推进网络问政制度化建设。在今后的工作中加强经验交流，取长补短，相互促进，提高双方基层人大工作水平，更好地服务服从于经济建设。肇庆市人大常委会党组书记、常务副主任孙德认为南雄市人大有担当、有活力，人大工作有为、法制有力、监督有道，能够严谨法律工作程序，把人大常规工作做出新意，亮点纷呈，在网络问政工作中成绩突出、效果好，希望考察团成员吸收好、消化好考察内容，让南雄人大经验在肇庆开花结果，共同努力推进肇庆地方人大工作迈上新台阶。4月23—24日，江西崇义县人大常委会主任郭兰率考察组一行到南雄学习考察，重点学习借鉴该市人大在监督“一府两院”方面经验和做法。在交流座谈会上，考察组首先观看该市人大工作亮点和人大网络问政等系列视频短片，随后该市人大常委会副主任陈玉英介绍南雄市人大在加强镇（街）人大规范化建设、有效开展对“一府两院”监督以及通过网络问政平台发挥代表作用等方面的基本情况。考察组对该市人大近年来取得的成绩给予评价，该市人大常委会始终坚持依法履行职责，积极作为，开展“三民”活动暨网络问政工作，加强对“一府两院”监督，各项工作有重点、有特色、有亮点，成效显著。考察组一行还到该市部分乡镇及相关考察点，实地考察了解工作运行情况，并听取工作情况介绍。市人大常委会副主任刘宏伟，市人大常委会机关“一室四委”相关负责人陪同参加考察活动。4月下旬，市人大常委会副主任陈玉英深入江头镇江头村开展扶贫工作调研，市人大常委会办公室主任张新及该镇有关领导一同参加调研。活动中，陈玉英向该村“两委”干部详细了解该村当前经济发展情况和帮扶项目运行情况，并共同探讨下一步工作计划。陈玉英对该村为尽早使村民脱贫致富，依靠本村力量，结合各方资源的做法表示充分肯定，同时指出当前扶贫开发工作任重道远，希望村“两委”干部要凝心聚力，一如既往地做好该村扶贫工作，重点改善村容村貌，完善基础设施建设，努力吸纳社会力量参与扶贫开发，争取早日脱贫。5月26日下午，市人大常委会副主任张宗财率调研组到市人民法院就刑事诉讼审判工作情况进行专题调研。调研围绕三项重点工作进行，近两年来刑事诉讼审判及执行的相关情况，尤其是涉及未成年人案件的审理实施情况；在刑事诉讼审判及执行活动中是否存在不严格依法依程序实施的主要问题；刑事诉讼审判及执行活动中严格依法依程序实施需要改正和加强的方面。6月4日，省人大常委会副秘书长黄创强一行在韶关市人大常委会陈早霞等领导的陪同下来到该市，就《广东省信访条例》实施后如何推进人大信访工作及人大网络信访等方面开展专题调研。6月8日至9日，市人大常委会副主任陈玉英率调研组深入该</w:t>
      </w:r>
      <w:bookmarkStart w:id="2" w:name="_GoBack"/>
      <w:r>
        <w:rPr>
          <w:rFonts w:hint="eastAsia" w:hAnsi="宋体" w:cs="宋体"/>
          <w:highlight w:val="none"/>
        </w:rPr>
        <w:t>市政法委</w:t>
      </w:r>
      <w:bookmarkEnd w:id="2"/>
      <w:r>
        <w:rPr>
          <w:rFonts w:hint="eastAsia" w:hAnsi="宋体" w:cs="宋体"/>
          <w:highlight w:val="none"/>
        </w:rPr>
        <w:t>、信访局、司法局、珠玑镇、湖口镇等单位，对该市司法局工作进行专题调研。6月9日至10日，市人大常委会副主任陈培兰率第三调研组，深入到市农业局、环保局、雄州街道、乌迳镇及南亩镇等单位，就环保局工作情况进行专项调研。为加快推进“五小”惠民项目建设，7月7日下午，市人大常委会副主任张宗财到挂点村珠玑镇泰源村进行调研指导。市人大选联任工委主任赖长林、市体育局局长吴林山、珠玑镇镇长黄德忠以及泰源村委干部等陪同调研。7月14日，市人大常委会副主任陈玉英深入到江头镇南甫村，实地调研指导软弱涣散村党组织整顿工作。市人大常委会办公室主任张新，江头镇政府、市第二中学主要领导一起陪同调研。7月14日，市人大常委会副主任陈玉英到挂点的南亩镇进行工作调研，指导该镇找准农村经济项目的发展路子，为群众多办好事实事。市人大常委会办公室主任张新一起陪同调研。7月22日、23日，市人大常委会副主任张宗财率市人大调研组先后到市人民法院、湖口人民法庭，就法院的民事审判工作情况进行专题调研。调研组先后听取市人民法院副院长彭小梅，民事第一、第二、第三审判庭和3个基层人民法庭负责人的情况汇报，并与部分基层司法所长、市人大代表、镇村干部就民事审判工作进行座谈。加强党风廉政建设，提高党员干部职工的拒腐防变能力，激发爱岗敬业的工作热情，永葆共产党人的浩然正气。9月7日，江西信丰县人大常委会副主任沈君兰率考察团到该市考察学习，就园区建设和招商引资工作与市领导进行深入交流。在交流座谈会上，沈君兰一行详细了解企业从入驻南雄到建设投产的全过程，以及南雄市在招商引资、政府服务方面的具体做法，并一同观看南雄市园区开发建设视频短片，就加快园区建设和招商引资工作进行交流探讨。9月8日，市委书记、市人大常委会主任曾风保率队来到坪田镇调研银杏旅游项目建设进展情况。市领导黄德群、李海霞、陈玉英、刘宏伟，市财政、交通、旅游、住建、农业等单位负责同志一同参加调研活动。市委书记、市人大常委会主任曾风保要求各成员单位要继续增强责任感、紧迫感，勇于担当，全力推进工程建设，确保实现“路要顺、景能看、能吃住、心情好”的工作目标，打造一个高标准、高起点、高吸引力的特色旅游景区。9月9日下午，市委副书记、市长王碧安在市政府办公室主任刘先辉等同志的陪同下，来到市人大常委会机关走访调研。9月16日，广州市越秀区人大常委会副主任邱少民率考察组一行到南雄学习考察。根据市人大常委会2015年工作要点安排，9月15至17日，市人大常委会副主任张宗财率执法检查组对该市贯彻实施《中华人民共和国人民警察法》情况进行检查，重点就人民警察队伍建设、执法情况、执法保障，以及贯彻执行《人民警察法》中存在困难和问题进行详细了解并提出相关意见和建议。9月15日，韶关市人大常委会副主任徐紫玲率领调研组一行，来到南雄市园区企业调研园区企业环保建设工作，该市人大常委会副主任刘宏伟陪同调研。徐紫玲指出，园区企业要坚定不移地把环保工作作为园区和谐发展的重要抓手，以环境安全作为园区发展的支撑和保障，始终绷紧环保这根弦不放松，落实好环保各项措施；要切实加强对环保基础设施建设和运营的监管，确保环保设施按规划实施、按标准建设、按规范运行，有效促进园区经济建设与环境保护的和谐发展。9月15日，市人大常委会副主任刘宏伟到坪田调研，现场指导坪田旅游的基础设施建设工作。市人大常委会经济工委主任刘运平、坪田镇主要领导、市住建局规划办相关人员及工程项目部负责人一起陪同。刘宏伟通过实地察看，现场指导该项目建设工作，解决了施工建设中存在的问题。刘宏伟指出，停车场建设工作时间紧迫，施工设计人员要解决好停车场的排水问题，施工单位要严格按照工程规划，抓好工程进度，保证工程质量，在坪田银杏旅游旺季之际确保实现“路要顺、景能看、能吃住、心情好”的工作目标，打造一个特色的旅游景区。9月25日，市人大常委会副主任陈玉英、刘宏伟、李冰率领交通局、农业局、林业局、旅游局、坪田镇、建筑设计院、管委会主要领导来到坪田镇调研指导工作，现场督促检查坪田银杏旅游项目开发建设工作，推动坪田旅游项目进入冲刺阶段的各项任务如期完成，确保实现“路要顺、景能看、能吃住、心情好”的目标。10月20日下午，韶关市人大常委会秘书长高振忠率队到南雄调研中小河流治理工作。南雄市人大常委会副主任刘宏伟，市人大办、经济工委及市水务局等单位领导陪同调研。10月21日，市委书记、市人大常委会主任曾风保率队来到坪田镇现场调研指导银杏旅游开发建设项目。市领导黄德群、陈玉英、刘宏伟、李冰、陈培兰、张宗财，市水务、农业、林业、交通、旅游、电力、设计院、交警、景区管委会和坪田镇等单位负责同志一同参加了调研活动。10月下旬，市人大常委会副主任刘宏伟率调研组，就南雄市十四届人大三次会议《关于加强林业生态建设议案的决议》的工作落实进展情况以及百顺镇观音栋县级自然保护区筹建情况等进行了调研。南雄“银杏染秋”盛宴即将开启，为抢抓时机全力做好坪田银杏旅游交通整治各项工作，11月4日，市人大常委会副主任张宗财率领市人大机关有关委室及公安、交通、景区管委会、坪田镇政府等单位负责同志深入坪田旅游景区现场办公，督导检查道路交通整治工作。11月24日</w:t>
      </w:r>
      <w:r>
        <w:rPr>
          <w:rFonts w:hint="eastAsia" w:hAnsi="宋体" w:cs="宋体"/>
          <w:highlight w:val="none"/>
          <w:lang w:eastAsia="zh-CN"/>
        </w:rPr>
        <w:t>，</w:t>
      </w:r>
      <w:r>
        <w:rPr>
          <w:rFonts w:hint="eastAsia" w:hAnsi="宋体" w:cs="宋体"/>
          <w:highlight w:val="none"/>
        </w:rPr>
        <w:t>韶关市人大常委会副秘书长陈曦率调研组到南雄市就《韶关市制定地方性法规条例（草案）》进行立法调研。市人大常委会副主任张宗财，市人大常委会内司工委、市法制局、市司法局、市普法办等单位负责同志及部分韶关市人大代表参加调研座谈会。会上，韶关市人大常委会副秘书长陈曦作条例草案的起草说明，并解读条例草案文本，与会人员就条例草案内容进行交流探讨，提出修改意见和建议。调研组表示</w:t>
      </w:r>
      <w:r>
        <w:rPr>
          <w:rFonts w:hint="eastAsia" w:hAnsi="宋体" w:cs="宋体"/>
          <w:highlight w:val="none"/>
          <w:lang w:eastAsia="zh-CN"/>
        </w:rPr>
        <w:t>，</w:t>
      </w:r>
      <w:r>
        <w:rPr>
          <w:rFonts w:hint="eastAsia" w:hAnsi="宋体" w:cs="宋体"/>
          <w:highlight w:val="none"/>
        </w:rPr>
        <w:t>会后汇总梳理，研究归纳，完善到条例草案中去。11月27日，市人大常委会组织省、韶关市、南雄市三级人大代表70多人分成3个视察组，对市人民政府在市十四届人大五次会议上承诺的“九件实事”落实进展情况进行视察。12月2日，阳江市阳东区人大常委会农村工委主任杨华尚率考察组到该市，重点围绕人大代表议案建议督办工作进行学习考察。该市人大常委会代表议案建议督办小组有关成员参加交流座谈会。为加强与人大代表的联系，12月1日，韶关市人大常委会代理主任李石保、秘书长高振忠及有关工委室负责人一行到南雄走访省人大代表。市委书记、市人大常委会主任曾风保，市委常委、市委办主任黄德群，市人大常委会副主任陈玉英等领导陪同走访。按照市人大常委会工作部署，12月中下旬，市人大常委会成立多个调研组，分别由副主任陈玉英、刘宏伟、李冰、陈培兰、张宗财等领导带队，对该市“十二五”规划执行情况与“十三五”规划编制情况进行调研。调研组深入该市部分市直单位，通过座谈交流、听取汇报、实地查看、查阅相关资料等形式了解有关情况。各调研单位围绕调研主题，结合本部门工作，畅所欲言，献计献策，提出很多建设性意见和建议。通过调研，调研组对该市“十二五”规划主要指标、目标任务、重点项目执行情况以及“十三五”规划的总体思路、主要目标和工作具体部署了解。12月18日，市人大常委会副主任陈玉英带领市大办、市政府办等单位负责同志，深入挂点联系企业南雄市科大科技有限公司和古寨沟酒业，了解企业及产业发展状况，征求意见建议，帮助企业解决实际困难。12月25日上午，市人大常委会副主任陈玉英率检查组对市司法局工作评议意见整改情况进行跟踪检查，了解市司法局落实市十四届人大常委会第三十六次会议对市司法局工作评议意见情况，督促市司法局加强自身建设、增强服务意识、提高工作水平，推动全市司法行政工作上新台阶。</w:t>
      </w:r>
      <w:r>
        <w:rPr>
          <w:rFonts w:hint="eastAsia" w:hAnsi="宋体" w:cs="宋体"/>
          <w:highlight w:val="none"/>
          <w:lang w:eastAsia="zh-CN"/>
        </w:rPr>
        <w:t>（</w:t>
      </w:r>
      <w:r>
        <w:rPr>
          <w:rFonts w:hint="eastAsia" w:hAnsi="宋体" w:cs="宋体"/>
          <w:highlight w:val="none"/>
        </w:rPr>
        <w:t>刘世春）</w:t>
      </w:r>
    </w:p>
    <w:p w14:paraId="46D27278">
      <w:pPr>
        <w:bidi w:val="0"/>
        <w:rPr>
          <w:rFonts w:hint="eastAsia"/>
          <w:highlight w:val="none"/>
        </w:rPr>
      </w:pPr>
      <w:r>
        <w:rPr>
          <w:rFonts w:hint="eastAsia"/>
          <w:highlight w:val="none"/>
        </w:rPr>
        <w:t>附：2015年市人大常委会办公室、各工委领导班子成员名单</w:t>
      </w:r>
    </w:p>
    <w:p w14:paraId="5DA51840">
      <w:pPr>
        <w:rPr>
          <w:rFonts w:hint="eastAsia" w:hAnsi="宋体" w:cs="宋体"/>
          <w:highlight w:val="none"/>
        </w:rPr>
      </w:pPr>
      <w:r>
        <w:rPr>
          <w:rFonts w:hint="eastAsia" w:hAnsi="宋体" w:cs="宋体"/>
          <w:highlight w:val="none"/>
        </w:rPr>
        <w:t>办公室主任：张新</w:t>
      </w:r>
    </w:p>
    <w:p w14:paraId="525FC841">
      <w:pPr>
        <w:rPr>
          <w:rFonts w:hint="eastAsia" w:hAnsi="宋体" w:cs="宋体"/>
          <w:highlight w:val="none"/>
        </w:rPr>
      </w:pPr>
      <w:r>
        <w:rPr>
          <w:rFonts w:hint="eastAsia" w:hAnsi="宋体" w:cs="宋体"/>
          <w:highlight w:val="none"/>
        </w:rPr>
        <w:t>副主任：黄泰昌 杨珂</w:t>
      </w:r>
    </w:p>
    <w:p w14:paraId="05188AB8">
      <w:pPr>
        <w:rPr>
          <w:rFonts w:hint="eastAsia" w:hAnsi="宋体" w:cs="宋体"/>
          <w:highlight w:val="none"/>
        </w:rPr>
      </w:pPr>
      <w:r>
        <w:rPr>
          <w:rFonts w:hint="eastAsia" w:hAnsi="宋体" w:cs="宋体"/>
          <w:highlight w:val="none"/>
        </w:rPr>
        <w:t>内司工委主任：陈焱煌</w:t>
      </w:r>
    </w:p>
    <w:p w14:paraId="69B7CD13">
      <w:pPr>
        <w:rPr>
          <w:rFonts w:hint="eastAsia" w:hAnsi="宋体" w:cs="宋体"/>
          <w:highlight w:val="none"/>
        </w:rPr>
      </w:pPr>
      <w:r>
        <w:rPr>
          <w:rFonts w:hint="eastAsia" w:hAnsi="宋体" w:cs="宋体"/>
          <w:highlight w:val="none"/>
        </w:rPr>
        <w:t>副主任：何金生</w:t>
      </w:r>
    </w:p>
    <w:p w14:paraId="2F7D4DCF">
      <w:pPr>
        <w:rPr>
          <w:rFonts w:hint="eastAsia" w:hAnsi="宋体" w:cs="宋体"/>
          <w:highlight w:val="none"/>
        </w:rPr>
      </w:pPr>
      <w:r>
        <w:rPr>
          <w:rFonts w:hint="eastAsia" w:hAnsi="宋体" w:cs="宋体"/>
          <w:highlight w:val="none"/>
        </w:rPr>
        <w:t>经济工委主任：刘运平</w:t>
      </w:r>
    </w:p>
    <w:p w14:paraId="2D167C1E">
      <w:pPr>
        <w:rPr>
          <w:rFonts w:hint="eastAsia" w:hAnsi="宋体" w:cs="宋体"/>
          <w:highlight w:val="none"/>
        </w:rPr>
      </w:pPr>
      <w:r>
        <w:rPr>
          <w:rFonts w:hint="eastAsia" w:hAnsi="宋体" w:cs="宋体"/>
          <w:highlight w:val="none"/>
        </w:rPr>
        <w:t>副主任：曾昭雄 陈健生</w:t>
      </w:r>
    </w:p>
    <w:p w14:paraId="410470F0">
      <w:pPr>
        <w:rPr>
          <w:rFonts w:hint="eastAsia" w:hAnsi="宋体" w:cs="宋体"/>
          <w:highlight w:val="none"/>
        </w:rPr>
      </w:pPr>
      <w:r>
        <w:rPr>
          <w:rFonts w:hint="eastAsia" w:hAnsi="宋体" w:cs="宋体"/>
          <w:highlight w:val="none"/>
        </w:rPr>
        <w:t>教科文卫工委主任：董圣国</w:t>
      </w:r>
    </w:p>
    <w:p w14:paraId="04A1D832">
      <w:pPr>
        <w:rPr>
          <w:rFonts w:hint="eastAsia" w:hAnsi="宋体" w:cs="宋体"/>
          <w:highlight w:val="none"/>
        </w:rPr>
      </w:pPr>
      <w:r>
        <w:rPr>
          <w:rFonts w:hint="eastAsia" w:hAnsi="宋体" w:cs="宋体"/>
          <w:highlight w:val="none"/>
        </w:rPr>
        <w:t>选联任工委主任：赖长林</w:t>
      </w:r>
    </w:p>
    <w:p w14:paraId="1E75AFE8">
      <w:pPr>
        <w:rPr>
          <w:rFonts w:hint="eastAsia" w:hAnsi="宋体" w:cs="宋体"/>
          <w:highlight w:val="none"/>
        </w:rPr>
      </w:pPr>
      <w:r>
        <w:rPr>
          <w:rFonts w:hint="eastAsia" w:hAnsi="宋体" w:cs="宋体"/>
          <w:highlight w:val="none"/>
        </w:rPr>
        <w:t>副主任：李文丽</w:t>
      </w:r>
    </w:p>
    <w:p w14:paraId="24E01CE6">
      <w:pPr>
        <w:pStyle w:val="2"/>
        <w:rPr>
          <w:rFonts w:hint="eastAsia"/>
          <w:highlight w:val="none"/>
        </w:rPr>
      </w:pPr>
      <w:r>
        <w:rPr>
          <w:highlight w:val="none"/>
        </w:rPr>
        <w:br w:type="page"/>
      </w:r>
      <w:r>
        <w:rPr>
          <w:rFonts w:hint="eastAsia"/>
          <w:highlight w:val="none"/>
        </w:rPr>
        <w:t>南雄市人民政府</w:t>
      </w:r>
    </w:p>
    <w:p w14:paraId="1433CB8D">
      <w:pPr>
        <w:pStyle w:val="3"/>
        <w:bidi w:val="0"/>
        <w:rPr>
          <w:rFonts w:hint="eastAsia"/>
          <w:highlight w:val="none"/>
        </w:rPr>
      </w:pPr>
      <w:r>
        <w:rPr>
          <w:rFonts w:hint="eastAsia"/>
          <w:highlight w:val="none"/>
        </w:rPr>
        <w:t>综述</w:t>
      </w:r>
    </w:p>
    <w:p w14:paraId="2AA678C1">
      <w:pPr>
        <w:rPr>
          <w:rFonts w:hint="eastAsia" w:hAnsi="宋体" w:cs="宋体"/>
          <w:highlight w:val="none"/>
        </w:rPr>
      </w:pPr>
      <w:r>
        <w:rPr>
          <w:rFonts w:hint="eastAsia" w:hAnsi="宋体" w:cs="宋体"/>
          <w:highlight w:val="none"/>
        </w:rPr>
        <w:t>在市委的正确领导和市人大、市政协的监督支持下，全市上下贯彻落实习近平总书记系列重要讲话精神及省、韶关市的决策部署，抢抓原中央苏区县等重大政策机遇，加快推进工业强市等六大战略，完成地区生产总值125亿元、增长10</w:t>
      </w:r>
      <w:r>
        <w:rPr>
          <w:rFonts w:hint="eastAsia" w:ascii="MingLiU_HKSCS" w:hAnsi="MingLiU_HKSCS" w:eastAsia="MingLiU_HKSCS" w:cs="MingLiU_HKSCS"/>
          <w:highlight w:val="none"/>
        </w:rPr>
        <w:t>.</w:t>
      </w:r>
      <w:r>
        <w:rPr>
          <w:rFonts w:hint="eastAsia" w:hAnsi="宋体" w:cs="宋体"/>
          <w:highlight w:val="none"/>
        </w:rPr>
        <w:t>2%，增速在韶关各县（市、区）排名第二，固定资产投资106</w:t>
      </w:r>
      <w:r>
        <w:rPr>
          <w:rFonts w:hint="eastAsia" w:ascii="MingLiU_HKSCS" w:hAnsi="MingLiU_HKSCS" w:eastAsia="MingLiU_HKSCS" w:cs="MingLiU_HKSCS"/>
          <w:highlight w:val="none"/>
        </w:rPr>
        <w:t>.</w:t>
      </w:r>
      <w:r>
        <w:rPr>
          <w:rFonts w:hint="eastAsia" w:hAnsi="宋体" w:cs="宋体"/>
          <w:highlight w:val="none"/>
        </w:rPr>
        <w:t>9亿元、增长16</w:t>
      </w:r>
      <w:r>
        <w:rPr>
          <w:rFonts w:hint="eastAsia" w:ascii="MingLiU_HKSCS" w:hAnsi="MingLiU_HKSCS" w:eastAsia="MingLiU_HKSCS" w:cs="MingLiU_HKSCS"/>
          <w:highlight w:val="none"/>
        </w:rPr>
        <w:t>.</w:t>
      </w:r>
      <w:r>
        <w:rPr>
          <w:rFonts w:hint="eastAsia" w:hAnsi="宋体" w:cs="宋体"/>
          <w:highlight w:val="none"/>
        </w:rPr>
        <w:t>4%，三次产业结构调整为20</w:t>
      </w:r>
      <w:r>
        <w:rPr>
          <w:rFonts w:hint="eastAsia" w:ascii="MingLiU_HKSCS" w:hAnsi="MingLiU_HKSCS" w:eastAsia="MingLiU_HKSCS" w:cs="MingLiU_HKSCS"/>
          <w:highlight w:val="none"/>
        </w:rPr>
        <w:t>.</w:t>
      </w:r>
      <w:r>
        <w:rPr>
          <w:rFonts w:hint="eastAsia" w:hAnsi="宋体" w:cs="宋体"/>
          <w:highlight w:val="none"/>
        </w:rPr>
        <w:t>7 ∶40</w:t>
      </w:r>
      <w:r>
        <w:rPr>
          <w:rFonts w:hint="eastAsia" w:ascii="MingLiU_HKSCS" w:hAnsi="MingLiU_HKSCS" w:eastAsia="MingLiU_HKSCS" w:cs="MingLiU_HKSCS"/>
          <w:highlight w:val="none"/>
        </w:rPr>
        <w:t>.</w:t>
      </w:r>
      <w:r>
        <w:rPr>
          <w:rFonts w:hint="eastAsia" w:hAnsi="宋体" w:cs="宋体"/>
          <w:highlight w:val="none"/>
        </w:rPr>
        <w:t>1 ∶39</w:t>
      </w:r>
      <w:r>
        <w:rPr>
          <w:rFonts w:hint="eastAsia" w:ascii="MingLiU_HKSCS" w:hAnsi="MingLiU_HKSCS" w:eastAsia="MingLiU_HKSCS" w:cs="MingLiU_HKSCS"/>
          <w:highlight w:val="none"/>
        </w:rPr>
        <w:t>.</w:t>
      </w:r>
      <w:r>
        <w:rPr>
          <w:rFonts w:hint="eastAsia" w:hAnsi="宋体" w:cs="宋体"/>
          <w:highlight w:val="none"/>
        </w:rPr>
        <w:t>2。</w:t>
      </w:r>
    </w:p>
    <w:p w14:paraId="53996B98">
      <w:pPr>
        <w:pStyle w:val="3"/>
        <w:bidi w:val="0"/>
        <w:rPr>
          <w:rFonts w:hint="eastAsia"/>
          <w:highlight w:val="none"/>
        </w:rPr>
      </w:pPr>
      <w:r>
        <w:rPr>
          <w:rFonts w:hint="eastAsia"/>
          <w:highlight w:val="none"/>
        </w:rPr>
        <w:t>重要政务</w:t>
      </w:r>
    </w:p>
    <w:p w14:paraId="1DFC6520">
      <w:pPr>
        <w:pStyle w:val="4"/>
        <w:bidi w:val="0"/>
        <w:rPr>
          <w:rFonts w:hint="eastAsia"/>
          <w:highlight w:val="none"/>
        </w:rPr>
      </w:pPr>
      <w:r>
        <w:rPr>
          <w:rFonts w:hint="eastAsia"/>
          <w:highlight w:val="none"/>
        </w:rPr>
        <w:t>【工业强市效应提升】</w:t>
      </w:r>
    </w:p>
    <w:p w14:paraId="0A9C6D26">
      <w:pPr>
        <w:rPr>
          <w:rFonts w:hint="eastAsia" w:hAnsi="宋体" w:cs="宋体"/>
          <w:highlight w:val="none"/>
        </w:rPr>
      </w:pPr>
      <w:r>
        <w:rPr>
          <w:rFonts w:hint="eastAsia" w:hAnsi="宋体" w:cs="宋体"/>
          <w:highlight w:val="none"/>
        </w:rPr>
        <w:t>完成工业总产值163</w:t>
      </w:r>
      <w:r>
        <w:rPr>
          <w:rFonts w:hint="eastAsia" w:ascii="MingLiU_HKSCS" w:hAnsi="MingLiU_HKSCS" w:eastAsia="MingLiU_HKSCS" w:cs="MingLiU_HKSCS"/>
          <w:highlight w:val="none"/>
        </w:rPr>
        <w:t>.</w:t>
      </w:r>
      <w:r>
        <w:rPr>
          <w:rFonts w:hint="eastAsia" w:hAnsi="宋体" w:cs="宋体"/>
          <w:highlight w:val="none"/>
        </w:rPr>
        <w:t>4亿元、增长18</w:t>
      </w:r>
      <w:r>
        <w:rPr>
          <w:rFonts w:hint="eastAsia" w:ascii="MingLiU_HKSCS" w:hAnsi="MingLiU_HKSCS" w:eastAsia="MingLiU_HKSCS" w:cs="MingLiU_HKSCS"/>
          <w:highlight w:val="none"/>
        </w:rPr>
        <w:t>.</w:t>
      </w:r>
      <w:r>
        <w:rPr>
          <w:rFonts w:hint="eastAsia" w:hAnsi="宋体" w:cs="宋体"/>
          <w:highlight w:val="none"/>
        </w:rPr>
        <w:t>9%，完成工业增加值41</w:t>
      </w:r>
      <w:r>
        <w:rPr>
          <w:rFonts w:hint="eastAsia" w:ascii="MingLiU_HKSCS" w:hAnsi="MingLiU_HKSCS" w:eastAsia="MingLiU_HKSCS" w:cs="MingLiU_HKSCS"/>
          <w:highlight w:val="none"/>
        </w:rPr>
        <w:t>.</w:t>
      </w:r>
      <w:r>
        <w:rPr>
          <w:rFonts w:hint="eastAsia" w:hAnsi="宋体" w:cs="宋体"/>
          <w:highlight w:val="none"/>
        </w:rPr>
        <w:t>1亿元、增长17</w:t>
      </w:r>
      <w:r>
        <w:rPr>
          <w:rFonts w:hint="eastAsia" w:ascii="MingLiU_HKSCS" w:hAnsi="MingLiU_HKSCS" w:eastAsia="MingLiU_HKSCS" w:cs="MingLiU_HKSCS"/>
          <w:highlight w:val="none"/>
        </w:rPr>
        <w:t>.</w:t>
      </w:r>
      <w:r>
        <w:rPr>
          <w:rFonts w:hint="eastAsia" w:hAnsi="宋体" w:cs="宋体"/>
          <w:highlight w:val="none"/>
        </w:rPr>
        <w:t>8%。华电南雄热电联产、彤置富水泥、犁牛坪风电、珠玑纸业本色纸等重点项目顺利推进，绿洲纸模、乐华陶瓷等重点企业深抓技改扩产。园区一期投试产企业85家，规模以上工业企业65家，完成工业总产值123亿元，完成工业增加值30</w:t>
      </w:r>
      <w:r>
        <w:rPr>
          <w:rFonts w:hint="eastAsia" w:ascii="MingLiU_HKSCS" w:hAnsi="MingLiU_HKSCS" w:eastAsia="MingLiU_HKSCS" w:cs="MingLiU_HKSCS"/>
          <w:highlight w:val="none"/>
        </w:rPr>
        <w:t>.</w:t>
      </w:r>
      <w:r>
        <w:rPr>
          <w:rFonts w:hint="eastAsia" w:hAnsi="宋体" w:cs="宋体"/>
          <w:highlight w:val="none"/>
        </w:rPr>
        <w:t>1亿元，二期成功扩园，配套设施日趋完善。</w:t>
      </w:r>
    </w:p>
    <w:p w14:paraId="20E629BE">
      <w:pPr>
        <w:pStyle w:val="4"/>
        <w:bidi w:val="0"/>
        <w:rPr>
          <w:rFonts w:hint="eastAsia"/>
          <w:highlight w:val="none"/>
        </w:rPr>
      </w:pPr>
      <w:r>
        <w:rPr>
          <w:rFonts w:hint="eastAsia"/>
          <w:highlight w:val="none"/>
        </w:rPr>
        <w:t>【第三产业持续兴旺】</w:t>
      </w:r>
    </w:p>
    <w:p w14:paraId="1B59500C">
      <w:pPr>
        <w:rPr>
          <w:rFonts w:hint="eastAsia" w:hAnsi="宋体" w:cs="宋体"/>
          <w:highlight w:val="none"/>
        </w:rPr>
      </w:pPr>
      <w:r>
        <w:rPr>
          <w:rFonts w:hint="eastAsia" w:hAnsi="宋体" w:cs="宋体"/>
          <w:highlight w:val="none"/>
        </w:rPr>
        <w:t>两岸花博园、邓坊泉水谷漂流等旅游重点项目建成开业，形成珠玑·梅岭文化、主田生态休闲和帽子峰—坪田生态体验旅游片区，全年接待游客337万人次，增长21</w:t>
      </w:r>
      <w:r>
        <w:rPr>
          <w:rFonts w:hint="eastAsia" w:ascii="MingLiU_HKSCS" w:hAnsi="MingLiU_HKSCS" w:eastAsia="MingLiU_HKSCS" w:cs="MingLiU_HKSCS"/>
          <w:highlight w:val="none"/>
        </w:rPr>
        <w:t>.</w:t>
      </w:r>
      <w:r>
        <w:rPr>
          <w:rFonts w:hint="eastAsia" w:hAnsi="宋体" w:cs="宋体"/>
          <w:highlight w:val="none"/>
        </w:rPr>
        <w:t>7%。被评为全国休闲农业与乡村旅游示范县。建成大润发、大市场等一批大型消费平台，全年社会消费品零售总额45</w:t>
      </w:r>
      <w:r>
        <w:rPr>
          <w:rFonts w:hint="eastAsia" w:ascii="MingLiU_HKSCS" w:hAnsi="MingLiU_HKSCS" w:eastAsia="MingLiU_HKSCS" w:cs="MingLiU_HKSCS"/>
          <w:highlight w:val="none"/>
        </w:rPr>
        <w:t>.</w:t>
      </w:r>
      <w:r>
        <w:rPr>
          <w:rFonts w:hint="eastAsia" w:hAnsi="宋体" w:cs="宋体"/>
          <w:highlight w:val="none"/>
        </w:rPr>
        <w:t>6亿元，增长11</w:t>
      </w:r>
      <w:r>
        <w:rPr>
          <w:rFonts w:hint="eastAsia" w:ascii="MingLiU_HKSCS" w:hAnsi="MingLiU_HKSCS" w:eastAsia="MingLiU_HKSCS" w:cs="MingLiU_HKSCS"/>
          <w:highlight w:val="none"/>
        </w:rPr>
        <w:t>.</w:t>
      </w:r>
      <w:r>
        <w:rPr>
          <w:rFonts w:hint="eastAsia" w:hAnsi="宋体" w:cs="宋体"/>
          <w:highlight w:val="none"/>
        </w:rPr>
        <w:t>1%。电子商务新型业态获得扶持资金2000万元，被列为国家电子商务进农村综合示范县。金融机构各项贷款年末余额49</w:t>
      </w:r>
      <w:r>
        <w:rPr>
          <w:rFonts w:hint="eastAsia" w:ascii="MingLiU_HKSCS" w:hAnsi="MingLiU_HKSCS" w:eastAsia="MingLiU_HKSCS" w:cs="MingLiU_HKSCS"/>
          <w:highlight w:val="none"/>
        </w:rPr>
        <w:t>.</w:t>
      </w:r>
      <w:r>
        <w:rPr>
          <w:rFonts w:hint="eastAsia" w:hAnsi="宋体" w:cs="宋体"/>
          <w:highlight w:val="none"/>
        </w:rPr>
        <w:t>6亿元，农村普惠金融试点通过广东省验收。</w:t>
      </w:r>
    </w:p>
    <w:p w14:paraId="5EE4A093">
      <w:pPr>
        <w:pStyle w:val="4"/>
        <w:bidi w:val="0"/>
        <w:rPr>
          <w:rFonts w:hint="eastAsia"/>
          <w:highlight w:val="none"/>
        </w:rPr>
      </w:pPr>
      <w:r>
        <w:rPr>
          <w:rFonts w:hint="eastAsia"/>
          <w:highlight w:val="none"/>
        </w:rPr>
        <w:t>【农业经济】</w:t>
      </w:r>
    </w:p>
    <w:p w14:paraId="0C485CFB">
      <w:pPr>
        <w:rPr>
          <w:rFonts w:hint="eastAsia" w:hAnsi="宋体" w:cs="宋体"/>
          <w:highlight w:val="none"/>
        </w:rPr>
      </w:pPr>
      <w:r>
        <w:rPr>
          <w:rFonts w:hint="eastAsia" w:hAnsi="宋体" w:cs="宋体"/>
          <w:highlight w:val="none"/>
        </w:rPr>
        <w:t>完成农业总产值41</w:t>
      </w:r>
      <w:r>
        <w:rPr>
          <w:rFonts w:hint="eastAsia" w:ascii="MingLiU_HKSCS" w:hAnsi="MingLiU_HKSCS" w:eastAsia="MingLiU_HKSCS" w:cs="MingLiU_HKSCS"/>
          <w:highlight w:val="none"/>
        </w:rPr>
        <w:t>.</w:t>
      </w:r>
      <w:r>
        <w:rPr>
          <w:rFonts w:hint="eastAsia" w:hAnsi="宋体" w:cs="宋体"/>
          <w:highlight w:val="none"/>
        </w:rPr>
        <w:t>9亿元，增长4%，实现农业增加值25</w:t>
      </w:r>
      <w:r>
        <w:rPr>
          <w:rFonts w:hint="eastAsia" w:ascii="MingLiU_HKSCS" w:hAnsi="MingLiU_HKSCS" w:eastAsia="MingLiU_HKSCS" w:cs="MingLiU_HKSCS"/>
          <w:highlight w:val="none"/>
        </w:rPr>
        <w:t>.</w:t>
      </w:r>
      <w:r>
        <w:rPr>
          <w:rFonts w:hint="eastAsia" w:hAnsi="宋体" w:cs="宋体"/>
          <w:highlight w:val="none"/>
        </w:rPr>
        <w:t>9亿元，增长4</w:t>
      </w:r>
      <w:r>
        <w:rPr>
          <w:rFonts w:hint="eastAsia" w:ascii="MingLiU_HKSCS" w:hAnsi="MingLiU_HKSCS" w:eastAsia="MingLiU_HKSCS" w:cs="MingLiU_HKSCS"/>
          <w:highlight w:val="none"/>
        </w:rPr>
        <w:t>.</w:t>
      </w:r>
      <w:r>
        <w:rPr>
          <w:rFonts w:hint="eastAsia" w:hAnsi="宋体" w:cs="宋体"/>
          <w:highlight w:val="none"/>
        </w:rPr>
        <w:t>2%。成功竞得省级新农村示范片建设项目。特色农业、示范性家庭农场、农业龙头企业、农产品加工企业、农民专业合作社有了长足发展，一批农产品获得认证，被评为全国粮食流通监督检查示范县。</w:t>
      </w:r>
    </w:p>
    <w:p w14:paraId="75350ECE">
      <w:pPr>
        <w:pStyle w:val="4"/>
        <w:bidi w:val="0"/>
        <w:rPr>
          <w:rFonts w:hint="eastAsia"/>
          <w:highlight w:val="none"/>
        </w:rPr>
      </w:pPr>
      <w:r>
        <w:rPr>
          <w:rFonts w:hint="eastAsia"/>
          <w:highlight w:val="none"/>
        </w:rPr>
        <w:t>【基础设施】</w:t>
      </w:r>
    </w:p>
    <w:p w14:paraId="235C5985">
      <w:pPr>
        <w:rPr>
          <w:rFonts w:hint="eastAsia" w:hAnsi="宋体" w:cs="宋体"/>
          <w:highlight w:val="none"/>
        </w:rPr>
      </w:pPr>
      <w:r>
        <w:rPr>
          <w:rFonts w:hint="eastAsia" w:hAnsi="宋体" w:cs="宋体"/>
          <w:highlight w:val="none"/>
        </w:rPr>
        <w:t>国道G323线小梅关至头塘铺段升级改造基本完成，富俚至中里洞、主田旅游大道等公路建设快速推进，新建城乡道路近百公里；电网完成投资5300万元；农田水利设施完成投资2</w:t>
      </w:r>
      <w:r>
        <w:rPr>
          <w:rFonts w:hint="eastAsia" w:ascii="MingLiU_HKSCS" w:hAnsi="MingLiU_HKSCS" w:eastAsia="MingLiU_HKSCS" w:cs="MingLiU_HKSCS"/>
          <w:highlight w:val="none"/>
        </w:rPr>
        <w:t>.</w:t>
      </w:r>
      <w:r>
        <w:rPr>
          <w:rFonts w:hint="eastAsia" w:hAnsi="宋体" w:cs="宋体"/>
          <w:highlight w:val="none"/>
        </w:rPr>
        <w:t>3亿元，积极推进灌区节水改造、中小河流治理等36宗水利项目。</w:t>
      </w:r>
    </w:p>
    <w:p w14:paraId="2F6DE46A">
      <w:pPr>
        <w:pStyle w:val="4"/>
        <w:bidi w:val="0"/>
        <w:rPr>
          <w:rFonts w:hint="eastAsia"/>
          <w:highlight w:val="none"/>
        </w:rPr>
      </w:pPr>
      <w:r>
        <w:rPr>
          <w:rFonts w:hint="eastAsia"/>
          <w:highlight w:val="none"/>
        </w:rPr>
        <w:t>【城镇化建设】</w:t>
      </w:r>
    </w:p>
    <w:p w14:paraId="0F5794B5">
      <w:pPr>
        <w:rPr>
          <w:rFonts w:hint="eastAsia" w:hAnsi="宋体" w:cs="宋体"/>
          <w:highlight w:val="none"/>
        </w:rPr>
      </w:pPr>
      <w:r>
        <w:rPr>
          <w:rFonts w:hint="eastAsia" w:hAnsi="宋体" w:cs="宋体"/>
          <w:highlight w:val="none"/>
        </w:rPr>
        <w:t>按照“一园一区一副中心”（产业转移园、北城区、乌迳副中心）思路，全面推进新型城镇化，列入省新型城镇化“2511”综合试点县。中心城区扩容提质步伐加快，北城大道、陵园路扩建等重点工程有序推进。危旧房改造、棚户区改造和“三旧”改造顺利进行。时代广场休闲广场投入使用。雄州公园完成6</w:t>
      </w:r>
      <w:r>
        <w:rPr>
          <w:rFonts w:hint="eastAsia" w:ascii="MingLiU_HKSCS" w:hAnsi="MingLiU_HKSCS" w:eastAsia="MingLiU_HKSCS" w:cs="MingLiU_HKSCS"/>
          <w:highlight w:val="none"/>
        </w:rPr>
        <w:t>.</w:t>
      </w:r>
      <w:r>
        <w:rPr>
          <w:rFonts w:hint="eastAsia" w:hAnsi="宋体" w:cs="宋体"/>
          <w:highlight w:val="none"/>
        </w:rPr>
        <w:t>9公里园路建设，其他配套设施进展加快。大福名城、雄州壹品、时代广场等重点商住项目快速推进。城区面积达到12</w:t>
      </w:r>
      <w:r>
        <w:rPr>
          <w:rFonts w:hint="eastAsia" w:ascii="MingLiU_HKSCS" w:hAnsi="MingLiU_HKSCS" w:eastAsia="MingLiU_HKSCS" w:cs="MingLiU_HKSCS"/>
          <w:highlight w:val="none"/>
        </w:rPr>
        <w:t>.</w:t>
      </w:r>
      <w:r>
        <w:rPr>
          <w:rFonts w:hint="eastAsia" w:hAnsi="宋体" w:cs="宋体"/>
          <w:highlight w:val="none"/>
        </w:rPr>
        <w:t>4平方公里，城镇化率45</w:t>
      </w:r>
      <w:r>
        <w:rPr>
          <w:rFonts w:hint="eastAsia" w:ascii="MingLiU_HKSCS" w:hAnsi="MingLiU_HKSCS" w:eastAsia="MingLiU_HKSCS" w:cs="MingLiU_HKSCS"/>
          <w:highlight w:val="none"/>
        </w:rPr>
        <w:t>.</w:t>
      </w:r>
      <w:r>
        <w:rPr>
          <w:rFonts w:hint="eastAsia" w:hAnsi="宋体" w:cs="宋体"/>
          <w:highlight w:val="none"/>
        </w:rPr>
        <w:t>5%。</w:t>
      </w:r>
    </w:p>
    <w:p w14:paraId="3339FAEE">
      <w:pPr>
        <w:pStyle w:val="4"/>
        <w:bidi w:val="0"/>
        <w:rPr>
          <w:rFonts w:hint="eastAsia"/>
          <w:highlight w:val="none"/>
        </w:rPr>
      </w:pPr>
      <w:r>
        <w:rPr>
          <w:rFonts w:hint="eastAsia"/>
          <w:highlight w:val="none"/>
        </w:rPr>
        <w:t>【生态环境】</w:t>
      </w:r>
    </w:p>
    <w:p w14:paraId="108C91E8">
      <w:pPr>
        <w:rPr>
          <w:rFonts w:hint="eastAsia" w:hAnsi="宋体" w:cs="宋体"/>
          <w:highlight w:val="none"/>
        </w:rPr>
      </w:pPr>
      <w:r>
        <w:rPr>
          <w:rFonts w:hint="eastAsia" w:hAnsi="宋体" w:cs="宋体"/>
          <w:highlight w:val="none"/>
        </w:rPr>
        <w:t>实施生态城乡战略，逐步形成国家重点生态功能区。建立县级自然保护区2个、湿地公园1个，面积达8</w:t>
      </w:r>
      <w:r>
        <w:rPr>
          <w:rFonts w:hint="eastAsia" w:ascii="MingLiU_HKSCS" w:hAnsi="MingLiU_HKSCS" w:eastAsia="MingLiU_HKSCS" w:cs="MingLiU_HKSCS"/>
          <w:highlight w:val="none"/>
        </w:rPr>
        <w:t>.</w:t>
      </w:r>
      <w:r>
        <w:rPr>
          <w:rFonts w:hint="eastAsia" w:hAnsi="宋体" w:cs="宋体"/>
          <w:highlight w:val="none"/>
        </w:rPr>
        <w:t>8万亩以上，森林覆盖率达66</w:t>
      </w:r>
      <w:r>
        <w:rPr>
          <w:rFonts w:hint="eastAsia" w:ascii="MingLiU_HKSCS" w:hAnsi="MingLiU_HKSCS" w:eastAsia="MingLiU_HKSCS" w:cs="MingLiU_HKSCS"/>
          <w:highlight w:val="none"/>
        </w:rPr>
        <w:t>.</w:t>
      </w:r>
      <w:r>
        <w:rPr>
          <w:rFonts w:hint="eastAsia" w:hAnsi="宋体" w:cs="宋体"/>
          <w:highlight w:val="none"/>
        </w:rPr>
        <w:t>8%。建成珠玑、黄坑、乌迳3个中心镇污水处理厂和城市生活无害化垃圾填埋场，关停28家环境敏感区域的养殖企业。投入6000多万元，完善市镇村三级垃圾处理设施，全面开展生活垃圾综合整治。</w:t>
      </w:r>
    </w:p>
    <w:p w14:paraId="481735BC">
      <w:pPr>
        <w:pStyle w:val="4"/>
        <w:bidi w:val="0"/>
        <w:rPr>
          <w:rFonts w:hint="eastAsia"/>
          <w:highlight w:val="none"/>
        </w:rPr>
      </w:pPr>
      <w:r>
        <w:rPr>
          <w:rFonts w:hint="eastAsia"/>
          <w:highlight w:val="none"/>
        </w:rPr>
        <w:t>【机构改革】</w:t>
      </w:r>
    </w:p>
    <w:p w14:paraId="087A7DA9">
      <w:pPr>
        <w:rPr>
          <w:rFonts w:hint="eastAsia" w:hAnsi="宋体" w:cs="宋体"/>
          <w:highlight w:val="none"/>
        </w:rPr>
      </w:pPr>
      <w:r>
        <w:rPr>
          <w:rFonts w:hint="eastAsia" w:hAnsi="宋体" w:cs="宋体"/>
          <w:highlight w:val="none"/>
        </w:rPr>
        <w:t>完成经信、商务、市场监管等机构改革，完成全口径财政预算和公车改革，规范公务员津补贴，加强镇（街道</w:t>
      </w:r>
      <w:r>
        <w:rPr>
          <w:rFonts w:hint="eastAsia" w:hAnsi="宋体" w:cs="宋体"/>
          <w:highlight w:val="none"/>
          <w:lang w:eastAsia="zh-CN"/>
        </w:rPr>
        <w:t>）</w:t>
      </w:r>
      <w:r>
        <w:rPr>
          <w:rFonts w:hint="eastAsia" w:hAnsi="宋体" w:cs="宋体"/>
          <w:highlight w:val="none"/>
        </w:rPr>
        <w:t>经济社会科学发展和市直单位绩效考核，成立韶关首个不动产登记中心。推行权责清单制度，调整39个市直部门6746项行政职权事项。推进商事登记制度改革，新发展各类市场经营主体1560户。以PPP模式，推进北城区等重大项目建设。城乡建设用地增减挂钩试点完成拆旧复垦2800亩，获得用地指标2100多亩。</w:t>
      </w:r>
    </w:p>
    <w:p w14:paraId="34F64F67">
      <w:pPr>
        <w:pStyle w:val="4"/>
        <w:bidi w:val="0"/>
        <w:rPr>
          <w:rFonts w:hint="eastAsia"/>
          <w:highlight w:val="none"/>
        </w:rPr>
      </w:pPr>
      <w:r>
        <w:rPr>
          <w:rFonts w:hint="eastAsia"/>
          <w:highlight w:val="none"/>
        </w:rPr>
        <w:t>【对外合作】</w:t>
      </w:r>
    </w:p>
    <w:p w14:paraId="27266183">
      <w:pPr>
        <w:rPr>
          <w:rFonts w:hint="eastAsia" w:hAnsi="宋体" w:cs="宋体"/>
          <w:highlight w:val="none"/>
        </w:rPr>
      </w:pPr>
      <w:r>
        <w:rPr>
          <w:rFonts w:hint="eastAsia" w:hAnsi="宋体" w:cs="宋体"/>
          <w:highlight w:val="none"/>
        </w:rPr>
        <w:t>加强与友好城市澳大利亚高嘉华市、江西周边及省内兄弟县市区在多领域的交流合作。东莞南城·南雄产业帮扶与合作密切加强。成功举办两届姓氏文化旅游节，获“中国姓氏文化名都”称号。与韶关学院、农业发展银行、太平洋建设集团等开展政校、政银企合作，解决人才培养、项目融资难题。全力推动招商引资及对外贸易，引进康绿宝、中能建投新能源、清景旅游、大润发、大市场等一批重大企业项目，由数量招商向质量招商转变。外贸进出口总额1</w:t>
      </w:r>
      <w:r>
        <w:rPr>
          <w:rFonts w:hint="eastAsia" w:ascii="MingLiU_HKSCS" w:hAnsi="MingLiU_HKSCS" w:eastAsia="MingLiU_HKSCS" w:cs="MingLiU_HKSCS"/>
          <w:highlight w:val="none"/>
        </w:rPr>
        <w:t>.</w:t>
      </w:r>
      <w:r>
        <w:rPr>
          <w:rFonts w:hint="eastAsia" w:hAnsi="宋体" w:cs="宋体"/>
          <w:highlight w:val="none"/>
        </w:rPr>
        <w:t>8亿美元，实际利用外资总额9825万美元。广府人海外后裔联谊会、珠玑巷姓氏宗亲平台作用得到充分发挥，乡贤投资项目21个，投资额19</w:t>
      </w:r>
      <w:r>
        <w:rPr>
          <w:rFonts w:hint="eastAsia" w:ascii="MingLiU_HKSCS" w:hAnsi="MingLiU_HKSCS" w:eastAsia="MingLiU_HKSCS" w:cs="MingLiU_HKSCS"/>
          <w:highlight w:val="none"/>
        </w:rPr>
        <w:t>.</w:t>
      </w:r>
      <w:r>
        <w:rPr>
          <w:rFonts w:hint="eastAsia" w:hAnsi="宋体" w:cs="宋体"/>
          <w:highlight w:val="none"/>
        </w:rPr>
        <w:t>7亿元。</w:t>
      </w:r>
    </w:p>
    <w:p w14:paraId="0C5BF754">
      <w:pPr>
        <w:pStyle w:val="4"/>
        <w:bidi w:val="0"/>
        <w:rPr>
          <w:rFonts w:hint="eastAsia"/>
          <w:highlight w:val="none"/>
        </w:rPr>
      </w:pPr>
      <w:r>
        <w:rPr>
          <w:rFonts w:hint="eastAsia"/>
          <w:highlight w:val="none"/>
        </w:rPr>
        <w:t>【人民生活】</w:t>
      </w:r>
    </w:p>
    <w:p w14:paraId="4E6A2770">
      <w:pPr>
        <w:rPr>
          <w:rFonts w:hint="eastAsia" w:hAnsi="宋体" w:cs="宋体"/>
          <w:highlight w:val="none"/>
        </w:rPr>
      </w:pPr>
      <w:r>
        <w:rPr>
          <w:rFonts w:hint="eastAsia" w:hAnsi="宋体" w:cs="宋体"/>
          <w:highlight w:val="none"/>
        </w:rPr>
        <w:t>2015年投入1000万元，建成小公园、小广场、小停车场、小运动场、小菜市场等“五小”场所37个。投入1300多万元，建成路灯1</w:t>
      </w:r>
      <w:r>
        <w:rPr>
          <w:rFonts w:hint="eastAsia" w:ascii="MingLiU_HKSCS" w:hAnsi="MingLiU_HKSCS" w:eastAsia="MingLiU_HKSCS" w:cs="MingLiU_HKSCS"/>
          <w:highlight w:val="none"/>
        </w:rPr>
        <w:t>.</w:t>
      </w:r>
      <w:r>
        <w:rPr>
          <w:rFonts w:hint="eastAsia" w:hAnsi="宋体" w:cs="宋体"/>
          <w:highlight w:val="none"/>
        </w:rPr>
        <w:t>3万盏，实现行政村全覆盖。完成镇（街道）“十个一”（建设好一个小广场、小公园，建设好一条农村路灯，协办好一个姓氏节，打造好一个标兵党组织，找到一条助民致富新路，建设好一个休闲生态农庄，创办好一个农业示范基地，建设好一个老人活动中心或综合便民服务中心，种植好一片生态示范林，创办好一个文明法治新村）项目156个。59个重点帮扶村累计落实资金近5亿元，实施扶贫项目1</w:t>
      </w:r>
      <w:r>
        <w:rPr>
          <w:rFonts w:hint="eastAsia" w:ascii="MingLiU_HKSCS" w:hAnsi="MingLiU_HKSCS" w:eastAsia="MingLiU_HKSCS" w:cs="MingLiU_HKSCS"/>
          <w:highlight w:val="none"/>
        </w:rPr>
        <w:t>.</w:t>
      </w:r>
      <w:r>
        <w:rPr>
          <w:rFonts w:hint="eastAsia" w:hAnsi="宋体" w:cs="宋体"/>
          <w:highlight w:val="none"/>
        </w:rPr>
        <w:t>5万个，贫困村农民人均可支配收入达1</w:t>
      </w:r>
      <w:r>
        <w:rPr>
          <w:rFonts w:hint="eastAsia" w:ascii="MingLiU_HKSCS" w:hAnsi="MingLiU_HKSCS" w:eastAsia="MingLiU_HKSCS" w:cs="MingLiU_HKSCS"/>
          <w:highlight w:val="none"/>
        </w:rPr>
        <w:t>.</w:t>
      </w:r>
      <w:r>
        <w:rPr>
          <w:rFonts w:hint="eastAsia" w:hAnsi="宋体" w:cs="宋体"/>
          <w:highlight w:val="none"/>
        </w:rPr>
        <w:t>2万元。城镇、农村居民人均可支配收入（预计）分别是2</w:t>
      </w:r>
      <w:r>
        <w:rPr>
          <w:rFonts w:hint="eastAsia" w:ascii="MingLiU_HKSCS" w:hAnsi="MingLiU_HKSCS" w:eastAsia="MingLiU_HKSCS" w:cs="MingLiU_HKSCS"/>
          <w:highlight w:val="none"/>
        </w:rPr>
        <w:t>.</w:t>
      </w:r>
      <w:r>
        <w:rPr>
          <w:rFonts w:hint="eastAsia" w:hAnsi="宋体" w:cs="宋体"/>
          <w:highlight w:val="none"/>
        </w:rPr>
        <w:t>1万元和1</w:t>
      </w:r>
      <w:r>
        <w:rPr>
          <w:rFonts w:hint="eastAsia" w:ascii="MingLiU_HKSCS" w:hAnsi="MingLiU_HKSCS" w:eastAsia="MingLiU_HKSCS" w:cs="MingLiU_HKSCS"/>
          <w:highlight w:val="none"/>
        </w:rPr>
        <w:t>.</w:t>
      </w:r>
      <w:r>
        <w:rPr>
          <w:rFonts w:hint="eastAsia" w:hAnsi="宋体" w:cs="宋体"/>
          <w:highlight w:val="none"/>
        </w:rPr>
        <w:t>1万元。民生支出21</w:t>
      </w:r>
      <w:r>
        <w:rPr>
          <w:rFonts w:hint="eastAsia" w:ascii="MingLiU_HKSCS" w:hAnsi="MingLiU_HKSCS" w:eastAsia="MingLiU_HKSCS" w:cs="MingLiU_HKSCS"/>
          <w:highlight w:val="none"/>
        </w:rPr>
        <w:t>.</w:t>
      </w:r>
      <w:r>
        <w:rPr>
          <w:rFonts w:hint="eastAsia" w:hAnsi="宋体" w:cs="宋体"/>
          <w:highlight w:val="none"/>
        </w:rPr>
        <w:t>8亿元，占财政预算支出的78</w:t>
      </w:r>
      <w:r>
        <w:rPr>
          <w:rFonts w:hint="eastAsia" w:ascii="MingLiU_HKSCS" w:hAnsi="MingLiU_HKSCS" w:eastAsia="MingLiU_HKSCS" w:cs="MingLiU_HKSCS"/>
          <w:highlight w:val="none"/>
        </w:rPr>
        <w:t>.</w:t>
      </w:r>
      <w:r>
        <w:rPr>
          <w:rFonts w:hint="eastAsia" w:hAnsi="宋体" w:cs="宋体"/>
          <w:highlight w:val="none"/>
        </w:rPr>
        <w:t>6%。医疗保险覆盖率为100%，养老、失业、工伤、生育等险种覆盖面稳步提高，建成11个农村居家养老服务中心。城镇登记失业率控制在2</w:t>
      </w:r>
      <w:r>
        <w:rPr>
          <w:rFonts w:hint="eastAsia" w:ascii="MingLiU_HKSCS" w:hAnsi="MingLiU_HKSCS" w:eastAsia="MingLiU_HKSCS" w:cs="MingLiU_HKSCS"/>
          <w:highlight w:val="none"/>
        </w:rPr>
        <w:t>.</w:t>
      </w:r>
      <w:r>
        <w:rPr>
          <w:rFonts w:hint="eastAsia" w:hAnsi="宋体" w:cs="宋体"/>
          <w:highlight w:val="none"/>
        </w:rPr>
        <w:t>3%以内，成功创建第十届省双拥模范县</w:t>
      </w:r>
      <w:r>
        <w:rPr>
          <w:rFonts w:hint="eastAsia" w:hAnsi="宋体" w:cs="宋体"/>
          <w:highlight w:val="none"/>
          <w:lang w:eastAsia="zh-CN"/>
        </w:rPr>
        <w:t>（</w:t>
      </w:r>
      <w:r>
        <w:rPr>
          <w:rFonts w:hint="eastAsia" w:hAnsi="宋体" w:cs="宋体"/>
          <w:highlight w:val="none"/>
        </w:rPr>
        <w:t>市</w:t>
      </w:r>
      <w:r>
        <w:rPr>
          <w:rFonts w:hint="eastAsia" w:hAnsi="宋体" w:cs="宋体"/>
          <w:highlight w:val="none"/>
          <w:lang w:eastAsia="zh-CN"/>
        </w:rPr>
        <w:t>）</w:t>
      </w:r>
      <w:r>
        <w:rPr>
          <w:rFonts w:hint="eastAsia" w:hAnsi="宋体" w:cs="宋体"/>
          <w:highlight w:val="none"/>
        </w:rPr>
        <w:t>；政府承诺47件民生实事全面完成。</w:t>
      </w:r>
    </w:p>
    <w:p w14:paraId="4E0D6C47">
      <w:pPr>
        <w:pStyle w:val="4"/>
        <w:bidi w:val="0"/>
        <w:rPr>
          <w:rFonts w:hint="eastAsia"/>
          <w:highlight w:val="none"/>
        </w:rPr>
      </w:pPr>
      <w:r>
        <w:rPr>
          <w:rFonts w:hint="eastAsia"/>
          <w:highlight w:val="none"/>
        </w:rPr>
        <w:t>【社会事业】</w:t>
      </w:r>
    </w:p>
    <w:p w14:paraId="3F159AF5">
      <w:pPr>
        <w:rPr>
          <w:rFonts w:hint="eastAsia" w:hAnsi="宋体" w:cs="宋体"/>
          <w:highlight w:val="none"/>
        </w:rPr>
      </w:pPr>
      <w:r>
        <w:rPr>
          <w:rFonts w:hint="eastAsia" w:hAnsi="宋体" w:cs="宋体"/>
          <w:highlight w:val="none"/>
        </w:rPr>
        <w:t>启动新图书馆、新档案馆建设，建成数字影院2家，村级文化室建设实现全覆盖，完成5万用户数字电视整体转换，成功申报国家、省级文物保护单位9处、非物质文化遗产3项，被评为“中国恐龙之乡”。建成镇级农民体育健身工程17个。全面执行基层医疗机构基本药物零差价制度，投入4000多万元，完成中医院住院大楼、疾控中心服务大楼和8个镇卫生院综合楼建设，国家慢性病防控示范区创建通过省验收，被授予全国计划生育优质服务先进单位。每万人拥有人才量942人。国家可持续发展实验区建设扎实推进，省卫生城市、省文明城市创建成果进一步巩固。</w:t>
      </w:r>
    </w:p>
    <w:p w14:paraId="192409C0">
      <w:pPr>
        <w:pStyle w:val="4"/>
        <w:bidi w:val="0"/>
        <w:rPr>
          <w:rFonts w:hint="eastAsia"/>
          <w:highlight w:val="none"/>
        </w:rPr>
      </w:pPr>
      <w:r>
        <w:rPr>
          <w:rFonts w:hint="eastAsia"/>
          <w:highlight w:val="none"/>
        </w:rPr>
        <w:t>【社会管理】</w:t>
      </w:r>
    </w:p>
    <w:p w14:paraId="298F018B">
      <w:pPr>
        <w:rPr>
          <w:rFonts w:hint="eastAsia" w:hAnsi="宋体" w:cs="宋体"/>
          <w:highlight w:val="none"/>
        </w:rPr>
      </w:pPr>
      <w:r>
        <w:rPr>
          <w:rFonts w:hint="eastAsia" w:hAnsi="宋体" w:cs="宋体"/>
          <w:highlight w:val="none"/>
        </w:rPr>
        <w:t>建成市镇村三级综治信访维稳平台，有效化解矛盾纠纷，维护社会稳定。安全生产监管继续加强，创建省餐饮服务食品安全示范县、药品安全示范县。应急救援体系完善，人防工程建设取得新突破。</w:t>
      </w:r>
    </w:p>
    <w:p w14:paraId="2E8F4337">
      <w:pPr>
        <w:pStyle w:val="4"/>
        <w:bidi w:val="0"/>
        <w:rPr>
          <w:rFonts w:hint="eastAsia"/>
          <w:highlight w:val="none"/>
        </w:rPr>
      </w:pPr>
      <w:r>
        <w:rPr>
          <w:rFonts w:hint="eastAsia"/>
          <w:highlight w:val="none"/>
        </w:rPr>
        <w:t>【执政能力提升】</w:t>
      </w:r>
    </w:p>
    <w:p w14:paraId="1620E58B">
      <w:pPr>
        <w:rPr>
          <w:rFonts w:hint="eastAsia" w:hAnsi="宋体" w:cs="宋体"/>
          <w:highlight w:val="none"/>
        </w:rPr>
      </w:pPr>
      <w:r>
        <w:rPr>
          <w:rFonts w:hint="eastAsia" w:hAnsi="宋体" w:cs="宋体"/>
          <w:highlight w:val="none"/>
        </w:rPr>
        <w:t>全面加强依法行政，基层治理走上法治化轨道，获评全国、全省法治县（市）创建活动先进单位。实现一村（社区）一法律顾问全覆盖，“六五”普法全面完成。依法行政考核在韶关各县（市、区</w:t>
      </w:r>
      <w:r>
        <w:rPr>
          <w:rFonts w:hint="eastAsia" w:hAnsi="宋体" w:cs="宋体"/>
          <w:highlight w:val="none"/>
          <w:lang w:eastAsia="zh-CN"/>
        </w:rPr>
        <w:t>）</w:t>
      </w:r>
      <w:r>
        <w:rPr>
          <w:rFonts w:hint="eastAsia" w:hAnsi="宋体" w:cs="宋体"/>
          <w:highlight w:val="none"/>
        </w:rPr>
        <w:t>居第一位。坚持向市人大及其常委会报告工作，向市政协通报情况，自觉接受社会各界监督。积极创建“廉洁南雄”，推进权力公开透明运行“阳光工程”。强化对重点项目、重要工作、政府决策事项、亮点工作的督查督办力度，强化用好督办成果，形成抓落实提高执行力的工作机制，干部队伍敢担当、勇作为的执行力提升。深入开展党的群众路线教育实践活动和“三严三实”专题教育活动，严格落实中央八项规定，坚决整治“四风”，一批违法违纪人员受到惩处，作风建设持续加强。</w:t>
      </w:r>
    </w:p>
    <w:p w14:paraId="3A437107">
      <w:pPr>
        <w:pStyle w:val="4"/>
        <w:bidi w:val="0"/>
        <w:rPr>
          <w:rFonts w:hint="eastAsia"/>
          <w:highlight w:val="none"/>
        </w:rPr>
      </w:pPr>
      <w:r>
        <w:rPr>
          <w:rFonts w:hint="eastAsia"/>
          <w:highlight w:val="none"/>
        </w:rPr>
        <w:t>【市政府常务会议】</w:t>
      </w:r>
    </w:p>
    <w:p w14:paraId="24DCF0B6">
      <w:pPr>
        <w:rPr>
          <w:rFonts w:hint="eastAsia" w:hAnsi="宋体" w:cs="宋体"/>
          <w:highlight w:val="none"/>
        </w:rPr>
      </w:pPr>
      <w:r>
        <w:rPr>
          <w:rFonts w:hint="eastAsia" w:hAnsi="宋体" w:cs="宋体"/>
          <w:highlight w:val="none"/>
        </w:rPr>
        <w:t>2015年召开市府常务会议7次，会议主要讨论研究以下内容：2014年度依法行政工作；出租老坪田粮管所；交通基础设施重点建设项目（PPP）施工招标；2015年财政预算方案；成立南雄市城北建设投资有限公司；筹集北城区土地调控资金；粤府教育函〔2014〕97号对南雄义务教育发展基本均衡县反馈的整改意见；对外贸易总公司转制后工作移交问题；将机关建立公务员职务与职级并行制度所需经费纳入财政预算；人民医院综合住院大楼项目实行PPP模式建设的合作主体框架协议；提高环卫临时工工资福利待遇；解决小区环卫设施和环卫费用；提高城乡居民最低生活保障标准及农村五保供养标准；拨付敬老院工作运营和护理经费；禁养区内畜禽养殖场清养关闭补偿工作方案；解决北城区建设开发融资有关问题；北城区征地拆迁工作经费问题；小梅关公产房拆迁补偿；对查封没收的李伟鸿房产实行公开处置；全安自来水公司扩建日供水3万吨项目；园区企业扩能增效项目备案；主田旅游地产项目用地；收购金泰源公司（园区）资产问题；拨付生活垃圾填埋场章地整村搬迁房屋拆迁补偿款；组建城市综合管理特勤队（铁锤队）；加强园区专职消防队建设；将农村土地承包经营权确权登记颁证工作经费列入财政预算；解决水务局下属水管单位人员工资问题；公布第五批文物保护单位；维修标准钟；盘活存量资金及补充预算稳定调节基金；调整2015年本级预算；成立建设投资有限责任公司；清景项目商住用地；关于南雄犁牛坪风电项目征地问题；不动产统一登记信息管理基础平台建设工作专项经费；东莞市购买南雄市多划基本农田指标5000亩事项；预借华电项目工程征地款；建立健全镇村及园区安全生产监督检查员队伍；陵园路扩建改造项目房屋征收补偿方案；规范镇（街道）公务员津贴补贴；珠玑镇、黄坑镇、乌迳镇生活污水处理费征收标准；坪田银杏森林公园旅游开发项目列入土储兴雄公司融资项目；审议《关于进一步明确市级财政性资金投资项目评审管理有关事项的通知》；2015年预算调整草案；国有企业员工实施公开招聘制度；核定市外贸总公司和市二轻总公司人员工资等福利待遇；雄顺达汽车租赁有限责任公司预借财政款项；有偿划拨全安镇农技站、油山镇农机站给供电局用作供电所生产场所；解决新行政服务中心办事大厅工程项目资金；审议《2015年度依法行政工作报告（审议稿）》；审议公布市政府现行规范性文件清理结果；审议《南雄市人民政府常务会议工作规程》；审议《南雄市政府部门职能调整目录（送审稿）》《南雄市政府部门非行政许可审批事项清理决定（送审稿）》和《南雄市政府部门权责清单（送审稿）》；审议《南雄市公共租赁住房轮候配租实施细则》；实施居民用水阶梯价格制度和分步理顺污水处理费；拍卖珠玑等四个粮所资产解决全安1</w:t>
      </w:r>
      <w:r>
        <w:rPr>
          <w:rFonts w:hint="eastAsia" w:ascii="MingLiU_HKSCS" w:hAnsi="MingLiU_HKSCS" w:eastAsia="MingLiU_HKSCS" w:cs="MingLiU_HKSCS"/>
          <w:highlight w:val="none"/>
        </w:rPr>
        <w:t>.</w:t>
      </w:r>
      <w:r>
        <w:rPr>
          <w:rFonts w:hint="eastAsia" w:hAnsi="宋体" w:cs="宋体"/>
          <w:highlight w:val="none"/>
        </w:rPr>
        <w:t>2万吨粮食仓储项目1200万元建设配套资金；解决满湖塘、林荫西路垃圾中转站附属工程建设相关经费；增聘市级生态公益林护林员；提高生态公益林护林员工资待遇；建立观音岽县级自然保护区；建立丹霞梧桐县级自然保护区；建立杨梅县级湿地公园；2016年预算编制方案；2015年预算调整草案；规范非税收入管理；解决教育南路道路改造工程等7个市政项目无法结算问题；要求简化珠玑巷宗祠建设用地审批等手续；启用机关事业单位养老金填补企业职工养老保险基金缺口问题。</w:t>
      </w:r>
    </w:p>
    <w:p w14:paraId="00243163">
      <w:pPr>
        <w:pStyle w:val="4"/>
        <w:bidi w:val="0"/>
        <w:rPr>
          <w:rFonts w:hint="eastAsia"/>
          <w:highlight w:val="none"/>
        </w:rPr>
      </w:pPr>
      <w:r>
        <w:rPr>
          <w:rFonts w:hint="eastAsia"/>
          <w:highlight w:val="none"/>
        </w:rPr>
        <w:t>【市长办公会议】</w:t>
      </w:r>
    </w:p>
    <w:p w14:paraId="5723670B">
      <w:pPr>
        <w:rPr>
          <w:rFonts w:hint="eastAsia" w:hAnsi="宋体" w:cs="宋体"/>
          <w:highlight w:val="none"/>
        </w:rPr>
      </w:pPr>
      <w:r>
        <w:rPr>
          <w:rFonts w:hint="eastAsia" w:hAnsi="宋体" w:cs="宋体"/>
          <w:highlight w:val="none"/>
        </w:rPr>
        <w:t>2015年，召开市长办公会议30次，主要研究部署以下工作：帽子峰景区2015年工作；南雄东方（大润发）广场项目后续开发建设；集中审议《关于雄州公园拆迁户房租发放的说明》；南雄市北城区控制规划土地调控工作；北城区拆迁安置问题；华电项目征地拆迁工作；园区企业备案等问题；星翔自来水公司扩建5万吨/日供水工程立项；广东南雄新世纪银杏园有限责任公司《解除合作经营协议》；苍石寨自然景区开发《终止〈合同书〉协议》；征用雄州街道水南村委会第三村小组范围内113</w:t>
      </w:r>
      <w:r>
        <w:rPr>
          <w:rFonts w:hint="eastAsia" w:ascii="MingLiU_HKSCS" w:hAnsi="MingLiU_HKSCS" w:eastAsia="MingLiU_HKSCS" w:cs="MingLiU_HKSCS"/>
          <w:highlight w:val="none"/>
        </w:rPr>
        <w:t>.</w:t>
      </w:r>
      <w:r>
        <w:rPr>
          <w:rFonts w:hint="eastAsia" w:hAnsi="宋体" w:cs="宋体"/>
          <w:highlight w:val="none"/>
        </w:rPr>
        <w:t>82亩土地；搬迁龙泉山庄东面猪场、鸡场；珠玑镇建制镇示范试点工作；坪田景区开发建设问题；帽子峰景区开发建设问题；绿洲公司等18家企业补办规划和施工许可证问题；有关企业土地交易契税及滞纳金问题和部分企业土地使用税、房产税等“先征后返”退税问题；部分项目退出和土地挂牌出让等问题；现场督办重点提案《关于加快雄州公园建设的建议》的办理工作，解决雄州公园建设现存问题；帽子峰林场景区建设；南雄市崩岗治理工程款项支付和规范管理工作；增加借村“三旧”改造项目土地征收面积；解决市环卫所办公场地问题；南雄市西藏退伍军人的信访问题；加快推进园区二期收购工作；原彩釉砖厂土地处置问题；主田镇重点项目；华电项目增加建设用地及支持华电项目做好前期工作；发放华电项目征地拆迁工作人员加班补助；彩釉砖厂工矿棚户区改造项目用地性质变更；风电、光伏发电项目对接；帽子峰林场旅游观光小火车经营权项目公开招标工作；全安粮管所1</w:t>
      </w:r>
      <w:r>
        <w:rPr>
          <w:rFonts w:hint="eastAsia" w:ascii="MingLiU_HKSCS" w:hAnsi="MingLiU_HKSCS" w:eastAsia="MingLiU_HKSCS" w:cs="MingLiU_HKSCS"/>
          <w:highlight w:val="none"/>
        </w:rPr>
        <w:t>.</w:t>
      </w:r>
      <w:r>
        <w:rPr>
          <w:rFonts w:hint="eastAsia" w:hAnsi="宋体" w:cs="宋体"/>
          <w:highlight w:val="none"/>
        </w:rPr>
        <w:t>2万吨粮食仓储设施项目建设；澜河镇锅坑村规划；古市镇中心小学及中心幼儿园项目立项招标工作；解决盈泰公司债务问题；推进彤置富水泥厂项目；珠玑镇建制镇示范点工作；加大城市管理投入、推进城市管理体制机制改革、提高城市管理水平等问题；加快推进南雄市云峰山生态旅游区项目建设；电子商务创业园建设；金友公司申请退还60亩土地挂牌所有费用问题；卓丽公司整体搬迁涉税问题；解决金泰源公司120亩商住用地税费问题；向农发行融资解决建设资金问题；宗祠规划建设问题；北城区危旧房回迁改造项目融资贷款议题；华电热电联产项目奠基暨南雄市重点项目签约动工投产仪式经费预算；聘请温燕霞创作珠玑巷长篇小说；主田旅游大道土地及地上附着物征收补偿；实施计划生育工作特殊津贴；解决环卫车辆停车场征地；要求解决省级新农村示范片建设项目规划设计等费用；南雄市国有工矿棚户区改造项目房屋征收补偿方案及征收决定公告；市政府议定事项贯彻落实工作规程；关于帽子峰林场危旧房改造安置工程；南雄市彩釉砖厂工矿棚户区改造问题；中山街“三旧”改造问题；新汽车站选址；森林进城围城工程；关于申报省道S342线穿城段（全安342线三枫段转盘处至湖口三岔路口段）改造项目；大福名城引桥连接新323线段道路征地工作；凌江大道涉及田边水村小组地块的征收；南雄市2015年第三次预算调整草案；退回珠玑纸业公司原彩釉砖厂土地定金；南雄市韶赣汽车城有限公司所交预购地款。</w:t>
      </w:r>
    </w:p>
    <w:p w14:paraId="1847CC14">
      <w:pPr>
        <w:pStyle w:val="4"/>
        <w:bidi w:val="0"/>
        <w:rPr>
          <w:rFonts w:hint="eastAsia"/>
          <w:highlight w:val="none"/>
        </w:rPr>
      </w:pPr>
      <w:r>
        <w:rPr>
          <w:rFonts w:hint="eastAsia"/>
          <w:highlight w:val="none"/>
        </w:rPr>
        <w:t>【市政府工作会议】</w:t>
      </w:r>
    </w:p>
    <w:p w14:paraId="0B880BB6">
      <w:pPr>
        <w:rPr>
          <w:rFonts w:hint="eastAsia" w:hAnsi="宋体" w:cs="宋体"/>
          <w:highlight w:val="none"/>
        </w:rPr>
      </w:pPr>
      <w:r>
        <w:rPr>
          <w:rFonts w:hint="eastAsia" w:hAnsi="宋体" w:cs="宋体"/>
          <w:highlight w:val="none"/>
        </w:rPr>
        <w:t>2015年，召开市府工作会议24次，会议主要部署以下工作：新城中学搬迁重建及群众体育活动中心建设场地土石方工程量的增减；凌江河综合治理工程全安兴塘段疏浚河砂的处置工作；珠玑古巷二期宗祠建设工作；该市县管河道河砂开采出让工作情况；该市市政工程质量监控工作的有关问题；珠玑纸业一期5万吨本色生活用纸技改扩产工作；国家审计署驻广州办事处审计南雄市扶贫资金投资市城投为贫困村发展集体经济进行分红所反映的存在问题；中泰华府项目建设相关问题；加快推进珠玑镇梅岭新村建设工作；加强该市河砂管理工作；珠玑古巷第二期姓氏宗祠调整建设用地面积问题；珠玑镇梅岭新路口新村项目的结构安全鉴定、报监和报建等工作；南雄市保障性住房建设、分配有关工作；政府部门协助金友米业股份公司（以下简称金友米业）开展资产重组股改、新三板上市前期工作；巩固省卫生城市专项整治工作；解决主田镇两个农家乐旅游项目用地问题；解决目前南雄市机电排灌管理总站运行管理工作存在问题；南雄市X波段移动多普勒雷达项目建设、突发事件预警信息发布中心建设、增加突发事件预警信息发布中心人员编制、健全气象事业财政投入保障机制等问题；解决温氏南雄分公司有机肥厂建设用地问题；解决年丰有机肥厂建设用地、生产问题；做好该市2014年和2015年高标准基本农田项目工作以及专项资金支付使用；加快推进乌迳、黄坑、珠玑3个中心镇污水处理厂建设；当前新村工程建设存在问题。</w:t>
      </w:r>
    </w:p>
    <w:p w14:paraId="3850A2C8">
      <w:pPr>
        <w:pStyle w:val="4"/>
        <w:bidi w:val="0"/>
        <w:rPr>
          <w:rFonts w:hint="eastAsia"/>
          <w:highlight w:val="none"/>
        </w:rPr>
      </w:pPr>
      <w:r>
        <w:rPr>
          <w:rFonts w:hint="eastAsia"/>
          <w:highlight w:val="none"/>
        </w:rPr>
        <w:t>【市政府经济形势分析会】</w:t>
      </w:r>
    </w:p>
    <w:p w14:paraId="2BF67B28">
      <w:pPr>
        <w:rPr>
          <w:rFonts w:hint="eastAsia" w:hAnsi="宋体" w:eastAsia="宋体" w:cs="宋体"/>
          <w:highlight w:val="none"/>
          <w:lang w:eastAsia="zh-CN"/>
        </w:rPr>
      </w:pPr>
      <w:r>
        <w:rPr>
          <w:rFonts w:hint="eastAsia" w:hAnsi="宋体" w:cs="宋体"/>
          <w:highlight w:val="none"/>
        </w:rPr>
        <w:t>2015年，南雄市政府召开其他重要会议有：全市经济形势分析会，全年召开3次，分别为第一季度、上半年和第三季度，主要研究分析前一季度全市经济运行情况，部署下一阶段经济工作，查找经济发展中存在问题，提出解决办法，推动全市经济持续快速发展。经济形势分析会由市政府主持召开，市委主要领导、市政府市长、副市长、市直副科以上单位一把手，各镇镇长（街道办事处主任）参加会议。会议一般由重要经济部门汇报分析上一季度全市经济运行情况，市长做全市经济形势分析，市委书记做总结发言。会议要求全市上下紧密围绕市委、市政府经济发展目标，强化责任、狠抓落实，全力推动经济社会跨越发展。</w:t>
      </w:r>
    </w:p>
    <w:p w14:paraId="4DC11678">
      <w:pPr>
        <w:pStyle w:val="3"/>
        <w:bidi w:val="0"/>
        <w:rPr>
          <w:rFonts w:hint="eastAsia"/>
          <w:highlight w:val="none"/>
        </w:rPr>
      </w:pPr>
      <w:r>
        <w:rPr>
          <w:rFonts w:hint="eastAsia"/>
          <w:highlight w:val="none"/>
        </w:rPr>
        <w:t>2015年南雄市人民政府领导职务变动</w:t>
      </w:r>
    </w:p>
    <w:p w14:paraId="03DE94A0">
      <w:pPr>
        <w:rPr>
          <w:rFonts w:hint="eastAsia" w:hAnsi="宋体" w:cs="宋体"/>
          <w:highlight w:val="none"/>
        </w:rPr>
      </w:pPr>
      <w:r>
        <w:rPr>
          <w:rFonts w:hint="eastAsia" w:hAnsi="宋体" w:cs="宋体"/>
          <w:highlight w:val="none"/>
        </w:rPr>
        <w:t>市长：曾风保（任至2015年5月6日）</w:t>
      </w:r>
    </w:p>
    <w:p w14:paraId="6BBCAC52">
      <w:pPr>
        <w:ind w:firstLine="1050" w:firstLineChars="500"/>
        <w:rPr>
          <w:rFonts w:hint="eastAsia" w:hAnsi="宋体" w:cs="宋体"/>
          <w:highlight w:val="none"/>
        </w:rPr>
      </w:pPr>
      <w:r>
        <w:rPr>
          <w:rFonts w:hint="eastAsia" w:hAnsi="宋体" w:cs="宋体"/>
          <w:highlight w:val="none"/>
        </w:rPr>
        <w:t>王碧安（2015年6月3日任）</w:t>
      </w:r>
    </w:p>
    <w:p w14:paraId="23778509">
      <w:pPr>
        <w:rPr>
          <w:rFonts w:hint="eastAsia" w:hAnsi="宋体" w:cs="宋体"/>
          <w:highlight w:val="none"/>
        </w:rPr>
      </w:pPr>
      <w:r>
        <w:rPr>
          <w:rFonts w:hint="eastAsia" w:hAnsi="宋体" w:cs="宋体"/>
          <w:highlight w:val="none"/>
        </w:rPr>
        <w:t>副市长、代市长：王碧安（2015年5月6日任）</w:t>
      </w:r>
    </w:p>
    <w:p w14:paraId="66E08F2D">
      <w:pPr>
        <w:rPr>
          <w:rFonts w:hint="eastAsia" w:hAnsi="宋体" w:cs="宋体"/>
          <w:highlight w:val="none"/>
        </w:rPr>
      </w:pPr>
      <w:r>
        <w:rPr>
          <w:rFonts w:hint="eastAsia" w:hAnsi="宋体" w:cs="宋体"/>
          <w:highlight w:val="none"/>
        </w:rPr>
        <w:t>常务副市长：何人平</w:t>
      </w:r>
    </w:p>
    <w:p w14:paraId="00170B5E">
      <w:pPr>
        <w:rPr>
          <w:rFonts w:hint="eastAsia" w:hAnsi="宋体" w:cs="宋体"/>
          <w:highlight w:val="none"/>
        </w:rPr>
      </w:pPr>
      <w:r>
        <w:rPr>
          <w:rFonts w:hint="eastAsia" w:hAnsi="宋体" w:cs="宋体"/>
          <w:highlight w:val="none"/>
        </w:rPr>
        <w:t>副市长：李海霞（2015年2月16日任）</w:t>
      </w:r>
    </w:p>
    <w:p w14:paraId="2D7196FE">
      <w:pPr>
        <w:ind w:firstLine="1260" w:firstLineChars="600"/>
        <w:rPr>
          <w:rFonts w:hint="eastAsia" w:hAnsi="宋体" w:cs="宋体"/>
          <w:highlight w:val="none"/>
        </w:rPr>
      </w:pPr>
      <w:r>
        <w:rPr>
          <w:rFonts w:hint="eastAsia" w:hAnsi="宋体" w:cs="宋体"/>
          <w:highlight w:val="none"/>
        </w:rPr>
        <w:t>刘悦明（任至2015年10月28日）</w:t>
      </w:r>
    </w:p>
    <w:p w14:paraId="1CCCF6B9">
      <w:pPr>
        <w:ind w:firstLine="1260" w:firstLineChars="600"/>
        <w:rPr>
          <w:rFonts w:hint="eastAsia" w:hAnsi="宋体" w:cs="宋体"/>
          <w:highlight w:val="none"/>
        </w:rPr>
      </w:pPr>
      <w:r>
        <w:rPr>
          <w:rFonts w:hint="eastAsia" w:hAnsi="宋体" w:cs="宋体"/>
          <w:highlight w:val="none"/>
        </w:rPr>
        <w:t>罗战勇</w:t>
      </w:r>
    </w:p>
    <w:p w14:paraId="799F4EAB">
      <w:pPr>
        <w:ind w:firstLine="1260" w:firstLineChars="600"/>
        <w:rPr>
          <w:rFonts w:hint="eastAsia" w:hAnsi="宋体" w:eastAsia="宋体" w:cs="宋体"/>
          <w:highlight w:val="none"/>
          <w:lang w:eastAsia="zh-CN"/>
        </w:rPr>
      </w:pPr>
      <w:r>
        <w:rPr>
          <w:rFonts w:hint="eastAsia" w:hAnsi="宋体" w:cs="宋体"/>
          <w:highlight w:val="none"/>
        </w:rPr>
        <w:t>吕道宏</w:t>
      </w:r>
      <w:r>
        <w:rPr>
          <w:rFonts w:hint="eastAsia" w:hAnsi="宋体" w:cs="宋体"/>
          <w:highlight w:val="none"/>
          <w:lang w:eastAsia="zh-CN"/>
        </w:rPr>
        <w:t>（</w:t>
      </w:r>
      <w:r>
        <w:rPr>
          <w:rFonts w:hint="eastAsia" w:hAnsi="宋体" w:cs="宋体"/>
          <w:highlight w:val="none"/>
        </w:rPr>
        <w:t>任至2015年7月15日</w:t>
      </w:r>
      <w:r>
        <w:rPr>
          <w:rFonts w:hint="eastAsia" w:hAnsi="宋体" w:cs="宋体"/>
          <w:highlight w:val="none"/>
          <w:lang w:eastAsia="zh-CN"/>
        </w:rPr>
        <w:t>）</w:t>
      </w:r>
    </w:p>
    <w:p w14:paraId="699FF8D9">
      <w:pPr>
        <w:ind w:firstLine="1260" w:firstLineChars="600"/>
        <w:rPr>
          <w:rFonts w:hint="eastAsia" w:hAnsi="宋体" w:cs="宋体"/>
          <w:highlight w:val="none"/>
        </w:rPr>
      </w:pPr>
      <w:r>
        <w:rPr>
          <w:rFonts w:hint="eastAsia" w:hAnsi="宋体" w:cs="宋体"/>
          <w:highlight w:val="none"/>
        </w:rPr>
        <w:t>马细妹</w:t>
      </w:r>
    </w:p>
    <w:p w14:paraId="722D059F">
      <w:pPr>
        <w:ind w:firstLine="1260" w:firstLineChars="600"/>
        <w:rPr>
          <w:rFonts w:hint="eastAsia" w:hAnsi="宋体" w:cs="宋体"/>
          <w:highlight w:val="none"/>
        </w:rPr>
      </w:pPr>
      <w:r>
        <w:rPr>
          <w:rFonts w:hint="eastAsia" w:hAnsi="宋体" w:cs="宋体"/>
          <w:highlight w:val="none"/>
        </w:rPr>
        <w:t>袁元桃</w:t>
      </w:r>
    </w:p>
    <w:p w14:paraId="36AE6931">
      <w:pPr>
        <w:pStyle w:val="3"/>
        <w:bidi w:val="0"/>
        <w:rPr>
          <w:rFonts w:hint="eastAsia"/>
          <w:highlight w:val="none"/>
        </w:rPr>
      </w:pPr>
      <w:r>
        <w:rPr>
          <w:rFonts w:hint="eastAsia"/>
          <w:highlight w:val="none"/>
        </w:rPr>
        <w:t>政府办公室工作</w:t>
      </w:r>
    </w:p>
    <w:p w14:paraId="398FBA5D">
      <w:pPr>
        <w:pStyle w:val="4"/>
        <w:bidi w:val="0"/>
        <w:rPr>
          <w:rFonts w:hint="eastAsia"/>
          <w:highlight w:val="none"/>
        </w:rPr>
      </w:pPr>
      <w:r>
        <w:rPr>
          <w:rFonts w:hint="eastAsia"/>
          <w:highlight w:val="none"/>
        </w:rPr>
        <w:t>【概况】</w:t>
      </w:r>
    </w:p>
    <w:p w14:paraId="14950E1A">
      <w:pPr>
        <w:rPr>
          <w:rFonts w:hint="eastAsia" w:hAnsi="宋体" w:cs="宋体"/>
          <w:highlight w:val="none"/>
        </w:rPr>
      </w:pPr>
      <w:r>
        <w:rPr>
          <w:rFonts w:hint="eastAsia" w:hAnsi="宋体" w:cs="宋体"/>
          <w:highlight w:val="none"/>
        </w:rPr>
        <w:t>南雄市政府办公室，正科级行政单位，是市政府的综合办事机构，主要负责贯彻落实上级路线、方针、政策，检查督促政府决议、决定、重要工作部署，草拟、审核、处理、发布文电，组织协调政府部门关系，调查研究为领导提供决策参考，组织办理人大议案、建议及政协提案和行政复议，行政事务“三服务”（服务领导、服务基层、服务群众），以及会议会务、应急人防、协调金融等工作。内设股室：人秘股、调研股、督办室、综合协调股、建议提案股、应急办、人防办、金融办、政府纪检中心组。公务员19人、工勤人员3人。</w:t>
      </w:r>
    </w:p>
    <w:p w14:paraId="24EFA969">
      <w:pPr>
        <w:pStyle w:val="4"/>
        <w:bidi w:val="0"/>
        <w:rPr>
          <w:rFonts w:hint="eastAsia"/>
          <w:highlight w:val="none"/>
        </w:rPr>
      </w:pPr>
      <w:r>
        <w:rPr>
          <w:rFonts w:hint="eastAsia"/>
          <w:highlight w:val="none"/>
        </w:rPr>
        <w:t>【以文辅政】</w:t>
      </w:r>
    </w:p>
    <w:p w14:paraId="5369DD3F">
      <w:pPr>
        <w:rPr>
          <w:rFonts w:hint="eastAsia" w:hAnsi="宋体" w:cs="宋体"/>
          <w:highlight w:val="none"/>
        </w:rPr>
      </w:pPr>
      <w:r>
        <w:rPr>
          <w:rFonts w:hint="eastAsia" w:hAnsi="宋体" w:cs="宋体"/>
          <w:highlight w:val="none"/>
        </w:rPr>
        <w:t>抓好办文办会、上传下达工作，落实精文减会有关要求，切实提高公文质量和办理效率，制发各类文件302件，收转文件603件，组织市政府常务会议、市长碰头会等各类会议438次，形成市政府常务会议、市长办公会议、市府办公会议等各类会议纪要63期。深入基层实地调研工作，增强调研时效，提高调研质量，更好辅助领导决策，及时高效地完成各级领导交办的文字综合任务。完成政府工作报告、季度工作总结等综合性汇报材料5篇，完成汇报材料及各类领导讲话134篇。编发内刊《政府工作》10期，向韶关市政府报送政务信息56条。</w:t>
      </w:r>
    </w:p>
    <w:p w14:paraId="3F6D7A1C">
      <w:pPr>
        <w:pStyle w:val="4"/>
        <w:bidi w:val="0"/>
        <w:rPr>
          <w:rFonts w:hint="eastAsia"/>
          <w:highlight w:val="none"/>
        </w:rPr>
      </w:pPr>
      <w:r>
        <w:rPr>
          <w:rFonts w:hint="eastAsia"/>
          <w:highlight w:val="none"/>
        </w:rPr>
        <w:t>【协调事务】</w:t>
      </w:r>
    </w:p>
    <w:p w14:paraId="3ED2E328">
      <w:pPr>
        <w:rPr>
          <w:rFonts w:hint="eastAsia" w:hAnsi="宋体" w:cs="宋体"/>
          <w:highlight w:val="none"/>
        </w:rPr>
      </w:pPr>
      <w:r>
        <w:rPr>
          <w:rFonts w:hint="eastAsia" w:hAnsi="宋体" w:cs="宋体"/>
          <w:highlight w:val="none"/>
        </w:rPr>
        <w:t>广东省农村普惠金融试点工作顺利通过省、市验收，协税办查补收入近3000万元。推进政府重点项目工作，完成北城区项目拆迁征地约1150亩，拆迁128户；完成陵园路拆迁58户；基本完成华电主场区征地工作，12月8日顺利奠基。</w:t>
      </w:r>
    </w:p>
    <w:p w14:paraId="244D8B0E">
      <w:pPr>
        <w:pStyle w:val="4"/>
        <w:bidi w:val="0"/>
        <w:rPr>
          <w:rFonts w:hint="eastAsia"/>
          <w:highlight w:val="none"/>
        </w:rPr>
      </w:pPr>
      <w:r>
        <w:rPr>
          <w:rFonts w:hint="eastAsia"/>
          <w:highlight w:val="none"/>
        </w:rPr>
        <w:t>【督办政务】</w:t>
      </w:r>
    </w:p>
    <w:p w14:paraId="4C5F3523">
      <w:pPr>
        <w:rPr>
          <w:rFonts w:hint="eastAsia" w:hAnsi="宋体" w:cs="宋体"/>
          <w:highlight w:val="none"/>
        </w:rPr>
      </w:pPr>
      <w:r>
        <w:rPr>
          <w:rFonts w:hint="eastAsia" w:hAnsi="宋体" w:cs="宋体"/>
          <w:highlight w:val="none"/>
        </w:rPr>
        <w:t>发出各类督查通报6期，督办专报16期，办结率达100%。做好群众来信来访的转办、接待工作，共办理网络问政221件，韶关民声热线71件，按时办结率100%。完成2015年人大议案、建议的办理工作，对市人大26件议案、12件建议进行交办，确保承办单位的按时办复率、与代表见面率、代表满意率均达100%。完成2015年市人民政府承办的议案建议办理任务，答复各类议案建议共44件（其中韶关市人大代表4件、南雄人大代表议案26件、建议12件，“代表之声”论坛建议2件）。协助市人大完成省、韶关、南雄三级人大代表视察2015年政府承诺九件民生实事工作。</w:t>
      </w:r>
    </w:p>
    <w:p w14:paraId="6F9FDF54">
      <w:pPr>
        <w:pStyle w:val="4"/>
        <w:bidi w:val="0"/>
        <w:rPr>
          <w:rFonts w:hint="eastAsia"/>
          <w:highlight w:val="none"/>
        </w:rPr>
      </w:pPr>
      <w:r>
        <w:rPr>
          <w:rFonts w:hint="eastAsia"/>
          <w:highlight w:val="none"/>
        </w:rPr>
        <w:t>【应急管理】</w:t>
      </w:r>
    </w:p>
    <w:p w14:paraId="68FBDBE1">
      <w:pPr>
        <w:rPr>
          <w:rFonts w:hint="eastAsia" w:hAnsi="宋体" w:cs="宋体"/>
          <w:highlight w:val="none"/>
        </w:rPr>
      </w:pPr>
      <w:r>
        <w:rPr>
          <w:rFonts w:hint="eastAsia" w:hAnsi="宋体" w:cs="宋体"/>
          <w:highlight w:val="none"/>
        </w:rPr>
        <w:t>开展应急演练，提升应急预案质量，开展“百人百场”应急知识宣讲活动，开展应急演练4次。办理人防结建审批30宗。（黄历友）</w:t>
      </w:r>
    </w:p>
    <w:p w14:paraId="4926A576">
      <w:pPr>
        <w:rPr>
          <w:rFonts w:hint="eastAsia" w:hAnsi="宋体" w:cs="宋体"/>
          <w:b w:val="0"/>
          <w:bCs w:val="0"/>
          <w:highlight w:val="none"/>
        </w:rPr>
      </w:pPr>
      <w:r>
        <w:rPr>
          <w:rFonts w:hint="eastAsia" w:hAnsi="宋体" w:cs="宋体"/>
          <w:b w:val="0"/>
          <w:bCs w:val="0"/>
          <w:highlight w:val="none"/>
        </w:rPr>
        <w:t>附：2015年市政府办领导班子成员名单</w:t>
      </w:r>
    </w:p>
    <w:p w14:paraId="414EDE4D">
      <w:pPr>
        <w:rPr>
          <w:rFonts w:hint="eastAsia" w:hAnsi="宋体" w:cs="宋体"/>
          <w:b w:val="0"/>
          <w:bCs w:val="0"/>
          <w:highlight w:val="none"/>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任：刘先辉</w:t>
      </w:r>
    </w:p>
    <w:p w14:paraId="42FAF6EE">
      <w:pPr>
        <w:rPr>
          <w:rFonts w:hint="eastAsia" w:hAnsi="宋体" w:cs="宋体"/>
          <w:b w:val="0"/>
          <w:bCs w:val="0"/>
          <w:highlight w:val="none"/>
        </w:rPr>
      </w:pPr>
      <w:r>
        <w:rPr>
          <w:rFonts w:hint="eastAsia" w:hAnsi="宋体" w:cs="宋体"/>
          <w:b w:val="0"/>
          <w:bCs w:val="0"/>
          <w:highlight w:val="none"/>
        </w:rPr>
        <w:t>纪检组长：梁</w:t>
      </w:r>
      <w:r>
        <w:rPr>
          <w:rFonts w:hint="eastAsia" w:hAnsi="宋体" w:cs="宋体"/>
          <w:b w:val="0"/>
          <w:bCs w:val="0"/>
          <w:highlight w:val="none"/>
          <w:lang w:val="en-US" w:eastAsia="zh-CN"/>
        </w:rPr>
        <w:t xml:space="preserve">  </w:t>
      </w:r>
      <w:r>
        <w:rPr>
          <w:rFonts w:hint="eastAsia" w:hAnsi="宋体" w:cs="宋体"/>
          <w:b w:val="0"/>
          <w:bCs w:val="0"/>
          <w:highlight w:val="none"/>
        </w:rPr>
        <w:t>斌</w:t>
      </w:r>
    </w:p>
    <w:p w14:paraId="2D418A20">
      <w:pPr>
        <w:rPr>
          <w:rFonts w:hint="eastAsia" w:hAnsi="宋体" w:cs="宋体"/>
          <w:b w:val="0"/>
          <w:bCs w:val="0"/>
          <w:highlight w:val="none"/>
        </w:rPr>
      </w:pPr>
      <w:r>
        <w:rPr>
          <w:rFonts w:hint="eastAsia" w:hAnsi="宋体" w:cs="宋体"/>
          <w:b w:val="0"/>
          <w:bCs w:val="0"/>
          <w:highlight w:val="none"/>
        </w:rPr>
        <w:t>副主任：刘光彬（任至1月）</w:t>
      </w:r>
    </w:p>
    <w:p w14:paraId="1ABF1F47">
      <w:pPr>
        <w:rPr>
          <w:rFonts w:hint="eastAsia" w:hAnsi="宋体" w:cs="宋体"/>
          <w:b w:val="0"/>
          <w:bCs w:val="0"/>
          <w:highlight w:val="none"/>
        </w:rPr>
      </w:pPr>
      <w:r>
        <w:rPr>
          <w:rFonts w:hint="eastAsia" w:hAnsi="宋体" w:cs="宋体"/>
          <w:b w:val="0"/>
          <w:bCs w:val="0"/>
          <w:highlight w:val="none"/>
        </w:rPr>
        <w:t>陈宝林 孔永明 徐学辉 朱顺林</w:t>
      </w:r>
    </w:p>
    <w:p w14:paraId="5879A1F2">
      <w:pPr>
        <w:rPr>
          <w:rFonts w:hint="eastAsia" w:hAnsi="宋体" w:cs="宋体"/>
          <w:b w:val="0"/>
          <w:bCs w:val="0"/>
          <w:highlight w:val="none"/>
        </w:rPr>
      </w:pPr>
      <w:r>
        <w:rPr>
          <w:rFonts w:hint="eastAsia" w:hAnsi="宋体" w:cs="宋体"/>
          <w:b w:val="0"/>
          <w:bCs w:val="0"/>
          <w:highlight w:val="none"/>
        </w:rPr>
        <w:t>应急办主任：刘海标</w:t>
      </w:r>
    </w:p>
    <w:p w14:paraId="52335BB7">
      <w:pPr>
        <w:pStyle w:val="3"/>
        <w:bidi w:val="0"/>
        <w:rPr>
          <w:rFonts w:hint="eastAsia"/>
          <w:highlight w:val="none"/>
        </w:rPr>
      </w:pPr>
      <w:r>
        <w:rPr>
          <w:rFonts w:hint="eastAsia"/>
          <w:highlight w:val="none"/>
        </w:rPr>
        <w:t>外事侨务</w:t>
      </w:r>
    </w:p>
    <w:p w14:paraId="269DB58B">
      <w:pPr>
        <w:pStyle w:val="4"/>
        <w:bidi w:val="0"/>
        <w:rPr>
          <w:rFonts w:hint="eastAsia"/>
          <w:highlight w:val="none"/>
        </w:rPr>
      </w:pPr>
      <w:r>
        <w:rPr>
          <w:rFonts w:hint="eastAsia"/>
          <w:highlight w:val="none"/>
        </w:rPr>
        <w:t>【概况】</w:t>
      </w:r>
    </w:p>
    <w:p w14:paraId="1FF70877">
      <w:pPr>
        <w:rPr>
          <w:rFonts w:hint="eastAsia" w:hAnsi="宋体" w:cs="宋体"/>
          <w:highlight w:val="none"/>
        </w:rPr>
      </w:pPr>
      <w:r>
        <w:rPr>
          <w:rFonts w:hint="eastAsia" w:hAnsi="宋体" w:cs="宋体"/>
          <w:highlight w:val="none"/>
        </w:rPr>
        <w:t>南雄市外事侨务局，正科机构，为市政府工作部门，在市政府办公室挂牌，设2个内设机构，即办公室、签证股，机关行政编制3名。其中局长1名，副局长1名，股长职数1名。</w:t>
      </w:r>
    </w:p>
    <w:p w14:paraId="3308B8FF">
      <w:pPr>
        <w:pStyle w:val="4"/>
        <w:bidi w:val="0"/>
        <w:rPr>
          <w:rFonts w:hint="eastAsia"/>
          <w:highlight w:val="none"/>
        </w:rPr>
      </w:pPr>
      <w:r>
        <w:rPr>
          <w:rFonts w:hint="eastAsia"/>
          <w:highlight w:val="none"/>
        </w:rPr>
        <w:t>【签证工作】</w:t>
      </w:r>
    </w:p>
    <w:p w14:paraId="2C9F188A">
      <w:pPr>
        <w:rPr>
          <w:rFonts w:hint="eastAsia" w:hAnsi="宋体" w:cs="宋体"/>
          <w:highlight w:val="none"/>
        </w:rPr>
      </w:pPr>
      <w:r>
        <w:rPr>
          <w:rFonts w:hint="eastAsia" w:hAnsi="宋体" w:cs="宋体"/>
          <w:highlight w:val="none"/>
        </w:rPr>
        <w:t>2015年，全市办理出国（境）护照（通行证）28批15人次。</w:t>
      </w:r>
    </w:p>
    <w:p w14:paraId="663F1522">
      <w:pPr>
        <w:pStyle w:val="4"/>
        <w:bidi w:val="0"/>
        <w:rPr>
          <w:rFonts w:hint="eastAsia"/>
          <w:highlight w:val="none"/>
        </w:rPr>
      </w:pPr>
      <w:r>
        <w:rPr>
          <w:rFonts w:hint="eastAsia"/>
          <w:highlight w:val="none"/>
        </w:rPr>
        <w:t>【侨捐工作】</w:t>
      </w:r>
    </w:p>
    <w:p w14:paraId="1AB6990D">
      <w:pPr>
        <w:rPr>
          <w:rFonts w:hint="eastAsia" w:hAnsi="宋体" w:cs="宋体"/>
          <w:highlight w:val="none"/>
        </w:rPr>
      </w:pPr>
      <w:r>
        <w:rPr>
          <w:rFonts w:hint="eastAsia" w:hAnsi="宋体" w:cs="宋体"/>
          <w:highlight w:val="none"/>
        </w:rPr>
        <w:t>2015年，接受华侨华人及港澳同胞捐赠项目7个，侨捐资金84</w:t>
      </w:r>
      <w:r>
        <w:rPr>
          <w:rFonts w:hint="eastAsia" w:ascii="MingLiU_HKSCS" w:hAnsi="MingLiU_HKSCS" w:eastAsia="MingLiU_HKSCS" w:cs="MingLiU_HKSCS"/>
          <w:highlight w:val="none"/>
        </w:rPr>
        <w:t>.</w:t>
      </w:r>
      <w:r>
        <w:rPr>
          <w:rFonts w:hint="eastAsia" w:hAnsi="宋体" w:cs="宋体"/>
          <w:highlight w:val="none"/>
        </w:rPr>
        <w:t>1万元，这些捐赠资金主要用于教育、医疗、卫生等各项事业的发展。</w:t>
      </w:r>
    </w:p>
    <w:p w14:paraId="22D63743">
      <w:pPr>
        <w:pStyle w:val="4"/>
        <w:bidi w:val="0"/>
        <w:rPr>
          <w:rFonts w:hint="eastAsia"/>
          <w:highlight w:val="none"/>
        </w:rPr>
      </w:pPr>
      <w:r>
        <w:rPr>
          <w:rFonts w:hint="eastAsia"/>
          <w:highlight w:val="none"/>
        </w:rPr>
        <w:t>【外事侨务工作】</w:t>
      </w:r>
    </w:p>
    <w:p w14:paraId="1A388C9F">
      <w:pPr>
        <w:rPr>
          <w:rFonts w:hint="eastAsia" w:hAnsi="宋体" w:cs="宋体"/>
          <w:highlight w:val="none"/>
        </w:rPr>
      </w:pPr>
      <w:r>
        <w:rPr>
          <w:rFonts w:hint="eastAsia" w:hAnsi="宋体" w:cs="宋体"/>
          <w:highlight w:val="none"/>
        </w:rPr>
        <w:t>2015年，接待来自美国、澳大利亚等国家和地区的海外华侨华人3批75人次。</w:t>
      </w:r>
    </w:p>
    <w:p w14:paraId="6B5BF4B5">
      <w:pPr>
        <w:pStyle w:val="4"/>
        <w:bidi w:val="0"/>
        <w:rPr>
          <w:rFonts w:hint="eastAsia"/>
          <w:highlight w:val="none"/>
        </w:rPr>
      </w:pPr>
      <w:r>
        <w:rPr>
          <w:rFonts w:hint="eastAsia"/>
          <w:highlight w:val="none"/>
        </w:rPr>
        <w:t>【友城工作】</w:t>
      </w:r>
    </w:p>
    <w:p w14:paraId="1208A312">
      <w:pPr>
        <w:rPr>
          <w:rFonts w:hint="eastAsia" w:hAnsi="宋体" w:cs="宋体"/>
          <w:highlight w:val="none"/>
        </w:rPr>
      </w:pPr>
      <w:r>
        <w:rPr>
          <w:rFonts w:hint="eastAsia" w:hAnsi="宋体" w:cs="宋体"/>
          <w:highlight w:val="none"/>
        </w:rPr>
        <w:t>发挥海外华侨华人在中国与住在国之间的桥梁纽带作用。通过缔结友好城市关系，加大海外宣传力度，该市已缔结的友城是澳大利亚高嘉华市。通过努力，已形成彼此之间相互作用、相互促进的良好局面，走在广东省粤北山区县缔结友好城市的前列。</w:t>
      </w:r>
    </w:p>
    <w:p w14:paraId="031F5BFD">
      <w:pPr>
        <w:pStyle w:val="4"/>
        <w:bidi w:val="0"/>
        <w:rPr>
          <w:rFonts w:hint="eastAsia"/>
          <w:highlight w:val="none"/>
        </w:rPr>
      </w:pPr>
      <w:r>
        <w:rPr>
          <w:rFonts w:hint="eastAsia"/>
          <w:highlight w:val="none"/>
        </w:rPr>
        <w:t>【扶贫工作】</w:t>
      </w:r>
    </w:p>
    <w:p w14:paraId="424B4F6B">
      <w:pPr>
        <w:rPr>
          <w:rFonts w:hint="eastAsia" w:hAnsi="宋体" w:cs="宋体"/>
          <w:highlight w:val="none"/>
        </w:rPr>
      </w:pPr>
      <w:r>
        <w:rPr>
          <w:rFonts w:hint="eastAsia" w:hAnsi="宋体" w:cs="宋体"/>
          <w:highlight w:val="none"/>
        </w:rPr>
        <w:t>2015年，通过省下拨的专项资金，全市扶贫救济贫困归侨8人，计1</w:t>
      </w:r>
      <w:r>
        <w:rPr>
          <w:rFonts w:hint="eastAsia" w:ascii="MingLiU_HKSCS" w:hAnsi="MingLiU_HKSCS" w:eastAsia="MingLiU_HKSCS" w:cs="MingLiU_HKSCS"/>
          <w:highlight w:val="none"/>
        </w:rPr>
        <w:t>.</w:t>
      </w:r>
      <w:r>
        <w:rPr>
          <w:rFonts w:hint="eastAsia" w:hAnsi="宋体" w:cs="宋体"/>
          <w:highlight w:val="none"/>
        </w:rPr>
        <w:t>46万元。所有上级下拨扶持贫困归侨专项资金100%实行账对账发放。</w:t>
      </w:r>
    </w:p>
    <w:p w14:paraId="6647EEC1">
      <w:pPr>
        <w:jc w:val="right"/>
        <w:rPr>
          <w:rFonts w:hint="eastAsia" w:hAnsi="宋体" w:cs="宋体"/>
          <w:b w:val="0"/>
          <w:bCs w:val="0"/>
          <w:highlight w:val="none"/>
        </w:rPr>
      </w:pPr>
      <w:r>
        <w:rPr>
          <w:rFonts w:hint="eastAsia" w:hAnsi="宋体" w:cs="宋体"/>
          <w:b w:val="0"/>
          <w:bCs w:val="0"/>
          <w:highlight w:val="none"/>
        </w:rPr>
        <w:t>（肖秀华）</w:t>
      </w:r>
    </w:p>
    <w:p w14:paraId="315B7F89">
      <w:pPr>
        <w:rPr>
          <w:rFonts w:hint="eastAsia" w:hAnsi="宋体" w:cs="宋体"/>
          <w:b w:val="0"/>
          <w:bCs w:val="0"/>
          <w:highlight w:val="none"/>
        </w:rPr>
      </w:pPr>
      <w:r>
        <w:rPr>
          <w:rFonts w:hint="eastAsia" w:hAnsi="宋体" w:cs="宋体"/>
          <w:b w:val="0"/>
          <w:bCs w:val="0"/>
          <w:highlight w:val="none"/>
        </w:rPr>
        <w:t>附：2015年市侨务局领导班子成员名单</w:t>
      </w:r>
    </w:p>
    <w:p w14:paraId="371D6945">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长：蔡</w:t>
      </w:r>
      <w:r>
        <w:rPr>
          <w:rFonts w:hint="eastAsia" w:hAnsi="宋体" w:cs="宋体"/>
          <w:b w:val="0"/>
          <w:bCs w:val="0"/>
          <w:highlight w:val="none"/>
          <w:lang w:val="en-US" w:eastAsia="zh-CN"/>
        </w:rPr>
        <w:t xml:space="preserve">  </w:t>
      </w:r>
      <w:r>
        <w:rPr>
          <w:rFonts w:hint="eastAsia" w:hAnsi="宋体" w:cs="宋体"/>
          <w:b w:val="0"/>
          <w:bCs w:val="0"/>
          <w:highlight w:val="none"/>
        </w:rPr>
        <w:t>富</w:t>
      </w:r>
    </w:p>
    <w:p w14:paraId="7ED7D103">
      <w:pPr>
        <w:rPr>
          <w:rFonts w:hint="eastAsia" w:hAnsi="宋体" w:cs="宋体"/>
          <w:highlight w:val="none"/>
        </w:rPr>
      </w:pPr>
      <w:r>
        <w:rPr>
          <w:rFonts w:hint="eastAsia" w:hAnsi="宋体" w:cs="宋体"/>
          <w:highlight w:val="none"/>
        </w:rPr>
        <w:t>副局长：肖秀华</w:t>
      </w:r>
    </w:p>
    <w:p w14:paraId="024C6A47">
      <w:pPr>
        <w:pStyle w:val="3"/>
        <w:bidi w:val="0"/>
        <w:rPr>
          <w:rFonts w:hint="eastAsia"/>
          <w:highlight w:val="none"/>
        </w:rPr>
      </w:pPr>
      <w:r>
        <w:rPr>
          <w:rFonts w:hint="eastAsia"/>
          <w:highlight w:val="none"/>
        </w:rPr>
        <w:t>机关事务</w:t>
      </w:r>
    </w:p>
    <w:p w14:paraId="6902C40B">
      <w:pPr>
        <w:pStyle w:val="4"/>
        <w:bidi w:val="0"/>
        <w:rPr>
          <w:rFonts w:hint="eastAsia"/>
          <w:highlight w:val="none"/>
        </w:rPr>
      </w:pPr>
      <w:r>
        <w:rPr>
          <w:rFonts w:hint="eastAsia"/>
          <w:highlight w:val="none"/>
        </w:rPr>
        <w:t>【概况】</w:t>
      </w:r>
    </w:p>
    <w:p w14:paraId="07B9D98A">
      <w:pPr>
        <w:rPr>
          <w:rFonts w:hint="eastAsia" w:hAnsi="宋体" w:cs="宋体"/>
          <w:highlight w:val="none"/>
        </w:rPr>
      </w:pPr>
      <w:r>
        <w:rPr>
          <w:rFonts w:hint="eastAsia" w:hAnsi="宋体" w:cs="宋体"/>
          <w:highlight w:val="none"/>
        </w:rPr>
        <w:t>南雄市机关事务管理局是市政府直属正科级参照公务员管理事业单位。内设5个股级机构，即人秘股、财务股、物业管理股、安全保卫股、接待事务股，行政编制9人，其中领导职数4名（1正3副），内设机构正股级领导职数5名。直属单位有：市人民政府汽车队，事业编制26人；机关生活服务所，事业编制31人。机构人员经费由市财政核拨。</w:t>
      </w:r>
    </w:p>
    <w:p w14:paraId="6D8B3461">
      <w:pPr>
        <w:pStyle w:val="4"/>
        <w:bidi w:val="0"/>
        <w:rPr>
          <w:rFonts w:hint="eastAsia"/>
          <w:highlight w:val="none"/>
        </w:rPr>
      </w:pPr>
      <w:r>
        <w:rPr>
          <w:rFonts w:hint="eastAsia"/>
          <w:highlight w:val="none"/>
        </w:rPr>
        <w:t>【会议服务】</w:t>
      </w:r>
    </w:p>
    <w:p w14:paraId="6F46BED0">
      <w:pPr>
        <w:rPr>
          <w:rFonts w:hint="eastAsia" w:hAnsi="宋体" w:cs="宋体"/>
          <w:highlight w:val="none"/>
        </w:rPr>
      </w:pPr>
      <w:r>
        <w:rPr>
          <w:rFonts w:hint="eastAsia" w:hAnsi="宋体" w:cs="宋体"/>
          <w:highlight w:val="none"/>
        </w:rPr>
        <w:t>2015年接待市委全会、人大会议、政协会议、纪委全会等大小会议288场，人数2万多人次，做好南雄第二届姓氏文化旅游节，南雄第二届银杏文化旅游节，百名作家走进中央苏区采风活动，2015年南雄外出乡贤经贸推介会，华电（南雄）热电冷联供项目奠基暨南雄市重点项目签约动工开业仪式等大型活动接待、会务工作。加强干部职工管理，分解落实任务，明确具体责任人，任务落实到个人，加强与各会议单位沟通协调，积极筹备，精心谋划，周密部署，确保会场布置、音响控制、卫生保洁、茶水供应等工作，做到安全、有序、周到、细致，会务工作做到零差错。</w:t>
      </w:r>
    </w:p>
    <w:p w14:paraId="1576D297">
      <w:pPr>
        <w:pStyle w:val="4"/>
        <w:bidi w:val="0"/>
        <w:rPr>
          <w:rFonts w:hint="eastAsia"/>
          <w:highlight w:val="none"/>
        </w:rPr>
      </w:pPr>
      <w:r>
        <w:rPr>
          <w:rFonts w:hint="eastAsia"/>
          <w:highlight w:val="none"/>
        </w:rPr>
        <w:t>【车队管理】</w:t>
      </w:r>
    </w:p>
    <w:p w14:paraId="31A5F514">
      <w:pPr>
        <w:rPr>
          <w:rFonts w:hint="eastAsia" w:hAnsi="宋体" w:cs="宋体"/>
          <w:highlight w:val="none"/>
        </w:rPr>
      </w:pPr>
      <w:r>
        <w:rPr>
          <w:rFonts w:hint="eastAsia" w:hAnsi="宋体" w:cs="宋体"/>
          <w:highlight w:val="none"/>
        </w:rPr>
        <w:t>车队全体驾驶员签订《公务用车工作责任书》，严格公车管理，制定了每月车辆检查日，设置安全监督检查员，做好司机安全教育工作。严禁公车私用，制定《机关事务管理局公车管理制度》，贯彻执行中央、省、市关于严禁公车私用的有关规定，节假日期间公务车辆一律入库停放，因工作需要用车，实行公务用车派车手续制度。根据省、市公车改革的文件精神，2015年9月成立南雄市雄顺达汽车租赁有限责任公司，规范市领导公务用车制度，完善公务用车改革制度。2015年安全行驶66万公里，保证市四套班子领导和市重大活动公务用车。</w:t>
      </w:r>
    </w:p>
    <w:p w14:paraId="0C0B9F61">
      <w:pPr>
        <w:pStyle w:val="4"/>
        <w:bidi w:val="0"/>
        <w:rPr>
          <w:rFonts w:hint="eastAsia"/>
          <w:highlight w:val="none"/>
        </w:rPr>
      </w:pPr>
      <w:r>
        <w:rPr>
          <w:rFonts w:hint="eastAsia"/>
          <w:highlight w:val="none"/>
        </w:rPr>
        <w:t>【安全保卫】</w:t>
      </w:r>
    </w:p>
    <w:p w14:paraId="76EED9C4">
      <w:pPr>
        <w:rPr>
          <w:rFonts w:hint="eastAsia" w:hAnsi="宋体" w:cs="宋体"/>
          <w:highlight w:val="none"/>
        </w:rPr>
      </w:pPr>
      <w:r>
        <w:rPr>
          <w:rFonts w:hint="eastAsia" w:hAnsi="宋体" w:cs="宋体"/>
          <w:highlight w:val="none"/>
        </w:rPr>
        <w:t>政府大院保安工作由市保安公司派出保安人员负责，要求加强保安培训和日常管理，利用12个高清摄像探头，加强政府大院的空间监控，对大院内进行安全大检查，加大夜间巡逻力度，有效防止安全事故发生，维护大院内安全。2015年参与劝导、处理到市政府上访事件，10人以上有30多起400多人次，10人以下有200多起900多人，营造市委、政府稳定、和谐工作环境，维护政府大院内群众生活正常秩序。</w:t>
      </w:r>
    </w:p>
    <w:p w14:paraId="5701F157">
      <w:pPr>
        <w:pStyle w:val="4"/>
        <w:bidi w:val="0"/>
        <w:rPr>
          <w:rFonts w:hint="eastAsia"/>
          <w:highlight w:val="none"/>
        </w:rPr>
      </w:pPr>
      <w:r>
        <w:rPr>
          <w:rFonts w:hint="eastAsia"/>
          <w:highlight w:val="none"/>
        </w:rPr>
        <w:t>【环境卫生】</w:t>
      </w:r>
    </w:p>
    <w:p w14:paraId="2C8E4B28">
      <w:pPr>
        <w:rPr>
          <w:rFonts w:hint="eastAsia" w:hAnsi="宋体" w:cs="宋体"/>
          <w:highlight w:val="none"/>
        </w:rPr>
      </w:pPr>
      <w:r>
        <w:rPr>
          <w:rFonts w:hint="eastAsia" w:hAnsi="宋体" w:cs="宋体"/>
          <w:highlight w:val="none"/>
        </w:rPr>
        <w:t>做好宣传发动工作，派发健康教育、除“四害”、食品卫生、控烟等宣传资料600余份，在市政府机关大院张贴宣传海报30余张。在市巩固卫生城市工作中，开展环境卫生专项整治行动，明沟改暗渠306米，组织市环卫所开展大型灭鼠灭蚊除害行动30余次，组织人员对公共环境范围排查25次，清理沟渠、积水，清除楼道、天台的杂物，反复消杀公共环境10万多平方米。</w:t>
      </w:r>
    </w:p>
    <w:p w14:paraId="6B38147D">
      <w:pPr>
        <w:pStyle w:val="4"/>
        <w:bidi w:val="0"/>
        <w:rPr>
          <w:rFonts w:hint="eastAsia"/>
          <w:highlight w:val="none"/>
        </w:rPr>
      </w:pPr>
      <w:r>
        <w:rPr>
          <w:rFonts w:hint="eastAsia"/>
          <w:highlight w:val="none"/>
        </w:rPr>
        <w:t>【绿化管理】</w:t>
      </w:r>
    </w:p>
    <w:p w14:paraId="104AEBC0">
      <w:pPr>
        <w:rPr>
          <w:rFonts w:hint="eastAsia" w:hAnsi="宋体" w:cs="宋体"/>
          <w:highlight w:val="none"/>
        </w:rPr>
      </w:pPr>
      <w:r>
        <w:rPr>
          <w:rFonts w:hint="eastAsia" w:hAnsi="宋体" w:cs="宋体"/>
          <w:highlight w:val="none"/>
        </w:rPr>
        <w:t>定期对市政府机关大院各种观赏植物修剪、整形、美化和病虫害防治，进行室内盆景更换、美化，对绿化植物设置植物名字提示牌等措施。定期对室内外绿化、时花进行更换及多次树苗补种。</w:t>
      </w:r>
    </w:p>
    <w:p w14:paraId="5B512999">
      <w:pPr>
        <w:pStyle w:val="4"/>
        <w:bidi w:val="0"/>
        <w:rPr>
          <w:rFonts w:hint="eastAsia"/>
          <w:highlight w:val="none"/>
        </w:rPr>
      </w:pPr>
      <w:r>
        <w:rPr>
          <w:rFonts w:hint="eastAsia"/>
          <w:highlight w:val="none"/>
        </w:rPr>
        <w:t>【基建维修】</w:t>
      </w:r>
    </w:p>
    <w:p w14:paraId="21541345">
      <w:pPr>
        <w:rPr>
          <w:rFonts w:hint="eastAsia" w:hAnsi="宋体" w:cs="宋体"/>
          <w:highlight w:val="none"/>
        </w:rPr>
      </w:pPr>
      <w:r>
        <w:rPr>
          <w:rFonts w:hint="eastAsia" w:hAnsi="宋体" w:cs="宋体"/>
          <w:highlight w:val="none"/>
        </w:rPr>
        <w:t>完成对市委大楼、市政府大楼、南雄大会堂、信访局、市人大、市政协等机关大院大楼各项工程维修300余次，确保市委、政府等办公大楼的电力、供水、消防、空调等系统设备安全运行无事故。坚持工程人员24小时值班制，做好机关各类机电设备的正常运行服务工作，实行空调、消防、监控、安保、水电设备等维修项目“一条龙”服务，做到小修不过夜，维修响应率、成功率均达100%。投资34万元改建市政府广场，投资21万元安装南雄大会堂LED电子显示屏，改建市政府大院变压器，保障市委、市政府及政府大院居民安全用电。</w:t>
      </w:r>
    </w:p>
    <w:p w14:paraId="13843966">
      <w:pPr>
        <w:pStyle w:val="4"/>
        <w:bidi w:val="0"/>
        <w:rPr>
          <w:rFonts w:hint="eastAsia"/>
          <w:highlight w:val="none"/>
        </w:rPr>
      </w:pPr>
      <w:r>
        <w:rPr>
          <w:rFonts w:hint="eastAsia"/>
          <w:highlight w:val="none"/>
        </w:rPr>
        <w:t>【接待工作】</w:t>
      </w:r>
    </w:p>
    <w:p w14:paraId="48A02E22">
      <w:pPr>
        <w:rPr>
          <w:rFonts w:hint="eastAsia" w:hAnsi="宋体" w:cs="宋体"/>
          <w:highlight w:val="none"/>
        </w:rPr>
      </w:pPr>
      <w:r>
        <w:rPr>
          <w:rFonts w:hint="eastAsia" w:hAnsi="宋体" w:cs="宋体"/>
          <w:highlight w:val="none"/>
        </w:rPr>
        <w:t>2015年，完成接待任务89批次，4359人次。其中，接待省部级领导9批次，168人次，厅局级及以下的领导85批次，1049人次，包括广东省委常委、常务副省长徐少华，副省长蓝佛安，广府人海外联谊会会长黎子流。</w:t>
      </w:r>
    </w:p>
    <w:p w14:paraId="5638457A">
      <w:pPr>
        <w:pStyle w:val="4"/>
        <w:bidi w:val="0"/>
        <w:rPr>
          <w:rFonts w:hint="eastAsia"/>
          <w:highlight w:val="none"/>
        </w:rPr>
      </w:pPr>
      <w:r>
        <w:rPr>
          <w:rFonts w:hint="eastAsia"/>
          <w:highlight w:val="none"/>
        </w:rPr>
        <w:t>【扶贫工作】</w:t>
      </w:r>
    </w:p>
    <w:p w14:paraId="2F1F7B72">
      <w:pPr>
        <w:rPr>
          <w:rFonts w:hint="eastAsia" w:hAnsi="宋体" w:cs="宋体"/>
          <w:highlight w:val="none"/>
        </w:rPr>
      </w:pPr>
      <w:r>
        <w:rPr>
          <w:rFonts w:hint="eastAsia" w:hAnsi="宋体" w:cs="宋体"/>
          <w:highlight w:val="none"/>
        </w:rPr>
        <w:t>挂点帮扶珠玑镇长迳村的扶贫开发“双到”工作，结对帮扶贫困户28户，慰问贫困户，帮助他们找准致富门路，实现脱贫致富。投入资金，组织人员修建防旱、防洪水渠，建设长迳村民服务大厅和完善办公设施，方便群众办事。投入扶贫开发资金10万元，争取上级扶贫资金50万元，2015年贫困户人均纯收入可达5540元，比上年增长14%。</w:t>
      </w:r>
    </w:p>
    <w:p w14:paraId="62ED244C">
      <w:pPr>
        <w:jc w:val="right"/>
        <w:rPr>
          <w:rFonts w:hint="eastAsia" w:hAnsi="宋体" w:cs="宋体"/>
          <w:highlight w:val="none"/>
        </w:rPr>
      </w:pPr>
      <w:r>
        <w:rPr>
          <w:rFonts w:hint="eastAsia" w:hAnsi="宋体" w:cs="宋体"/>
          <w:highlight w:val="none"/>
        </w:rPr>
        <w:t>（刘宏峰）</w:t>
      </w:r>
    </w:p>
    <w:p w14:paraId="3A336C9D">
      <w:pPr>
        <w:rPr>
          <w:rFonts w:hint="eastAsia" w:hAnsi="宋体" w:cs="宋体"/>
          <w:b w:val="0"/>
          <w:bCs w:val="0"/>
          <w:highlight w:val="none"/>
        </w:rPr>
      </w:pPr>
      <w:r>
        <w:rPr>
          <w:rFonts w:hint="eastAsia" w:hAnsi="宋体" w:cs="宋体"/>
          <w:b w:val="0"/>
          <w:bCs w:val="0"/>
          <w:highlight w:val="none"/>
        </w:rPr>
        <w:t>附：2015年市机关事务局领导班子成员名单</w:t>
      </w:r>
    </w:p>
    <w:p w14:paraId="29B52A1F">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长：邓昌忠</w:t>
      </w:r>
    </w:p>
    <w:p w14:paraId="485CEBB5">
      <w:pPr>
        <w:rPr>
          <w:rFonts w:hint="eastAsia" w:hAnsi="宋体" w:cs="宋体"/>
          <w:b w:val="0"/>
          <w:bCs w:val="0"/>
          <w:highlight w:val="none"/>
        </w:rPr>
      </w:pPr>
      <w:r>
        <w:rPr>
          <w:rFonts w:hint="eastAsia" w:hAnsi="宋体" w:cs="宋体"/>
          <w:b w:val="0"/>
          <w:bCs w:val="0"/>
          <w:highlight w:val="none"/>
        </w:rPr>
        <w:t>副局长：陈川明 龚永胜</w:t>
      </w:r>
    </w:p>
    <w:p w14:paraId="550ECC4F">
      <w:pPr>
        <w:pStyle w:val="3"/>
        <w:bidi w:val="0"/>
        <w:rPr>
          <w:rFonts w:hint="eastAsia"/>
          <w:highlight w:val="none"/>
        </w:rPr>
      </w:pPr>
      <w:r>
        <w:rPr>
          <w:rFonts w:hint="eastAsia"/>
          <w:highlight w:val="none"/>
        </w:rPr>
        <w:t>档案工作</w:t>
      </w:r>
    </w:p>
    <w:p w14:paraId="42437223">
      <w:pPr>
        <w:pStyle w:val="4"/>
        <w:bidi w:val="0"/>
        <w:rPr>
          <w:rFonts w:hint="eastAsia"/>
          <w:highlight w:val="none"/>
        </w:rPr>
      </w:pPr>
      <w:r>
        <w:rPr>
          <w:rFonts w:hint="eastAsia"/>
          <w:highlight w:val="none"/>
        </w:rPr>
        <w:t>【概况】</w:t>
      </w:r>
    </w:p>
    <w:p w14:paraId="1B5B2DA5">
      <w:pPr>
        <w:rPr>
          <w:rFonts w:hint="eastAsia" w:hAnsi="宋体" w:cs="宋体"/>
          <w:highlight w:val="none"/>
        </w:rPr>
      </w:pPr>
      <w:r>
        <w:rPr>
          <w:rFonts w:hint="eastAsia" w:hAnsi="宋体" w:cs="宋体"/>
          <w:highlight w:val="none"/>
        </w:rPr>
        <w:t>南雄市档案局（馆）是市人民政府负责全市档案事业行政管理和档案保管利用工作的正科级事业单位。市档案局与档案馆实行局馆合一体制，内设人秘股、业务指导股、档案管理股3个股室，档案局现有事业编制8人。至2015年底，档案局（馆）实有工作人员11人。其中，局（馆）长1人，副局（馆）长2人、其他工作人员6人、社会购买档案服务人员2名。南雄市档案局（馆）既是省一级档案馆，也是南雄市集档案保管利用、爱国主义教育基地、青少年教育基地、现行文件阅览、政府公开信息查阅中心、展览厅、旅游参观点等多功能为一体的综合性档案馆。</w:t>
      </w:r>
    </w:p>
    <w:p w14:paraId="488C4FD6">
      <w:pPr>
        <w:pStyle w:val="4"/>
        <w:bidi w:val="0"/>
        <w:rPr>
          <w:rFonts w:hint="eastAsia"/>
          <w:highlight w:val="none"/>
        </w:rPr>
      </w:pPr>
      <w:r>
        <w:rPr>
          <w:rFonts w:hint="eastAsia"/>
          <w:highlight w:val="none"/>
        </w:rPr>
        <w:t>【新档案馆建设开工】</w:t>
      </w:r>
    </w:p>
    <w:p w14:paraId="387EF1E2">
      <w:pPr>
        <w:rPr>
          <w:rFonts w:hint="eastAsia" w:hAnsi="宋体" w:cs="宋体"/>
          <w:highlight w:val="none"/>
        </w:rPr>
      </w:pPr>
      <w:r>
        <w:rPr>
          <w:rFonts w:hint="eastAsia" w:hAnsi="宋体" w:cs="宋体"/>
          <w:highlight w:val="none"/>
        </w:rPr>
        <w:t>2015年12月8日上午，南雄市委、市政府在市北城区迎宾大道东、黎灿小学北侧的南雄市档案馆建设项目工地上，为南雄市档案馆新馆建设举行正式开工仪式。</w:t>
      </w:r>
    </w:p>
    <w:p w14:paraId="1D4D74E1">
      <w:pPr>
        <w:rPr>
          <w:rFonts w:hint="eastAsia" w:hAnsi="宋体" w:cs="宋体"/>
          <w:highlight w:val="none"/>
        </w:rPr>
      </w:pPr>
      <w:r>
        <w:rPr>
          <w:rFonts w:hint="eastAsia" w:hAnsi="宋体" w:cs="宋体"/>
          <w:highlight w:val="none"/>
        </w:rPr>
        <w:t>南雄市新档案馆建设项目占地面积1201</w:t>
      </w:r>
      <w:r>
        <w:rPr>
          <w:rFonts w:hint="eastAsia" w:ascii="MingLiU_HKSCS" w:hAnsi="MingLiU_HKSCS" w:eastAsia="MingLiU_HKSCS" w:cs="MingLiU_HKSCS"/>
          <w:highlight w:val="none"/>
        </w:rPr>
        <w:t>.</w:t>
      </w:r>
      <w:r>
        <w:rPr>
          <w:rFonts w:hint="eastAsia" w:hAnsi="宋体" w:cs="宋体"/>
          <w:highlight w:val="none"/>
        </w:rPr>
        <w:t>8平方米，地上建筑面积5496</w:t>
      </w:r>
      <w:r>
        <w:rPr>
          <w:rFonts w:hint="eastAsia" w:ascii="MingLiU_HKSCS" w:hAnsi="MingLiU_HKSCS" w:eastAsia="MingLiU_HKSCS" w:cs="MingLiU_HKSCS"/>
          <w:highlight w:val="none"/>
        </w:rPr>
        <w:t>.</w:t>
      </w:r>
      <w:r>
        <w:rPr>
          <w:rFonts w:hint="eastAsia" w:hAnsi="宋体" w:cs="宋体"/>
          <w:highlight w:val="none"/>
        </w:rPr>
        <w:t>8平方米，地下室面积2946平方米</w:t>
      </w:r>
      <w:r>
        <w:rPr>
          <w:rFonts w:hint="eastAsia" w:hAnsi="宋体" w:cs="宋体"/>
          <w:highlight w:val="none"/>
          <w:lang w:eastAsia="zh-CN"/>
        </w:rPr>
        <w:t>，</w:t>
      </w:r>
      <w:r>
        <w:rPr>
          <w:rFonts w:hint="eastAsia" w:hAnsi="宋体" w:cs="宋体"/>
          <w:highlight w:val="none"/>
        </w:rPr>
        <w:t>总建筑面积8442</w:t>
      </w:r>
      <w:r>
        <w:rPr>
          <w:rFonts w:hint="eastAsia" w:ascii="MingLiU_HKSCS" w:hAnsi="MingLiU_HKSCS" w:eastAsia="MingLiU_HKSCS" w:cs="MingLiU_HKSCS"/>
          <w:highlight w:val="none"/>
        </w:rPr>
        <w:t>.</w:t>
      </w:r>
      <w:r>
        <w:rPr>
          <w:rFonts w:hint="eastAsia" w:hAnsi="宋体" w:cs="宋体"/>
          <w:highlight w:val="none"/>
        </w:rPr>
        <w:t>8平方米，预计投资2000万元。新档案馆建设项目于2015年12月开工，预计2017年12月竣工。将按县级国家一级档案馆建设标准设计，共五层，是一座集档案保管、利用、培训、展览等为一体的多功能、智能化档案馆。</w:t>
      </w:r>
    </w:p>
    <w:p w14:paraId="34DF347F">
      <w:pPr>
        <w:pStyle w:val="4"/>
        <w:bidi w:val="0"/>
        <w:rPr>
          <w:rFonts w:hint="eastAsia"/>
          <w:highlight w:val="none"/>
        </w:rPr>
      </w:pPr>
      <w:r>
        <w:rPr>
          <w:rFonts w:hint="eastAsia"/>
          <w:highlight w:val="none"/>
        </w:rPr>
        <w:t>【档案资源建设】</w:t>
      </w:r>
    </w:p>
    <w:p w14:paraId="11DC8ABD">
      <w:pPr>
        <w:rPr>
          <w:rFonts w:hint="eastAsia" w:hAnsi="宋体" w:cs="宋体"/>
          <w:highlight w:val="none"/>
        </w:rPr>
      </w:pPr>
      <w:r>
        <w:rPr>
          <w:rFonts w:hint="eastAsia" w:hAnsi="宋体" w:cs="宋体"/>
          <w:highlight w:val="none"/>
        </w:rPr>
        <w:t>截至2015年12月，南雄市档案馆馆藏档案有档案全宗130个，包括文书档案、科技档案、专门档案、声像档案、实物档案等7个大类的档案，馆藏总量为56483卷7705件5948张972盘，其中文书档案25434卷7578件、专门档案29402卷、基建档案145卷、会计档案353卷、已故人员档案1149卷、声像档案5948张972盘、实物档案127件，总排架长799米。有志史资料、书籍、报刊期刊等各类资料67种，6212册。接收到各单位移交档案电子目录总量案卷级6</w:t>
      </w:r>
      <w:r>
        <w:rPr>
          <w:rFonts w:hint="eastAsia" w:ascii="MingLiU_HKSCS" w:hAnsi="MingLiU_HKSCS" w:eastAsia="MingLiU_HKSCS" w:cs="MingLiU_HKSCS"/>
          <w:highlight w:val="none"/>
        </w:rPr>
        <w:t>.</w:t>
      </w:r>
      <w:r>
        <w:rPr>
          <w:rFonts w:hint="eastAsia" w:hAnsi="宋体" w:cs="宋体"/>
          <w:highlight w:val="none"/>
        </w:rPr>
        <w:t>2万条，文件级47万条。</w:t>
      </w:r>
    </w:p>
    <w:p w14:paraId="347CF09F">
      <w:pPr>
        <w:pStyle w:val="4"/>
        <w:bidi w:val="0"/>
        <w:rPr>
          <w:rFonts w:hint="eastAsia"/>
          <w:highlight w:val="none"/>
        </w:rPr>
      </w:pPr>
      <w:r>
        <w:rPr>
          <w:rFonts w:hint="eastAsia"/>
          <w:highlight w:val="none"/>
        </w:rPr>
        <w:t>【整理归档与档案接收】</w:t>
      </w:r>
    </w:p>
    <w:p w14:paraId="277B1FDD">
      <w:pPr>
        <w:rPr>
          <w:rFonts w:hint="eastAsia" w:hAnsi="宋体" w:cs="宋体"/>
          <w:highlight w:val="none"/>
        </w:rPr>
      </w:pPr>
      <w:r>
        <w:rPr>
          <w:rFonts w:hint="eastAsia" w:hAnsi="宋体" w:cs="宋体"/>
          <w:highlight w:val="none"/>
        </w:rPr>
        <w:t>2015年4月14日至5月30日，分3批集中市直各单位、各镇档案员，到档案馆进行2014年度档案材料的整理归档和电子目录的输入等工作。有102个单位的档案员参加集中整理归档，截至12月，整理档案11131件。该馆还接收到各单位移交进馆各类档案1322卷1244件106张（盘）。其中文书档案497卷1244件、专门档案796卷、已故人员档案29卷、声像档案4盘又102张，接收到各单位移交档案电子目录案卷级1327条，文件级17780条。</w:t>
      </w:r>
    </w:p>
    <w:p w14:paraId="53AC6CDD">
      <w:pPr>
        <w:pStyle w:val="4"/>
        <w:bidi w:val="0"/>
        <w:rPr>
          <w:rFonts w:hint="eastAsia"/>
          <w:highlight w:val="none"/>
        </w:rPr>
      </w:pPr>
      <w:r>
        <w:rPr>
          <w:rFonts w:hint="eastAsia"/>
          <w:highlight w:val="none"/>
        </w:rPr>
        <w:t>【档案服务利用】</w:t>
      </w:r>
    </w:p>
    <w:p w14:paraId="369EA475">
      <w:pPr>
        <w:rPr>
          <w:rFonts w:hint="eastAsia" w:hAnsi="宋体" w:cs="宋体"/>
          <w:highlight w:val="none"/>
        </w:rPr>
      </w:pPr>
      <w:r>
        <w:rPr>
          <w:rFonts w:hint="eastAsia" w:hAnsi="宋体" w:cs="宋体"/>
          <w:highlight w:val="none"/>
        </w:rPr>
        <w:t>2015年，做好馆藏档案服务利用工作，接待各类查档人员522人次，查阅各类档案材料728卷（册），为南雄市经济建设、招商引资、林权改革、土地征用，各类山林、土地、房屋纠纷的解决等提供真实有效的凭证材料。</w:t>
      </w:r>
    </w:p>
    <w:p w14:paraId="707C0E3E">
      <w:pPr>
        <w:pStyle w:val="4"/>
        <w:bidi w:val="0"/>
        <w:rPr>
          <w:rFonts w:hint="eastAsia"/>
          <w:highlight w:val="none"/>
        </w:rPr>
      </w:pPr>
      <w:r>
        <w:rPr>
          <w:rFonts w:hint="eastAsia"/>
          <w:highlight w:val="none"/>
        </w:rPr>
        <w:t>【政府信息公开材料的接收管理】</w:t>
      </w:r>
    </w:p>
    <w:p w14:paraId="225A3DF4">
      <w:pPr>
        <w:rPr>
          <w:rFonts w:hint="eastAsia" w:hAnsi="宋体" w:cs="宋体"/>
          <w:highlight w:val="none"/>
        </w:rPr>
      </w:pPr>
      <w:r>
        <w:rPr>
          <w:rFonts w:hint="eastAsia" w:hAnsi="宋体" w:cs="宋体"/>
          <w:highlight w:val="none"/>
        </w:rPr>
        <w:t>2015年，做好对各单位政府信息公开材料的接收、管理和查阅利用工作，做到专人专管、交接有序，并及时做好政府信息公开材料统计和上报工作，截至12月，接收到各单位交来政府信息公开材料2230份。（钟凌华）</w:t>
      </w:r>
    </w:p>
    <w:p w14:paraId="56C6FA6D">
      <w:pPr>
        <w:rPr>
          <w:rFonts w:hint="eastAsia" w:hAnsi="宋体" w:cs="宋体"/>
          <w:b w:val="0"/>
          <w:bCs w:val="0"/>
          <w:highlight w:val="none"/>
        </w:rPr>
      </w:pPr>
      <w:r>
        <w:rPr>
          <w:rFonts w:hint="eastAsia" w:hAnsi="宋体" w:cs="宋体"/>
          <w:b w:val="0"/>
          <w:bCs w:val="0"/>
          <w:highlight w:val="none"/>
        </w:rPr>
        <w:t>附：2015年市档案局领导班子成员名单</w:t>
      </w:r>
    </w:p>
    <w:p w14:paraId="49A10720">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长：李应军</w:t>
      </w:r>
    </w:p>
    <w:p w14:paraId="3355EF24">
      <w:pPr>
        <w:rPr>
          <w:rFonts w:hint="eastAsia" w:hAnsi="宋体" w:cs="宋体"/>
          <w:b w:val="0"/>
          <w:bCs w:val="0"/>
          <w:highlight w:val="none"/>
        </w:rPr>
      </w:pPr>
      <w:r>
        <w:rPr>
          <w:rFonts w:hint="eastAsia" w:hAnsi="宋体" w:cs="宋体"/>
          <w:b w:val="0"/>
          <w:bCs w:val="0"/>
          <w:highlight w:val="none"/>
        </w:rPr>
        <w:t>副局长：冯振根 刘运洲（12月任）</w:t>
      </w:r>
    </w:p>
    <w:p w14:paraId="5C5DF81D">
      <w:pPr>
        <w:pStyle w:val="3"/>
        <w:bidi w:val="0"/>
        <w:rPr>
          <w:rFonts w:hint="eastAsia"/>
          <w:highlight w:val="none"/>
        </w:rPr>
      </w:pPr>
      <w:r>
        <w:rPr>
          <w:rFonts w:hint="eastAsia"/>
          <w:highlight w:val="none"/>
        </w:rPr>
        <w:t>行政服务</w:t>
      </w:r>
    </w:p>
    <w:p w14:paraId="6E0B8D47">
      <w:pPr>
        <w:pStyle w:val="4"/>
        <w:bidi w:val="0"/>
        <w:rPr>
          <w:rFonts w:hint="eastAsia"/>
          <w:highlight w:val="none"/>
        </w:rPr>
      </w:pPr>
      <w:r>
        <w:rPr>
          <w:rFonts w:hint="eastAsia"/>
          <w:highlight w:val="none"/>
        </w:rPr>
        <w:t>【概况】</w:t>
      </w:r>
    </w:p>
    <w:p w14:paraId="77EBA2E0">
      <w:pPr>
        <w:rPr>
          <w:rFonts w:hint="eastAsia" w:hAnsi="宋体" w:cs="宋体"/>
          <w:highlight w:val="none"/>
        </w:rPr>
      </w:pPr>
      <w:r>
        <w:rPr>
          <w:rFonts w:hint="eastAsia" w:hAnsi="宋体" w:cs="宋体"/>
          <w:highlight w:val="none"/>
        </w:rPr>
        <w:t>南雄市行政服务中心内设办公室、业务股、督查股、政务股，下辖南雄市公共资源交易中心任务。2015年，中心以开展“双学双比”“项目落实年”和“三严三实”等活动为契机，以深化行政审批制度改革为动力，以提高群众满意率为目标，打造优质、高效、廉洁行政服务平台，在建设“服务型”“阳光型”“高效型”政府过程中发挥推动作用。2015年共收件29637件，办结率99%。7月，中心支部被市直工委评为先进党支部。</w:t>
      </w:r>
    </w:p>
    <w:p w14:paraId="4E64D323">
      <w:pPr>
        <w:pStyle w:val="4"/>
        <w:bidi w:val="0"/>
        <w:rPr>
          <w:rFonts w:hint="eastAsia"/>
          <w:highlight w:val="none"/>
        </w:rPr>
      </w:pPr>
      <w:r>
        <w:rPr>
          <w:rFonts w:hint="eastAsia"/>
          <w:highlight w:val="none"/>
        </w:rPr>
        <w:t>【窗口管理】</w:t>
      </w:r>
    </w:p>
    <w:p w14:paraId="031E4804">
      <w:pPr>
        <w:rPr>
          <w:rFonts w:hint="eastAsia" w:hAnsi="宋体" w:cs="宋体"/>
          <w:highlight w:val="none"/>
        </w:rPr>
      </w:pPr>
      <w:r>
        <w:rPr>
          <w:rFonts w:hint="eastAsia" w:hAnsi="宋体" w:cs="宋体"/>
          <w:highlight w:val="none"/>
        </w:rPr>
        <w:t>创新工作机制，提升服务意识。通过亮身份、亮职责、亮承诺、亮流程“四亮”工作机制，注重引导党员增强“我是党员我光荣”“我是党员我带头”的荣誉感和责任感，自觉树立主动服务意识和标杆意识。创新服务内容，提升服务能力。主要是为方便群众办事，推行午间预约服务、延时服务、跟踪服务和上门服务等多项服务内容。实行“一门受理、窗口办理、统一收费、限时办结”“一站式”运行模式标准化；实行严格按照流程执行，按照规范办件程序标准化。创新服务方式，提升服务水平。推进招商项目全程代理服务、全民创业项目代办服务、重大项目上门服务、园区和基层重点项目跟踪服务。普遍推行“二次终结制”。做到一次性告知所需材料和要求，二次在服务对象资料齐全的情况下限时办结。涉及两个部门以上的行政审批普遍推行联合审批。</w:t>
      </w:r>
    </w:p>
    <w:p w14:paraId="54400F6A">
      <w:pPr>
        <w:pStyle w:val="4"/>
        <w:bidi w:val="0"/>
        <w:rPr>
          <w:rFonts w:hint="eastAsia"/>
          <w:highlight w:val="none"/>
        </w:rPr>
      </w:pPr>
      <w:r>
        <w:rPr>
          <w:rFonts w:hint="eastAsia"/>
          <w:highlight w:val="none"/>
        </w:rPr>
        <w:t>【信息公开】</w:t>
      </w:r>
    </w:p>
    <w:p w14:paraId="39537551">
      <w:pPr>
        <w:rPr>
          <w:rFonts w:hint="eastAsia" w:hAnsi="宋体" w:cs="宋体"/>
          <w:highlight w:val="none"/>
        </w:rPr>
      </w:pPr>
      <w:r>
        <w:rPr>
          <w:rFonts w:hint="eastAsia" w:hAnsi="宋体" w:cs="宋体"/>
          <w:highlight w:val="none"/>
        </w:rPr>
        <w:t>健全体制机制，确保政府信息公开工作规范运作。围绕加强对政府信息公开的管理，推进公开工作的制度化、规范化，完善落实三项制度：信息公开保密审查制度。按照“谁提供、谁审核、谁负责”的原则审核后公开。责任追究制度。对违反《中华人民共和国政府信息公开条例》和保密相关规定的各类行为，严格追究相关单位和个人的责任。信息公开考核制度。将政府信息公开工作情况列入年度行政考核的内容，采取查阅相关资料和检查系统平台运行等形式，对政府信息公开工作落实情况进行检查，对暴露出的问题，及时整改纠治。</w:t>
      </w:r>
    </w:p>
    <w:p w14:paraId="2EA7D941">
      <w:pPr>
        <w:pStyle w:val="4"/>
        <w:bidi w:val="0"/>
        <w:rPr>
          <w:rFonts w:hint="eastAsia"/>
          <w:highlight w:val="none"/>
        </w:rPr>
      </w:pPr>
      <w:r>
        <w:rPr>
          <w:rFonts w:hint="eastAsia"/>
          <w:highlight w:val="none"/>
        </w:rPr>
        <w:t>【便民服务】</w:t>
      </w:r>
    </w:p>
    <w:p w14:paraId="6D3628FC">
      <w:pPr>
        <w:rPr>
          <w:rFonts w:hint="eastAsia" w:hAnsi="宋体" w:cs="宋体"/>
          <w:highlight w:val="none"/>
        </w:rPr>
      </w:pPr>
      <w:r>
        <w:rPr>
          <w:rFonts w:hint="eastAsia" w:hAnsi="宋体" w:cs="宋体"/>
          <w:highlight w:val="none"/>
        </w:rPr>
        <w:t>整合党风廉政建设、党代表工作室建设、网上办事大厅拓展完善、农村综合改革等工作人力物力资源，建立高效、便民、公开、廉洁的便民服务平台，健全完善市、镇、村三级政务服务体系，上下联动，多措并举，全力打造该市政务服务软环境。2015年，投入500多万元资金进行公共便民服务建设，18个镇（街道）已经完成“大厅运作、集中办公”、“一站式”的便民服务建设，全市238个村、社区全面建立便民服务站，实现“进一家门，办百家事”便民利民举措。</w:t>
      </w:r>
    </w:p>
    <w:p w14:paraId="09C51667">
      <w:pPr>
        <w:pStyle w:val="4"/>
        <w:bidi w:val="0"/>
        <w:rPr>
          <w:rFonts w:hint="eastAsia"/>
          <w:highlight w:val="none"/>
        </w:rPr>
      </w:pPr>
      <w:r>
        <w:rPr>
          <w:rFonts w:hint="eastAsia"/>
          <w:highlight w:val="none"/>
        </w:rPr>
        <w:t>【招商引资】</w:t>
      </w:r>
    </w:p>
    <w:p w14:paraId="73F96435">
      <w:pPr>
        <w:rPr>
          <w:rFonts w:hint="eastAsia" w:hAnsi="宋体" w:cs="宋体"/>
          <w:highlight w:val="none"/>
        </w:rPr>
      </w:pPr>
      <w:r>
        <w:rPr>
          <w:rFonts w:hint="eastAsia" w:hAnsi="宋体" w:cs="宋体"/>
          <w:highlight w:val="none"/>
        </w:rPr>
        <w:t>2015年，中心为重点企业和新落户的企业实行主动服务、跟踪服务，着力推进联办代办机制。走访该市园区企业，听取投资者对投资项目审批难、落地难等问题提出的意见和建议；发挥中心的监督职能，协调相关窗口单位走出去、到企业、到现场作好服务；了解摸清审批前置条件，切实帮助企业解决项目在审批过程中存在的问题；梳理企业提出的意见和建议，召集互为前置的窗口单位商讨并联审批工作程序，帮助企业实现由串联到并联的同步审批。</w:t>
      </w:r>
    </w:p>
    <w:p w14:paraId="1871EF90">
      <w:pPr>
        <w:pStyle w:val="4"/>
        <w:bidi w:val="0"/>
        <w:rPr>
          <w:rFonts w:hint="eastAsia"/>
          <w:highlight w:val="none"/>
        </w:rPr>
      </w:pPr>
      <w:r>
        <w:rPr>
          <w:rFonts w:hint="eastAsia"/>
          <w:highlight w:val="none"/>
        </w:rPr>
        <w:t>【公共资源】</w:t>
      </w:r>
    </w:p>
    <w:p w14:paraId="407DFF10">
      <w:pPr>
        <w:rPr>
          <w:rFonts w:hint="eastAsia" w:hAnsi="宋体" w:cs="宋体"/>
          <w:highlight w:val="none"/>
        </w:rPr>
      </w:pPr>
      <w:r>
        <w:rPr>
          <w:rFonts w:hint="eastAsia" w:hAnsi="宋体" w:cs="宋体"/>
          <w:highlight w:val="none"/>
        </w:rPr>
        <w:t>2015年，完成各类交易项目306宗，交易金额7</w:t>
      </w:r>
      <w:r>
        <w:rPr>
          <w:rFonts w:hint="eastAsia" w:ascii="MingLiU_HKSCS" w:hAnsi="MingLiU_HKSCS" w:eastAsia="MingLiU_HKSCS" w:cs="MingLiU_HKSCS"/>
          <w:highlight w:val="none"/>
        </w:rPr>
        <w:t>.</w:t>
      </w:r>
      <w:r>
        <w:rPr>
          <w:rFonts w:hint="eastAsia" w:hAnsi="宋体" w:cs="宋体"/>
          <w:highlight w:val="none"/>
        </w:rPr>
        <w:t>45亿元，节约资金1</w:t>
      </w:r>
      <w:r>
        <w:rPr>
          <w:rFonts w:hint="eastAsia" w:ascii="MingLiU_HKSCS" w:hAnsi="MingLiU_HKSCS" w:eastAsia="MingLiU_HKSCS" w:cs="MingLiU_HKSCS"/>
          <w:highlight w:val="none"/>
        </w:rPr>
        <w:t>.</w:t>
      </w:r>
      <w:r>
        <w:rPr>
          <w:rFonts w:hint="eastAsia" w:hAnsi="宋体" w:cs="宋体"/>
          <w:highlight w:val="none"/>
        </w:rPr>
        <w:t>6亿元，增值资金92万元，收取报名费及交易服务费359万元。其中完成建设工程项目81宗，交易金额5</w:t>
      </w:r>
      <w:r>
        <w:rPr>
          <w:rFonts w:hint="eastAsia" w:ascii="MingLiU_HKSCS" w:hAnsi="MingLiU_HKSCS" w:eastAsia="MingLiU_HKSCS" w:cs="MingLiU_HKSCS"/>
          <w:highlight w:val="none"/>
        </w:rPr>
        <w:t>.</w:t>
      </w:r>
      <w:r>
        <w:rPr>
          <w:rFonts w:hint="eastAsia" w:hAnsi="宋体" w:cs="宋体"/>
          <w:highlight w:val="none"/>
        </w:rPr>
        <w:t>33亿元，比预算节约资金1</w:t>
      </w:r>
      <w:r>
        <w:rPr>
          <w:rFonts w:hint="eastAsia" w:ascii="MingLiU_HKSCS" w:hAnsi="MingLiU_HKSCS" w:eastAsia="MingLiU_HKSCS" w:cs="MingLiU_HKSCS"/>
          <w:highlight w:val="none"/>
        </w:rPr>
        <w:t>.</w:t>
      </w:r>
      <w:r>
        <w:rPr>
          <w:rFonts w:hint="eastAsia" w:hAnsi="宋体" w:cs="宋体"/>
          <w:highlight w:val="none"/>
        </w:rPr>
        <w:t>39亿元，收取报名费46万元、交易服务费117万元；完成政府采购项目195宗，交易金额1</w:t>
      </w:r>
      <w:r>
        <w:rPr>
          <w:rFonts w:hint="eastAsia" w:ascii="MingLiU_HKSCS" w:hAnsi="MingLiU_HKSCS" w:eastAsia="MingLiU_HKSCS" w:cs="MingLiU_HKSCS"/>
          <w:highlight w:val="none"/>
        </w:rPr>
        <w:t>.</w:t>
      </w:r>
      <w:r>
        <w:rPr>
          <w:rFonts w:hint="eastAsia" w:hAnsi="宋体" w:cs="宋体"/>
          <w:highlight w:val="none"/>
        </w:rPr>
        <w:t>35亿元，节约资金2097万元，收取报名费15</w:t>
      </w:r>
      <w:r>
        <w:rPr>
          <w:rFonts w:hint="eastAsia" w:ascii="MingLiU_HKSCS" w:hAnsi="MingLiU_HKSCS" w:eastAsia="MingLiU_HKSCS" w:cs="MingLiU_HKSCS"/>
          <w:highlight w:val="none"/>
        </w:rPr>
        <w:t>.</w:t>
      </w:r>
      <w:r>
        <w:rPr>
          <w:rFonts w:hint="eastAsia" w:hAnsi="宋体" w:cs="宋体"/>
          <w:highlight w:val="none"/>
        </w:rPr>
        <w:t>46万元、交易服务费154</w:t>
      </w:r>
      <w:r>
        <w:rPr>
          <w:rFonts w:hint="eastAsia" w:ascii="MingLiU_HKSCS" w:hAnsi="MingLiU_HKSCS" w:eastAsia="MingLiU_HKSCS" w:cs="MingLiU_HKSCS"/>
          <w:highlight w:val="none"/>
        </w:rPr>
        <w:t>.</w:t>
      </w:r>
      <w:r>
        <w:rPr>
          <w:rFonts w:hint="eastAsia" w:hAnsi="宋体" w:cs="宋体"/>
          <w:highlight w:val="none"/>
        </w:rPr>
        <w:t>15万元，收到供应商的质疑8宗、投诉2宗；完成土地交易项目18宗，交易金额6716</w:t>
      </w:r>
      <w:r>
        <w:rPr>
          <w:rFonts w:hint="eastAsia" w:ascii="MingLiU_HKSCS" w:hAnsi="MingLiU_HKSCS" w:eastAsia="MingLiU_HKSCS" w:cs="MingLiU_HKSCS"/>
          <w:highlight w:val="none"/>
        </w:rPr>
        <w:t>.</w:t>
      </w:r>
      <w:r>
        <w:rPr>
          <w:rFonts w:hint="eastAsia" w:hAnsi="宋体" w:cs="宋体"/>
          <w:highlight w:val="none"/>
        </w:rPr>
        <w:t>3万元，收取交易服务费22</w:t>
      </w:r>
      <w:r>
        <w:rPr>
          <w:rFonts w:hint="eastAsia" w:ascii="MingLiU_HKSCS" w:hAnsi="MingLiU_HKSCS" w:eastAsia="MingLiU_HKSCS" w:cs="MingLiU_HKSCS"/>
          <w:highlight w:val="none"/>
        </w:rPr>
        <w:t>.</w:t>
      </w:r>
      <w:r>
        <w:rPr>
          <w:rFonts w:hint="eastAsia" w:hAnsi="宋体" w:cs="宋体"/>
          <w:highlight w:val="none"/>
        </w:rPr>
        <w:t>59万元；完成产权交易项目12宗，交易金额1006</w:t>
      </w:r>
      <w:r>
        <w:rPr>
          <w:rFonts w:hint="eastAsia" w:ascii="MingLiU_HKSCS" w:hAnsi="MingLiU_HKSCS" w:eastAsia="MingLiU_HKSCS" w:cs="MingLiU_HKSCS"/>
          <w:highlight w:val="none"/>
        </w:rPr>
        <w:t>.</w:t>
      </w:r>
      <w:r>
        <w:rPr>
          <w:rFonts w:hint="eastAsia" w:hAnsi="宋体" w:cs="宋体"/>
          <w:highlight w:val="none"/>
        </w:rPr>
        <w:t>1万元，增值资金91</w:t>
      </w:r>
      <w:r>
        <w:rPr>
          <w:rFonts w:hint="eastAsia" w:ascii="MingLiU_HKSCS" w:hAnsi="MingLiU_HKSCS" w:eastAsia="MingLiU_HKSCS" w:cs="MingLiU_HKSCS"/>
          <w:highlight w:val="none"/>
        </w:rPr>
        <w:t>.</w:t>
      </w:r>
      <w:r>
        <w:rPr>
          <w:rFonts w:hint="eastAsia" w:hAnsi="宋体" w:cs="宋体"/>
          <w:highlight w:val="none"/>
        </w:rPr>
        <w:t>98万元，节约资金1</w:t>
      </w:r>
      <w:r>
        <w:rPr>
          <w:rFonts w:hint="eastAsia" w:ascii="MingLiU_HKSCS" w:hAnsi="MingLiU_HKSCS" w:eastAsia="MingLiU_HKSCS" w:cs="MingLiU_HKSCS"/>
          <w:highlight w:val="none"/>
        </w:rPr>
        <w:t>.</w:t>
      </w:r>
      <w:r>
        <w:rPr>
          <w:rFonts w:hint="eastAsia" w:hAnsi="宋体" w:cs="宋体"/>
          <w:highlight w:val="none"/>
        </w:rPr>
        <w:t>5万元，收取交易服务费3</w:t>
      </w:r>
      <w:r>
        <w:rPr>
          <w:rFonts w:hint="eastAsia" w:ascii="MingLiU_HKSCS" w:hAnsi="MingLiU_HKSCS" w:eastAsia="MingLiU_HKSCS" w:cs="MingLiU_HKSCS"/>
          <w:highlight w:val="none"/>
        </w:rPr>
        <w:t>.</w:t>
      </w:r>
      <w:r>
        <w:rPr>
          <w:rFonts w:hint="eastAsia" w:hAnsi="宋体" w:cs="宋体"/>
          <w:highlight w:val="none"/>
        </w:rPr>
        <w:t>76万元。（叶新亮）</w:t>
      </w:r>
    </w:p>
    <w:p w14:paraId="492ED259">
      <w:pPr>
        <w:rPr>
          <w:rFonts w:hint="eastAsia" w:hAnsi="宋体" w:cs="宋体"/>
          <w:b w:val="0"/>
          <w:bCs w:val="0"/>
          <w:highlight w:val="none"/>
        </w:rPr>
      </w:pPr>
      <w:r>
        <w:rPr>
          <w:rFonts w:hint="eastAsia" w:hAnsi="宋体" w:cs="宋体"/>
          <w:b w:val="0"/>
          <w:bCs w:val="0"/>
          <w:highlight w:val="none"/>
        </w:rPr>
        <w:t>附：2015年市行政服务中心领导班子成员名单</w:t>
      </w:r>
    </w:p>
    <w:p w14:paraId="7E68C86F">
      <w:pPr>
        <w:rPr>
          <w:rFonts w:hint="eastAsia" w:hAnsi="宋体" w:cs="宋体"/>
          <w:b w:val="0"/>
          <w:bCs w:val="0"/>
          <w:highlight w:val="none"/>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任：李</w:t>
      </w:r>
      <w:r>
        <w:rPr>
          <w:rFonts w:hint="eastAsia" w:hAnsi="宋体" w:cs="宋体"/>
          <w:b w:val="0"/>
          <w:bCs w:val="0"/>
          <w:highlight w:val="none"/>
          <w:lang w:val="en-US" w:eastAsia="zh-CN"/>
        </w:rPr>
        <w:t xml:space="preserve">  </w:t>
      </w:r>
      <w:r>
        <w:rPr>
          <w:rFonts w:hint="eastAsia" w:hAnsi="宋体" w:cs="宋体"/>
          <w:b w:val="0"/>
          <w:bCs w:val="0"/>
          <w:highlight w:val="none"/>
        </w:rPr>
        <w:t>祥</w:t>
      </w:r>
    </w:p>
    <w:p w14:paraId="7A5D799C">
      <w:pPr>
        <w:rPr>
          <w:rFonts w:hint="eastAsia" w:hAnsi="宋体" w:cs="宋体"/>
          <w:b w:val="0"/>
          <w:bCs w:val="0"/>
          <w:highlight w:val="none"/>
        </w:rPr>
      </w:pPr>
      <w:r>
        <w:rPr>
          <w:rFonts w:hint="eastAsia" w:hAnsi="宋体" w:cs="宋体"/>
          <w:b w:val="0"/>
          <w:bCs w:val="0"/>
          <w:highlight w:val="none"/>
        </w:rPr>
        <w:t>副主任：蔡先锋 何庆雄</w:t>
      </w:r>
    </w:p>
    <w:p w14:paraId="00886885">
      <w:pPr>
        <w:rPr>
          <w:rFonts w:hint="eastAsia" w:hAnsi="宋体" w:cs="宋体"/>
          <w:b w:val="0"/>
          <w:bCs w:val="0"/>
          <w:highlight w:val="none"/>
        </w:rPr>
      </w:pPr>
      <w:r>
        <w:rPr>
          <w:rFonts w:hint="eastAsia" w:hAnsi="宋体" w:cs="宋体"/>
          <w:b w:val="0"/>
          <w:bCs w:val="0"/>
          <w:highlight w:val="none"/>
        </w:rPr>
        <w:t>纪检组长：周才斌</w:t>
      </w:r>
    </w:p>
    <w:p w14:paraId="534DE231">
      <w:pPr>
        <w:rPr>
          <w:rFonts w:hint="eastAsia" w:hAnsi="宋体" w:cs="宋体"/>
          <w:b w:val="0"/>
          <w:bCs w:val="0"/>
          <w:highlight w:val="none"/>
        </w:rPr>
      </w:pPr>
      <w:r>
        <w:rPr>
          <w:rFonts w:hint="eastAsia" w:hAnsi="宋体" w:cs="宋体"/>
          <w:b w:val="0"/>
          <w:bCs w:val="0"/>
          <w:highlight w:val="none"/>
        </w:rPr>
        <w:t>公共资源交易中心主任：李赣龙（2月任）</w:t>
      </w:r>
    </w:p>
    <w:p w14:paraId="5A25894E">
      <w:pPr>
        <w:pStyle w:val="3"/>
        <w:bidi w:val="0"/>
        <w:rPr>
          <w:rFonts w:hint="eastAsia"/>
          <w:highlight w:val="none"/>
        </w:rPr>
      </w:pPr>
      <w:r>
        <w:rPr>
          <w:rFonts w:hint="eastAsia"/>
          <w:highlight w:val="none"/>
        </w:rPr>
        <w:t>法制工作</w:t>
      </w:r>
    </w:p>
    <w:p w14:paraId="6FB56FEA">
      <w:pPr>
        <w:pStyle w:val="4"/>
        <w:bidi w:val="0"/>
        <w:rPr>
          <w:rFonts w:hint="eastAsia"/>
          <w:highlight w:val="none"/>
        </w:rPr>
      </w:pPr>
      <w:r>
        <w:rPr>
          <w:rFonts w:hint="eastAsia"/>
          <w:highlight w:val="none"/>
        </w:rPr>
        <w:t>【概况】</w:t>
      </w:r>
    </w:p>
    <w:p w14:paraId="79D8B978">
      <w:pPr>
        <w:rPr>
          <w:rFonts w:hint="eastAsia" w:hAnsi="宋体" w:cs="宋体"/>
          <w:highlight w:val="none"/>
        </w:rPr>
      </w:pPr>
      <w:r>
        <w:rPr>
          <w:rFonts w:hint="eastAsia" w:hAnsi="宋体" w:cs="宋体"/>
          <w:highlight w:val="none"/>
        </w:rPr>
        <w:t>南雄市人民政府法制局，正科级行政单位，在市政府办公室挂牌，是处理市人民政府日常法制工作的机构。主要负责市政府规范性文件管理、行政复议案件办理、行政应诉、行政执法监督、处理行政法律事务等工作。法制局内设机构有行政复议应诉股、行政执法协调股、法律事务股。行政编制5名，工勤编制1名。</w:t>
      </w:r>
    </w:p>
    <w:p w14:paraId="5FE3473D">
      <w:pPr>
        <w:pStyle w:val="4"/>
        <w:bidi w:val="0"/>
        <w:rPr>
          <w:rFonts w:hint="eastAsia"/>
          <w:highlight w:val="none"/>
        </w:rPr>
      </w:pPr>
      <w:r>
        <w:rPr>
          <w:rFonts w:hint="eastAsia"/>
          <w:highlight w:val="none"/>
        </w:rPr>
        <w:t>【规范性文件管理】</w:t>
      </w:r>
    </w:p>
    <w:p w14:paraId="5C7776BF">
      <w:pPr>
        <w:rPr>
          <w:rFonts w:hint="eastAsia" w:hAnsi="宋体" w:cs="宋体"/>
          <w:highlight w:val="none"/>
        </w:rPr>
      </w:pPr>
      <w:r>
        <w:rPr>
          <w:rFonts w:hint="eastAsia" w:hAnsi="宋体" w:cs="宋体"/>
          <w:highlight w:val="none"/>
        </w:rPr>
        <w:t>法制局审核各单位送审拟以市政府或市政府办公室名义发布文件53件，其中提出修改意见有19件，建议不予发文有1件；上报3件市政府发布的规范性文件到韶关市政府及南雄市人大常委会备案审查。对市政府及市政府办公室2014年之前发布，现行有效的83件规范性文件进行全面清理，清理结果待提交市政府常务会议讨论通过。</w:t>
      </w:r>
    </w:p>
    <w:p w14:paraId="78F2D576">
      <w:pPr>
        <w:pStyle w:val="4"/>
        <w:bidi w:val="0"/>
        <w:rPr>
          <w:rFonts w:hint="eastAsia"/>
          <w:highlight w:val="none"/>
        </w:rPr>
      </w:pPr>
      <w:r>
        <w:rPr>
          <w:rFonts w:hint="eastAsia"/>
          <w:highlight w:val="none"/>
        </w:rPr>
        <w:t>【行政复议】</w:t>
      </w:r>
    </w:p>
    <w:p w14:paraId="1260D8A6">
      <w:pPr>
        <w:rPr>
          <w:rFonts w:hint="eastAsia" w:hAnsi="宋体" w:cs="宋体"/>
          <w:highlight w:val="none"/>
        </w:rPr>
      </w:pPr>
      <w:r>
        <w:rPr>
          <w:rFonts w:hint="eastAsia" w:hAnsi="宋体" w:cs="宋体"/>
          <w:highlight w:val="none"/>
        </w:rPr>
        <w:t>审理向市政府申请行政复议案件30宗，其中立案29宗，因当事人未补正申请材料未予立案1宗。该29宗案件已审结28宗，正在审理1宗，其中作出维持决定26宗，作出撤销决定1宗，终止审理1宗。</w:t>
      </w:r>
    </w:p>
    <w:p w14:paraId="23555005">
      <w:pPr>
        <w:pStyle w:val="4"/>
        <w:bidi w:val="0"/>
        <w:rPr>
          <w:rFonts w:hint="eastAsia"/>
          <w:highlight w:val="none"/>
        </w:rPr>
      </w:pPr>
      <w:r>
        <w:rPr>
          <w:rFonts w:hint="eastAsia"/>
          <w:highlight w:val="none"/>
        </w:rPr>
        <w:t>【行政裁决和应诉】</w:t>
      </w:r>
    </w:p>
    <w:p w14:paraId="25E6119D">
      <w:pPr>
        <w:rPr>
          <w:rFonts w:hint="eastAsia" w:hAnsi="宋体" w:cs="宋体"/>
          <w:highlight w:val="none"/>
        </w:rPr>
      </w:pPr>
      <w:r>
        <w:rPr>
          <w:rFonts w:hint="eastAsia" w:hAnsi="宋体" w:cs="宋体"/>
          <w:highlight w:val="none"/>
        </w:rPr>
        <w:t>审查办理市政府作出的行政裁决案件4宗。代理市政府参加行政复议案件1宗，代理市政府参加行政诉讼应诉25宗，参与办理市政府行政应诉案件4宗，协助市政府法律顾问办理与市政府有关的民事应诉案件2宗。</w:t>
      </w:r>
    </w:p>
    <w:p w14:paraId="45CEF048">
      <w:pPr>
        <w:pStyle w:val="4"/>
        <w:bidi w:val="0"/>
        <w:rPr>
          <w:rFonts w:hint="eastAsia"/>
          <w:highlight w:val="none"/>
        </w:rPr>
      </w:pPr>
      <w:r>
        <w:rPr>
          <w:rFonts w:hint="eastAsia"/>
          <w:highlight w:val="none"/>
        </w:rPr>
        <w:t>【行政执法监督协调】</w:t>
      </w:r>
    </w:p>
    <w:p w14:paraId="5DDC1390">
      <w:pPr>
        <w:rPr>
          <w:rFonts w:hint="eastAsia" w:hAnsi="宋体" w:cs="宋体"/>
          <w:highlight w:val="none"/>
        </w:rPr>
      </w:pPr>
      <w:r>
        <w:rPr>
          <w:rFonts w:hint="eastAsia" w:hAnsi="宋体" w:cs="宋体"/>
          <w:highlight w:val="none"/>
        </w:rPr>
        <w:t>为城管局、国土资源局等执法部门进行执法指导16宗。办理新申领“广东省行政执法证”35件，换发证105件，注销过期或失效证件21件，补办证件2件，新开通行政执法证系统用户2户。开展执法单位案卷评查工作1次，抽查执法部门作出的行政处罚、行政许可、行政征收等案卷15宗。</w:t>
      </w:r>
    </w:p>
    <w:p w14:paraId="7FAACBBB">
      <w:pPr>
        <w:pStyle w:val="4"/>
        <w:bidi w:val="0"/>
        <w:rPr>
          <w:rFonts w:hint="eastAsia"/>
          <w:highlight w:val="none"/>
        </w:rPr>
      </w:pPr>
      <w:r>
        <w:rPr>
          <w:rFonts w:hint="eastAsia"/>
          <w:highlight w:val="none"/>
        </w:rPr>
        <w:t>【政府法律顾问】</w:t>
      </w:r>
    </w:p>
    <w:p w14:paraId="51C7D089">
      <w:pPr>
        <w:rPr>
          <w:rFonts w:hint="eastAsia" w:hAnsi="宋体" w:cs="宋体"/>
          <w:highlight w:val="none"/>
        </w:rPr>
      </w:pPr>
      <w:r>
        <w:rPr>
          <w:rFonts w:hint="eastAsia" w:hAnsi="宋体" w:cs="宋体"/>
          <w:highlight w:val="none"/>
        </w:rPr>
        <w:t>为政府重大决策、经济管理和社会事务及其他法律事务提供法律意见67件。为各镇和市直部门等单位解答在业务办理、纠纷调解、行政管理、合同纠纷、行政执法、涉法涉诉等方面的法律咨询175件。在市府常务会议上进行法律培训辅导工作2次。在韶关市政府对各县市区的依法行政考核中，组织南雄市政府各部门的迎检工作，南雄市政府依法行政工作被评为优秀等次。</w:t>
      </w:r>
    </w:p>
    <w:p w14:paraId="0A869EE6">
      <w:pPr>
        <w:pStyle w:val="4"/>
        <w:bidi w:val="0"/>
        <w:rPr>
          <w:rFonts w:hint="eastAsia"/>
          <w:highlight w:val="none"/>
        </w:rPr>
      </w:pPr>
      <w:r>
        <w:rPr>
          <w:rFonts w:hint="eastAsia"/>
          <w:highlight w:val="none"/>
        </w:rPr>
        <w:t>【协调和接访】</w:t>
      </w:r>
    </w:p>
    <w:p w14:paraId="46B2B397">
      <w:pPr>
        <w:rPr>
          <w:rFonts w:hint="eastAsia" w:hAnsi="宋体" w:cs="宋体"/>
          <w:highlight w:val="none"/>
        </w:rPr>
      </w:pPr>
      <w:r>
        <w:rPr>
          <w:rFonts w:hint="eastAsia" w:hAnsi="宋体" w:cs="宋体"/>
          <w:highlight w:val="none"/>
        </w:rPr>
        <w:t>参与政府部门在业务办理过程中产生的涉法事务的协调处理工作34宗，如竹博园拖欠工人工资纠纷、养猪场强制关闭纠纷等。解答来访群众有关山林土地纠纷、工伤认定、合同纠纷等各方面的法律咨询49件，接访群众达100多人次。</w:t>
      </w:r>
    </w:p>
    <w:p w14:paraId="69DE2185">
      <w:pPr>
        <w:pStyle w:val="4"/>
        <w:bidi w:val="0"/>
        <w:rPr>
          <w:rFonts w:hint="eastAsia"/>
          <w:highlight w:val="none"/>
        </w:rPr>
      </w:pPr>
      <w:r>
        <w:rPr>
          <w:rFonts w:hint="eastAsia"/>
          <w:highlight w:val="none"/>
        </w:rPr>
        <w:t>【合同审核】</w:t>
      </w:r>
    </w:p>
    <w:p w14:paraId="6A301A4E">
      <w:pPr>
        <w:rPr>
          <w:rFonts w:hint="eastAsia" w:hAnsi="宋体" w:cs="宋体"/>
          <w:highlight w:val="none"/>
        </w:rPr>
      </w:pPr>
      <w:r>
        <w:rPr>
          <w:rFonts w:hint="eastAsia" w:hAnsi="宋体" w:cs="宋体"/>
          <w:highlight w:val="none"/>
        </w:rPr>
        <w:t>审核招商引资等政府或政府部门参与签订的合同10件。受市政府指派，参与解决招商引资合同履行中的矛盾纠纷，为苍石寨景区经营合同纠纷的处理、竹篙坑白果基地合同解除等有关事宜提供法律意见和参与纠纷协调谈判工作。（陈彝凤）</w:t>
      </w:r>
    </w:p>
    <w:p w14:paraId="7A382EB1">
      <w:pPr>
        <w:rPr>
          <w:rFonts w:hint="eastAsia" w:hAnsi="宋体" w:cs="宋体"/>
          <w:b w:val="0"/>
          <w:bCs w:val="0"/>
          <w:highlight w:val="none"/>
        </w:rPr>
      </w:pPr>
      <w:r>
        <w:rPr>
          <w:rFonts w:hint="eastAsia" w:hAnsi="宋体" w:cs="宋体"/>
          <w:b w:val="0"/>
          <w:bCs w:val="0"/>
          <w:highlight w:val="none"/>
        </w:rPr>
        <w:t>附：2015年市法制局领导班子成员名单</w:t>
      </w:r>
    </w:p>
    <w:p w14:paraId="41864218">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长：陈云英</w:t>
      </w:r>
    </w:p>
    <w:p w14:paraId="5BE4DD75">
      <w:pPr>
        <w:rPr>
          <w:rFonts w:hint="eastAsia" w:hAnsi="宋体" w:cs="宋体"/>
          <w:b w:val="0"/>
          <w:bCs w:val="0"/>
          <w:highlight w:val="none"/>
        </w:rPr>
      </w:pPr>
      <w:r>
        <w:rPr>
          <w:rFonts w:hint="eastAsia" w:hAnsi="宋体" w:cs="宋体"/>
          <w:b w:val="0"/>
          <w:bCs w:val="0"/>
          <w:highlight w:val="none"/>
        </w:rPr>
        <w:t>副局长：谢振雄</w:t>
      </w:r>
    </w:p>
    <w:p w14:paraId="7FBA72CA">
      <w:pPr>
        <w:rPr>
          <w:rFonts w:hint="eastAsia" w:hAnsi="宋体" w:cs="宋体"/>
          <w:b w:val="0"/>
          <w:bCs w:val="0"/>
          <w:highlight w:val="none"/>
        </w:rPr>
      </w:pPr>
      <w:r>
        <w:rPr>
          <w:rFonts w:hint="eastAsia" w:hAnsi="宋体" w:cs="宋体"/>
          <w:b w:val="0"/>
          <w:bCs w:val="0"/>
          <w:highlight w:val="none"/>
        </w:rPr>
        <w:t>副局长：吴燕雄（8月任）</w:t>
      </w:r>
    </w:p>
    <w:p w14:paraId="00DCE995">
      <w:pPr>
        <w:pStyle w:val="3"/>
        <w:bidi w:val="0"/>
        <w:rPr>
          <w:rFonts w:hint="eastAsia"/>
          <w:highlight w:val="none"/>
        </w:rPr>
      </w:pPr>
      <w:r>
        <w:rPr>
          <w:rFonts w:hint="eastAsia"/>
          <w:highlight w:val="none"/>
        </w:rPr>
        <w:t>信息中心</w:t>
      </w:r>
    </w:p>
    <w:p w14:paraId="6237889F">
      <w:pPr>
        <w:pStyle w:val="4"/>
        <w:bidi w:val="0"/>
        <w:rPr>
          <w:rFonts w:hint="eastAsia"/>
          <w:highlight w:val="none"/>
        </w:rPr>
      </w:pPr>
      <w:r>
        <w:rPr>
          <w:rFonts w:hint="eastAsia"/>
          <w:highlight w:val="none"/>
        </w:rPr>
        <w:t>【概况】</w:t>
      </w:r>
    </w:p>
    <w:p w14:paraId="619C62AC">
      <w:pPr>
        <w:rPr>
          <w:rFonts w:hint="eastAsia" w:hAnsi="宋体" w:cs="宋体"/>
          <w:highlight w:val="none"/>
        </w:rPr>
      </w:pPr>
      <w:r>
        <w:rPr>
          <w:rFonts w:hint="eastAsia" w:hAnsi="宋体" w:cs="宋体"/>
          <w:highlight w:val="none"/>
        </w:rPr>
        <w:t>南雄市信息中心成立于2001年4月，是市直副科级公益一类事业法人单位，编制10人。主要职能是负责市政府公众信息网络的建设、运行、维护，建立政府序列信息网安全保障。推进全市电子政务建设，为市直单位和乡镇提供政务信息技术服务，实现政府信息化。2015年6月，信息中心被中共南雄市委授予“人民代表满意单位”称号。</w:t>
      </w:r>
    </w:p>
    <w:p w14:paraId="623A3B8C">
      <w:pPr>
        <w:pStyle w:val="4"/>
        <w:bidi w:val="0"/>
        <w:rPr>
          <w:rFonts w:hint="eastAsia"/>
          <w:highlight w:val="none"/>
        </w:rPr>
      </w:pPr>
      <w:r>
        <w:rPr>
          <w:rFonts w:hint="eastAsia"/>
          <w:highlight w:val="none"/>
        </w:rPr>
        <w:t>【加强电子政务平台建设和管理】</w:t>
      </w:r>
    </w:p>
    <w:p w14:paraId="6F48E5D1">
      <w:pPr>
        <w:rPr>
          <w:rFonts w:hint="eastAsia" w:hAnsi="宋体" w:cs="宋体"/>
          <w:highlight w:val="none"/>
        </w:rPr>
      </w:pPr>
      <w:r>
        <w:rPr>
          <w:rFonts w:hint="eastAsia" w:hAnsi="宋体" w:cs="宋体"/>
          <w:highlight w:val="none"/>
        </w:rPr>
        <w:t>信息中心对南雄市政府网站群进行全面的改版升级，优化功能模块，整合资源，增强实用性，提升管理效能。对移动OA系统进行全面升级，优化和韶关公文交换流程，提高移动办公效率。将OA系统应用情况列入绩效和镇域经济考核内容。做好南雄市政府信息公开平台、南雄市党风廉政信息公开平台、南雄市重点领域信息公开平台、政务外网以及各镇、街道、市直单位政务网站的运行维护工作，确保近百个网站系统的安全、稳定、高效运行。</w:t>
      </w:r>
    </w:p>
    <w:p w14:paraId="31E1684F">
      <w:pPr>
        <w:pStyle w:val="4"/>
        <w:bidi w:val="0"/>
        <w:rPr>
          <w:rFonts w:hint="eastAsia"/>
          <w:highlight w:val="none"/>
        </w:rPr>
      </w:pPr>
      <w:r>
        <w:rPr>
          <w:rFonts w:hint="eastAsia"/>
          <w:highlight w:val="none"/>
        </w:rPr>
        <w:t>【推进网上办事大厅南雄分厅的拓展和延伸】</w:t>
      </w:r>
    </w:p>
    <w:p w14:paraId="24913419">
      <w:pPr>
        <w:rPr>
          <w:rFonts w:hint="eastAsia" w:hAnsi="宋体" w:cs="宋体"/>
          <w:highlight w:val="none"/>
        </w:rPr>
      </w:pPr>
      <w:r>
        <w:rPr>
          <w:rFonts w:hint="eastAsia" w:hAnsi="宋体" w:cs="宋体"/>
          <w:highlight w:val="none"/>
        </w:rPr>
        <w:t>广东省网上办事大厅南雄分厅进驻35个部门，可在线申办432项服务事项。信息中心于2015年6月18日完成网上办事分厅向基层延伸建设，市镇（街）网上办事站、村（居）办事点开通率100%。截至2015年12月31日，收件4695件，办结4281件，网上办结率91</w:t>
      </w:r>
      <w:r>
        <w:rPr>
          <w:rFonts w:hint="eastAsia" w:ascii="MingLiU_HKSCS" w:hAnsi="MingLiU_HKSCS" w:eastAsia="MingLiU_HKSCS" w:cs="MingLiU_HKSCS"/>
          <w:highlight w:val="none"/>
        </w:rPr>
        <w:t>.</w:t>
      </w:r>
      <w:r>
        <w:rPr>
          <w:rFonts w:hint="eastAsia" w:hAnsi="宋体" w:cs="宋体"/>
          <w:highlight w:val="none"/>
        </w:rPr>
        <w:t>18%，完成韶关市政府办下达网上办结率达25%以上目标。</w:t>
      </w:r>
    </w:p>
    <w:p w14:paraId="5C7A710C">
      <w:pPr>
        <w:pStyle w:val="4"/>
        <w:bidi w:val="0"/>
        <w:rPr>
          <w:rFonts w:hint="eastAsia"/>
          <w:highlight w:val="none"/>
        </w:rPr>
      </w:pPr>
      <w:r>
        <w:rPr>
          <w:rFonts w:hint="eastAsia"/>
          <w:highlight w:val="none"/>
        </w:rPr>
        <w:t>【创新网络宣传方式】</w:t>
      </w:r>
    </w:p>
    <w:p w14:paraId="6E39E3B0">
      <w:pPr>
        <w:rPr>
          <w:rFonts w:hint="eastAsia" w:hAnsi="宋体" w:cs="宋体"/>
          <w:highlight w:val="none"/>
        </w:rPr>
      </w:pPr>
      <w:r>
        <w:rPr>
          <w:rFonts w:hint="eastAsia" w:hAnsi="宋体" w:cs="宋体"/>
          <w:highlight w:val="none"/>
        </w:rPr>
        <w:t>信息中心在搞好网站宣传基础上，利用官方微信微博“南雄发布”这一新传媒，设立微发布、微服务和微互动等热点栏目和南雄要闻、走进南雄、政务公开、旅游南雄，视频点播、办事大厅等子栏目，及时、准确、正面报道政务动态，公布政务信息，回应涉及政务活动重要舆情和公众关注的社会热点问题。</w:t>
      </w:r>
    </w:p>
    <w:p w14:paraId="22AB24EC">
      <w:pPr>
        <w:pStyle w:val="4"/>
        <w:bidi w:val="0"/>
        <w:rPr>
          <w:rFonts w:hint="eastAsia"/>
          <w:highlight w:val="none"/>
        </w:rPr>
      </w:pPr>
      <w:r>
        <w:rPr>
          <w:rFonts w:hint="eastAsia"/>
          <w:highlight w:val="none"/>
        </w:rPr>
        <w:t>【加强网络舆情监控】</w:t>
      </w:r>
    </w:p>
    <w:p w14:paraId="4E8CA2C2">
      <w:pPr>
        <w:rPr>
          <w:rFonts w:hint="eastAsia" w:hAnsi="宋体" w:cs="宋体"/>
          <w:highlight w:val="none"/>
        </w:rPr>
      </w:pPr>
      <w:r>
        <w:rPr>
          <w:rFonts w:hint="eastAsia" w:hAnsi="宋体" w:cs="宋体"/>
          <w:highlight w:val="none"/>
        </w:rPr>
        <w:t>信息中心建立网络舆情监控机制，确定1名工作人员为监督员，每日登录互联网新媒体信息监测系统，进行网上监控工作，确保负面信息第一时间被发现、上报和处置。加强舆情分析研判，建立舆情预警和防范机制，把搜集的重要信息汇总，及时分析定性，为领导决策提供第一手资料。建立信息沟通共享机制，加强与相关单位互通交流各类舆情信息。利用微博、微信、易信等网络工具进行正面引导。2015年信息中心制作17期网络舆情专报，网络舆情监控工作未出现延误、遗漏的人和事。（冯楚珍）</w:t>
      </w:r>
    </w:p>
    <w:p w14:paraId="3551C7B3">
      <w:pPr>
        <w:rPr>
          <w:rFonts w:hint="eastAsia" w:hAnsi="宋体" w:cs="宋体"/>
          <w:highlight w:val="none"/>
        </w:rPr>
      </w:pPr>
      <w:r>
        <w:rPr>
          <w:rFonts w:hint="eastAsia" w:hAnsi="宋体" w:cs="宋体"/>
          <w:highlight w:val="none"/>
        </w:rPr>
        <w:t>附：2015年市信息中心领导班子成员名单</w:t>
      </w:r>
    </w:p>
    <w:p w14:paraId="25877328">
      <w:pPr>
        <w:rPr>
          <w:rFonts w:hint="eastAsia" w:hAnsi="宋体" w:cs="宋体"/>
          <w:highlight w:val="none"/>
        </w:rPr>
      </w:pPr>
      <w:r>
        <w:rPr>
          <w:rFonts w:hint="eastAsia" w:hAnsi="宋体" w:cs="宋体"/>
          <w:highlight w:val="none"/>
        </w:rPr>
        <w:t>主任：欧阳辉</w:t>
      </w:r>
    </w:p>
    <w:p w14:paraId="6EF419DA">
      <w:pPr>
        <w:ind w:firstLine="420"/>
        <w:rPr>
          <w:rFonts w:hint="eastAsia" w:hAnsi="宋体" w:eastAsia="宋体" w:cs="宋体"/>
          <w:highlight w:val="none"/>
          <w:lang w:eastAsia="zh-CN"/>
        </w:rPr>
      </w:pPr>
      <w:r>
        <w:rPr>
          <w:rFonts w:hint="eastAsia" w:hAnsi="宋体" w:cs="宋体"/>
          <w:highlight w:val="none"/>
        </w:rPr>
        <w:t>副主任：刘宏斌 陈昊</w:t>
      </w:r>
      <w:r>
        <w:rPr>
          <w:rFonts w:hint="eastAsia" w:hAnsi="宋体" w:cs="宋体"/>
          <w:highlight w:val="none"/>
          <w:lang w:eastAsia="zh-CN"/>
        </w:rPr>
        <w:t>（</w:t>
      </w:r>
      <w:r>
        <w:rPr>
          <w:rFonts w:hint="eastAsia" w:hAnsi="宋体" w:cs="宋体"/>
          <w:highlight w:val="none"/>
        </w:rPr>
        <w:t>9月任</w:t>
      </w:r>
      <w:r>
        <w:rPr>
          <w:rFonts w:hint="eastAsia" w:hAnsi="宋体" w:cs="宋体"/>
          <w:highlight w:val="none"/>
          <w:lang w:eastAsia="zh-CN"/>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CED9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C667A27">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48" name="图片 196" descr="2015年3月15日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6" descr="2015年3月15日南"/>
                          <pic:cNvPicPr>
                            <a:picLocks noChangeAspect="1"/>
                          </pic:cNvPicPr>
                        </pic:nvPicPr>
                        <pic:blipFill>
                          <a:blip r:embed="rId53"/>
                          <a:stretch>
                            <a:fillRect/>
                          </a:stretch>
                        </pic:blipFill>
                        <pic:spPr>
                          <a:xfrm>
                            <a:off x="0" y="0"/>
                            <a:ext cx="3420110" cy="2279650"/>
                          </a:xfrm>
                          <a:prstGeom prst="rect">
                            <a:avLst/>
                          </a:prstGeom>
                          <a:noFill/>
                          <a:ln>
                            <a:noFill/>
                          </a:ln>
                        </pic:spPr>
                      </pic:pic>
                    </a:graphicData>
                  </a:graphic>
                </wp:inline>
              </w:drawing>
            </w:r>
          </w:p>
        </w:tc>
      </w:tr>
      <w:tr w14:paraId="28457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94EDD9C">
            <w:pPr>
              <w:jc w:val="center"/>
              <w:rPr>
                <w:rFonts w:hint="eastAsia" w:hAnsi="宋体" w:cs="宋体"/>
                <w:highlight w:val="none"/>
                <w:vertAlign w:val="baseline"/>
              </w:rPr>
            </w:pPr>
            <w:r>
              <w:rPr>
                <w:rFonts w:hint="eastAsia" w:hAnsi="宋体" w:cs="宋体"/>
                <w:highlight w:val="none"/>
                <w:vertAlign w:val="baseline"/>
              </w:rPr>
              <w:t>2015年3月15日，全市政府网站普查工作会议召开</w:t>
            </w:r>
          </w:p>
        </w:tc>
      </w:tr>
    </w:tbl>
    <w:p w14:paraId="5223425F">
      <w:pPr>
        <w:pStyle w:val="2"/>
        <w:bidi w:val="0"/>
        <w:rPr>
          <w:rFonts w:hint="eastAsia"/>
          <w:highlight w:val="none"/>
        </w:rPr>
      </w:pPr>
      <w:r>
        <w:rPr>
          <w:highlight w:val="none"/>
        </w:rPr>
        <w:br w:type="page"/>
      </w:r>
      <w:r>
        <w:rPr>
          <w:rFonts w:hint="eastAsia"/>
          <w:highlight w:val="none"/>
        </w:rPr>
        <w:t>政协南雄市委员会</w:t>
      </w:r>
    </w:p>
    <w:p w14:paraId="7A30410C">
      <w:pPr>
        <w:pStyle w:val="3"/>
        <w:bidi w:val="0"/>
        <w:rPr>
          <w:rFonts w:hint="eastAsia"/>
          <w:highlight w:val="none"/>
        </w:rPr>
      </w:pPr>
      <w:r>
        <w:rPr>
          <w:rFonts w:hint="eastAsia"/>
          <w:highlight w:val="none"/>
        </w:rPr>
        <w:t>综述</w:t>
      </w:r>
    </w:p>
    <w:p w14:paraId="0B009B67">
      <w:pPr>
        <w:rPr>
          <w:rFonts w:hint="eastAsia" w:hAnsi="宋体" w:cs="宋体"/>
          <w:highlight w:val="none"/>
        </w:rPr>
      </w:pPr>
      <w:r>
        <w:rPr>
          <w:rFonts w:hint="eastAsia" w:hAnsi="宋体" w:cs="宋体"/>
          <w:highlight w:val="none"/>
        </w:rPr>
        <w:t>政协南雄市九届委员会设有界别22个，参加单位98个，委员211人，其中政协常委33人。设专门委员会6个，即提案委员会、经济委员会、教科文卫体委员会、社会法制委员会、学习和文史资料委员会、港澳台侨和民族宗教委员会。各专门委员会主任由政协副主席兼任，副主任由各界别的有关领导兼任。同时，还根据专门委员会的具体情况，划分6个委员小组。</w:t>
      </w:r>
    </w:p>
    <w:p w14:paraId="64EA7DA2">
      <w:pPr>
        <w:rPr>
          <w:rFonts w:hint="eastAsia" w:hAnsi="宋体" w:cs="宋体"/>
          <w:highlight w:val="none"/>
        </w:rPr>
      </w:pPr>
      <w:r>
        <w:rPr>
          <w:rFonts w:hint="eastAsia" w:hAnsi="宋体" w:cs="宋体"/>
          <w:highlight w:val="none"/>
        </w:rPr>
        <w:t>南雄市政协机关设有“一室二科”，即政协办公室、组织联络科、宣传科。广东省广府人珠玑巷后裔海外联谊会南雄办事处办公室挂靠南雄市政协。政协机关人员编制18名（其中广东省广府人珠玑巷后裔海外联谊会南雄办事处办公室3名），在职人数19人，其中：科室领导职数6人，现有领导7人。</w:t>
      </w:r>
    </w:p>
    <w:p w14:paraId="5ED417C7">
      <w:pPr>
        <w:pStyle w:val="3"/>
        <w:bidi w:val="0"/>
        <w:rPr>
          <w:rFonts w:hint="eastAsia"/>
          <w:highlight w:val="none"/>
        </w:rPr>
      </w:pPr>
      <w:r>
        <w:rPr>
          <w:rFonts w:hint="eastAsia"/>
          <w:highlight w:val="none"/>
        </w:rPr>
        <w:t>市政协、联谊会重要会议和工作</w:t>
      </w:r>
    </w:p>
    <w:p w14:paraId="07A2D35A">
      <w:pPr>
        <w:pStyle w:val="4"/>
        <w:bidi w:val="0"/>
        <w:rPr>
          <w:rFonts w:hint="eastAsia"/>
          <w:highlight w:val="none"/>
        </w:rPr>
      </w:pPr>
      <w:r>
        <w:rPr>
          <w:rFonts w:hint="eastAsia"/>
          <w:highlight w:val="none"/>
        </w:rPr>
        <w:t>【九届五次会议】</w:t>
      </w:r>
    </w:p>
    <w:p w14:paraId="61158D91">
      <w:pPr>
        <w:rPr>
          <w:rFonts w:hint="eastAsia" w:hAnsi="宋体" w:cs="宋体"/>
          <w:highlight w:val="none"/>
        </w:rPr>
      </w:pPr>
      <w:r>
        <w:rPr>
          <w:rFonts w:hint="eastAsia" w:hAnsi="宋体" w:cs="宋体"/>
          <w:highlight w:val="none"/>
        </w:rPr>
        <w:t>中国人民政治协商会议南雄市第九届委员会第五次会议于2015年3月16—18日在市迎宾馆举行。会议审议并同意何万飞主席代表常务委员会所作的工作报告，周济辉副主席代表常务委员会所作的提案工作情况的报告。委员们列席市第十四届人民代表大会第五次会议，听取并讨论市长曾风保所作的政府工作报告。会议补充选举2名政协常委，完成各项议程。</w:t>
      </w:r>
    </w:p>
    <w:p w14:paraId="27560803">
      <w:pPr>
        <w:rPr>
          <w:rFonts w:hint="eastAsia" w:hAnsi="宋体" w:cs="宋体"/>
          <w:highlight w:val="none"/>
        </w:rPr>
      </w:pPr>
      <w:r>
        <w:rPr>
          <w:rFonts w:hint="eastAsia" w:hAnsi="宋体" w:cs="宋体"/>
          <w:highlight w:val="none"/>
        </w:rPr>
        <w:t>会议对2014年的市政协常务委员会工作表示满意。同意政协常务委员会工作报告对2015年工作的部署，并要求组织实施。</w:t>
      </w:r>
    </w:p>
    <w:p w14:paraId="259CD1FF">
      <w:pPr>
        <w:rPr>
          <w:rFonts w:hint="eastAsia" w:hAnsi="宋体" w:cs="宋体"/>
          <w:highlight w:val="none"/>
        </w:rPr>
      </w:pPr>
      <w:r>
        <w:rPr>
          <w:rFonts w:hint="eastAsia" w:hAnsi="宋体" w:cs="宋体"/>
          <w:highlight w:val="none"/>
        </w:rPr>
        <w:t>会议赞同市长曾风保所作的政府工作报告，委员们对2014年的政府工作给予高度评价。认为市政府牢牢把握省委、省政府促进粤东西北地区振兴发展的历史机遇和东莞韶关对口帮扶发展机遇，团结带领全市人民，坚定不移实施新型工业化、新型城镇化和农业产业化战略，推进依法治市，保障和改善民生，建设幸福南雄，经济、政治、文化、社会和生态文明建设取得新的成绩。2015年工作思路清晰，目标明确，措施有力，切实可行。</w:t>
      </w:r>
    </w:p>
    <w:p w14:paraId="666B6B92">
      <w:pPr>
        <w:pStyle w:val="4"/>
        <w:bidi w:val="0"/>
        <w:rPr>
          <w:rFonts w:hint="eastAsia"/>
          <w:highlight w:val="none"/>
        </w:rPr>
      </w:pPr>
      <w:r>
        <w:rPr>
          <w:rFonts w:hint="eastAsia"/>
          <w:highlight w:val="none"/>
        </w:rPr>
        <w:t>【民主协商】</w:t>
      </w:r>
    </w:p>
    <w:p w14:paraId="3A150B1F">
      <w:pPr>
        <w:rPr>
          <w:rFonts w:hint="eastAsia" w:hAnsi="宋体" w:cs="宋体"/>
          <w:highlight w:val="none"/>
        </w:rPr>
      </w:pPr>
      <w:r>
        <w:rPr>
          <w:rFonts w:hint="eastAsia" w:hAnsi="宋体" w:cs="宋体"/>
          <w:highlight w:val="none"/>
        </w:rPr>
        <w:t>2015年，市政协学习和准确把握习近平总书记在庆祝人民政协成立65周年大会上讲话精神，主动适应中国特色社会主义民主政治建设的新形势，推动社会主义协商民主在南雄的实践发展，探索人民政协协商民主新机制，规范协商程序，拓展协商形式，提高协商实效。重点在完善全体会议整体协商、主席会议重点协商、常委会议专题协商、专委会议对口协商等协商机制，推进市委与市政协的全会协商、专题协商正常化，市政府与市政协的重大项目协商、重要议题协商经常化，探索和开展“以政协例会为平台、调研视察为载体、界别活动为纽带、专题协商为内容”多种形式协商活动。当年市政协围绕市委提出的“打苏区牌，走生态路，加快建设粤北门户城市”的工作思路和奋斗目标以及“六大战略”，举行3次专题协商、2次对口协商、19次提案办理协商，为参加市政协的各党派、团体、界别和广大委员搭建多形式、分层次、宽领域的协商议政舞台，协商民主在南雄发展实践中初见成效。</w:t>
      </w:r>
    </w:p>
    <w:p w14:paraId="32444188">
      <w:pPr>
        <w:pStyle w:val="4"/>
        <w:bidi w:val="0"/>
        <w:rPr>
          <w:rFonts w:hint="eastAsia"/>
          <w:highlight w:val="none"/>
        </w:rPr>
      </w:pPr>
      <w:r>
        <w:rPr>
          <w:rFonts w:hint="eastAsia"/>
          <w:highlight w:val="none"/>
        </w:rPr>
        <w:t>【亮点工作】</w:t>
      </w:r>
    </w:p>
    <w:p w14:paraId="5D275EF0">
      <w:pPr>
        <w:rPr>
          <w:rFonts w:hint="eastAsia" w:hAnsi="宋体" w:cs="宋体"/>
          <w:highlight w:val="none"/>
        </w:rPr>
      </w:pPr>
      <w:r>
        <w:rPr>
          <w:rFonts w:hint="eastAsia" w:hAnsi="宋体" w:cs="宋体"/>
          <w:highlight w:val="none"/>
        </w:rPr>
        <w:t>市政协紧紧围绕中心，把市委交给的“募捐雄州公园配套设施资金、成立南雄珠玑巷联谊会、筹备举办南雄市第二届姓氏文化旅游节活动”三大工作作为2015年政协工作的重点，明确分管领导、责任单位、完成时限，完成市委交给的“三大”工作任务。</w:t>
      </w:r>
    </w:p>
    <w:p w14:paraId="24498D0C">
      <w:pPr>
        <w:rPr>
          <w:rFonts w:hint="eastAsia" w:hAnsi="宋体" w:cs="宋体"/>
          <w:highlight w:val="none"/>
        </w:rPr>
      </w:pPr>
      <w:r>
        <w:rPr>
          <w:rFonts w:hint="eastAsia" w:hAnsi="宋体" w:cs="宋体"/>
          <w:highlight w:val="none"/>
        </w:rPr>
        <w:t>募捐雄州公园配套设施资金。市政协发挥人才荟萃、联系广泛的优势，动员政协委员、珠玑巷后裔、社会贤达、企业家、社会各界人士捐资出力建设雄州公园的道路、凉亭、座椅、绿道等配套设施，发出募捐倡议书，走访港澳委员、企业、乡贤，奔波呼吁、真挚之情，得到政协委员、企业、乡贤响应，纷纷慷慨解囊。共募捐资金535</w:t>
      </w:r>
      <w:r>
        <w:rPr>
          <w:rFonts w:hint="eastAsia" w:ascii="MingLiU_HKSCS" w:hAnsi="MingLiU_HKSCS" w:eastAsia="MingLiU_HKSCS" w:cs="MingLiU_HKSCS"/>
          <w:highlight w:val="none"/>
        </w:rPr>
        <w:t>.</w:t>
      </w:r>
      <w:r>
        <w:rPr>
          <w:rFonts w:hint="eastAsia" w:hAnsi="宋体" w:cs="宋体"/>
          <w:highlight w:val="none"/>
        </w:rPr>
        <w:t>1万元，完成筹集募捐雄州公园配套设施资金500万元的计划。</w:t>
      </w:r>
    </w:p>
    <w:p w14:paraId="757D8363">
      <w:pPr>
        <w:rPr>
          <w:rFonts w:hint="eastAsia" w:hAnsi="宋体" w:cs="宋体"/>
          <w:highlight w:val="none"/>
        </w:rPr>
      </w:pPr>
      <w:r>
        <w:rPr>
          <w:rFonts w:hint="eastAsia" w:hAnsi="宋体" w:cs="宋体"/>
          <w:highlight w:val="none"/>
        </w:rPr>
        <w:t>成立南雄珠玑巷联谊会。年初，市委将筹备成立南雄珠玑巷联谊会工作交给政协，政协高度重视，成立由政协主席、副主席领衔的筹备领导小组，多次召开珠玑巷各姓氏联谊会、纪念馆管委会、筹委会负责人会议，“走出去”广泛征求珠三角、港澳和珠玑巷后裔及各界人士意见，密切宗亲联系，增加了解，达成共识。在市委、市政府的重视和关心下，获民政部门的批准，南雄珠玑巷联谊会于2015年6月挂牌成立（县级社团组织），近千名海内外的广府精英和珠玑巷后裔到会祝贺。在成立大会上还举行“慈善捐赠仪式”，累计慈善捐赠捐款1471</w:t>
      </w:r>
      <w:r>
        <w:rPr>
          <w:rFonts w:hint="eastAsia" w:ascii="MingLiU_HKSCS" w:hAnsi="MingLiU_HKSCS" w:eastAsia="MingLiU_HKSCS" w:cs="MingLiU_HKSCS"/>
          <w:highlight w:val="none"/>
        </w:rPr>
        <w:t>.</w:t>
      </w:r>
      <w:r>
        <w:rPr>
          <w:rFonts w:hint="eastAsia" w:hAnsi="宋体" w:cs="宋体"/>
          <w:highlight w:val="none"/>
        </w:rPr>
        <w:t>66万元。南雄珠玑巷联谊会的成立，为数千万广府人珠玑后裔和祖居地南雄之间搭起一座桥梁，为密切与海内外乡亲的联系搭建一个平台。南雄珠玑巷联谊会成立后，先后举办第二届世界广府人恳亲大会“珠玑寻根之旅”、“2015南雄、澳门两地青年交流之旅”等大型联谊活动20多次。第二届世界广府人恳亲大会“珠玑寻根之旅”，规模大、影响广、印象深，来自世界53个国家和地区的1000多名海内外广府人嘉宾相聚南雄市珠玑古巷开展“珠玑寻根之旅”，隆重祭拜中华民族的人文始祖炎黄二帝和广府人的先祖，亲身感受珠玑古巷作为广府人的发源地的深厚姓氏文化和浓郁的人文气息。</w:t>
      </w:r>
    </w:p>
    <w:p w14:paraId="5A895D5E">
      <w:pPr>
        <w:rPr>
          <w:rFonts w:hint="eastAsia" w:hAnsi="宋体" w:cs="宋体"/>
          <w:highlight w:val="none"/>
        </w:rPr>
      </w:pPr>
      <w:r>
        <w:rPr>
          <w:rFonts w:hint="eastAsia" w:hAnsi="宋体" w:cs="宋体"/>
          <w:highlight w:val="none"/>
        </w:rPr>
        <w:t>筹备举办南雄市第二届姓氏文化旅游节活动。以“珠玑姓氏文化”为纽带，搭建好南雄市第二届姓氏文化旅游节这个联系海内外乡亲的大舞台。市政协把抓好“一镇一姓”姓氏文化旅游节活动作为贯穿全年的工作重点来狠抓落实，主动做好各镇（街道）与各姓氏之间的牵线搭桥工作，组织召开各种座谈会、协调会100多次，协助各镇（街道）、各姓氏多领域、多渠道、多形式地开展对珠三角、港澳姓氏宗亲的联络工作，亲自参与、组织和筹划各镇</w:t>
      </w:r>
      <w:r>
        <w:rPr>
          <w:rFonts w:hint="eastAsia" w:hAnsi="宋体" w:cs="宋体"/>
          <w:highlight w:val="none"/>
          <w:lang w:eastAsia="zh-CN"/>
        </w:rPr>
        <w:t>（</w:t>
      </w:r>
      <w:r>
        <w:rPr>
          <w:rFonts w:hint="eastAsia" w:hAnsi="宋体" w:cs="宋体"/>
          <w:highlight w:val="none"/>
        </w:rPr>
        <w:t>街道</w:t>
      </w:r>
      <w:r>
        <w:rPr>
          <w:rFonts w:hint="eastAsia" w:hAnsi="宋体" w:cs="宋体"/>
          <w:highlight w:val="none"/>
          <w:lang w:eastAsia="zh-CN"/>
        </w:rPr>
        <w:t>）</w:t>
      </w:r>
      <w:r>
        <w:rPr>
          <w:rFonts w:hint="eastAsia" w:hAnsi="宋体" w:cs="宋体"/>
          <w:highlight w:val="none"/>
        </w:rPr>
        <w:t>主题鲜明、各具特色的姓氏文化旅游节活动。南雄市18个镇（街道）“一镇一姓”姓氏文化活动历时大半年，平均每隔半个月，就有一个姓氏文化节活动，不仅丰富当地的文化生活，而且有2万多名海内外、珠三角等地珠玑巷后裔姓氏宗亲参加“吾家珠玑”这一独具地方特色的文化盛宴，凝聚广大珠玑巷后裔、外出乡贤以及社会贤达热爱家乡、支持家乡建设力量。姓氏文化活动期间，姓氏宗亲捐款、捐物折合人民币2200万元，支持南雄市农村路灯、公路硬化、捐资助学、扶贫帮困等公益福利事业建设和姓氏宗祠建设。姓氏文化节的举行，有数十万广府人和珠玑巷后裔前来南雄寻根敬祖、交流联谊、旅游观光、投资兴业。</w:t>
      </w:r>
    </w:p>
    <w:p w14:paraId="74F88796">
      <w:pPr>
        <w:pStyle w:val="4"/>
        <w:bidi w:val="0"/>
        <w:rPr>
          <w:rFonts w:hint="eastAsia"/>
          <w:highlight w:val="none"/>
        </w:rPr>
      </w:pPr>
      <w:r>
        <w:rPr>
          <w:rFonts w:hint="eastAsia"/>
          <w:highlight w:val="none"/>
        </w:rPr>
        <w:t>【建言献策】</w:t>
      </w:r>
    </w:p>
    <w:p w14:paraId="339E8072">
      <w:pPr>
        <w:rPr>
          <w:rFonts w:hint="eastAsia" w:hAnsi="宋体" w:cs="宋体"/>
          <w:highlight w:val="none"/>
        </w:rPr>
      </w:pPr>
      <w:r>
        <w:rPr>
          <w:rFonts w:hint="eastAsia" w:hAnsi="宋体" w:cs="宋体"/>
          <w:highlight w:val="none"/>
        </w:rPr>
        <w:t>市政协紧紧围绕市委、市政府实施的“六大”战略，发挥人才荟萃、智力密集优势，组织广大委员深入调查研究，协商议政，建言献策。市政协选择发展该市白酒产业作为“工业强市”战略重大调研课题，成立专题调研组，由市政协领导亲自担任调研课题负责人，历时1个多月，走访市食品药品监督管理局等政府相关职能部门，深入南雄古寨沟酒业有限公司、南雄市飞龙酒厂和广东金友集团等企业实地调研，了解情况，掌握实情，全面听取各方意见建议，深度摸清南雄市白酒企业家底，形成《关于扶持南雄市白酒产业发展调查与建议》调查报告，所提出意见和建议，得到市委、政府的高度重视和采纳。紧紧把握全市经济社会发展脉搏，围绕镇级“十个一”工程、教育新“四大”民生工程、城镇化建设、“两违”整治、产业转移工业园建设、特色农业基地、发展旅游产业、“法治南雄”建设等重要工作、重点工程、重大项目，组织政协委员深入一线开展视察调研，提出有真知灼见的意见和建议。如：市政协在视察旅游项目建设中提出关于“以特色为主线，以文化为基准，打造旅游文化名城的建议”，得到市政府的高度重视，建议意见吸收采纳到市政府出台的《关于加快发展乡村旅游农家乐的方案（试行）》和《南雄市贯彻落实〈国民旅游休闲纲要（2013—2020年）〉实施方案》的文件中，助推该市旅游产业发展。</w:t>
      </w:r>
    </w:p>
    <w:p w14:paraId="5B7112D1">
      <w:pPr>
        <w:rPr>
          <w:rFonts w:hint="eastAsia" w:hAnsi="宋体" w:cs="宋体"/>
          <w:highlight w:val="none"/>
        </w:rPr>
      </w:pPr>
      <w:r>
        <w:rPr>
          <w:rFonts w:hint="eastAsia" w:hAnsi="宋体" w:cs="宋体"/>
          <w:highlight w:val="none"/>
        </w:rPr>
        <w:t>围绕市委、市政府重大决策和重点工作的落实开展民主监督。组织广大委员参与监督活动，采取调研视察、明察暗访等形式对市“六大战略”的实施和重点工程项目建设进行民主监督，建立民主监督推进小组，协助市委督查室、市政府重点办，对承担“六大战略”工作任务的重点责任单位进行经常性工作监督；健全特约监督员队伍，对市有关部门的作风行风建设和重要工作开展监督，发挥政协委员的监督主体作用。通过经常性工作以及推荐委员担任有关部门特约监督员等方式，开展民主监督，有力推动重点工作开展、重点项目推进、重大改革举措执行和改革任务落实。</w:t>
      </w:r>
    </w:p>
    <w:p w14:paraId="0B9FDFFB">
      <w:pPr>
        <w:pStyle w:val="4"/>
        <w:bidi w:val="0"/>
        <w:rPr>
          <w:rFonts w:hint="eastAsia"/>
          <w:highlight w:val="none"/>
        </w:rPr>
      </w:pPr>
      <w:r>
        <w:rPr>
          <w:rFonts w:hint="eastAsia"/>
          <w:highlight w:val="none"/>
        </w:rPr>
        <w:t>【提案督办】</w:t>
      </w:r>
    </w:p>
    <w:p w14:paraId="2F419766">
      <w:pPr>
        <w:rPr>
          <w:rFonts w:hint="eastAsia" w:hAnsi="宋体" w:cs="宋体"/>
          <w:highlight w:val="none"/>
        </w:rPr>
      </w:pPr>
      <w:r>
        <w:rPr>
          <w:rFonts w:hint="eastAsia" w:hAnsi="宋体" w:cs="宋体"/>
          <w:highlight w:val="none"/>
        </w:rPr>
        <w:t>市政协建立健全提案办理工作机制，坚持市委书记、市长、市政协主席领衔督办重点提案制度，市委书记曾风保、市长王碧安、市政协主席何万飞分别带头督办《关于以特色为主线，以文化为基准，打造旅游文化名城的建议》《关于加快雄州公园建设的建议》和《关于对精神病患者加大救助力度的建议》等重点提案，政协班子成员分工负责，主动协调，采取专题调研、协商座谈、实地考察、现场评议、上门走访、通报情况及开展“回头看”等方式全程进行广泛协商，经常性开展协商办理协商会，推动提案办理，提高提案办理质量。市政府办还制定提案办理进度表，并将提案办理情况纳入政府职能部门年度目标责任考核，促进有关部门对提案的办理，有效地解决一些民生问题，推动当地经济社会的发展。如：雄州公园规划建设问题，近年来一直是广大市民关注的焦点，市政府高度重视，市委副书记、市长王碧安亲自领衔办理《关于加快雄州公园建设的建议》重点提案，率领市政府办、住建、国土、城投公司和雄州街道等相关单位负责人，多次实地考察、现场把脉，对雄州公园建设中存在的问题要求相关单位限期解决，加快雄州公园的建设步伐。雄州公园的建设，不仅有效解决城市市民生态休闲、健身娱乐的场所问题，而且改善城市环境，提高城市品位。2015年收到提案75件，其中立案72件，转来信处理3件，提案和来信均已按期办理完毕，办复率100%，委员满意率100%。</w:t>
      </w:r>
    </w:p>
    <w:p w14:paraId="69804CD1">
      <w:pPr>
        <w:pStyle w:val="4"/>
        <w:bidi w:val="0"/>
        <w:rPr>
          <w:rFonts w:hint="eastAsia"/>
          <w:highlight w:val="none"/>
        </w:rPr>
      </w:pPr>
      <w:r>
        <w:rPr>
          <w:rFonts w:hint="eastAsia"/>
          <w:highlight w:val="none"/>
        </w:rPr>
        <w:t>【教育活动】</w:t>
      </w:r>
    </w:p>
    <w:p w14:paraId="6653A2D2">
      <w:pPr>
        <w:rPr>
          <w:rFonts w:hint="eastAsia" w:hAnsi="宋体" w:cs="宋体"/>
          <w:highlight w:val="none"/>
        </w:rPr>
      </w:pPr>
      <w:r>
        <w:rPr>
          <w:rFonts w:hint="eastAsia" w:hAnsi="宋体" w:cs="宋体"/>
          <w:highlight w:val="none"/>
        </w:rPr>
        <w:t>市政协深入开展“三严三实”专题教育实践活动，坚持把实现好维护好最广大人民群众的根本利益作为政协工作的出发点和落脚点，为南雄发展尽职尽责。在开展“三严三实”专题教育活动期间，市政协主席会议成员深入基层，开展“四个体察”学习，倾听群众意见，反映群众诉求，关心群众生活，市政协主席会议成员按照市委的部署开展党代表工作室、“心连心、走基层”、参与帮扶整顿3个软弱涣散基层党组织专项活动和帮扶5个贫困村等工作，帮助基层党组织和群众解决实际问题19件，协调落实帮扶资金200多万元。做好挂点企业服务工作，坚持市政协主席会议成员定期深入挂点企业联系制度，主动地协助企业解决建设、生产、销售中遇到的问题和困难，促进企业增产增效。组织政协委员广泛开展“访民意、听民声、舒民困、解难事”活动，为群众做好事、办实事。如：南雄市政协委员卢德基先生到南雄市永康路道平小学开展奖教奖学活动，拿出5</w:t>
      </w:r>
      <w:r>
        <w:rPr>
          <w:rFonts w:hint="eastAsia" w:ascii="MingLiU_HKSCS" w:hAnsi="MingLiU_HKSCS" w:eastAsia="MingLiU_HKSCS" w:cs="MingLiU_HKSCS"/>
          <w:highlight w:val="none"/>
        </w:rPr>
        <w:t>.</w:t>
      </w:r>
      <w:r>
        <w:rPr>
          <w:rFonts w:hint="eastAsia" w:hAnsi="宋体" w:cs="宋体"/>
          <w:highlight w:val="none"/>
        </w:rPr>
        <w:t>6万元奖学金，奖励80名优秀教师和100名优秀学生；南雄市政协委员蔡惠玲女士携香港爱心人士一行30多人，到南雄市第一中学资助30位贫困生等。据统计，2015年市政协委员为群众做好事、办实事36件，参加文化、科技、卫生“三下乡”活动的政协委员达80人次，受益群众近万人。</w:t>
      </w:r>
    </w:p>
    <w:p w14:paraId="5E73D9D0">
      <w:pPr>
        <w:pStyle w:val="4"/>
        <w:bidi w:val="0"/>
        <w:rPr>
          <w:rFonts w:hint="eastAsia"/>
          <w:highlight w:val="none"/>
        </w:rPr>
      </w:pPr>
      <w:r>
        <w:rPr>
          <w:rFonts w:hint="eastAsia"/>
          <w:highlight w:val="none"/>
        </w:rPr>
        <w:t>【宣传文史】</w:t>
      </w:r>
    </w:p>
    <w:p w14:paraId="4C1F9658">
      <w:pPr>
        <w:ind w:firstLine="420"/>
        <w:rPr>
          <w:rFonts w:hint="eastAsia" w:hAnsi="宋体" w:cs="宋体"/>
          <w:highlight w:val="none"/>
          <w:vertAlign w:val="baseline"/>
        </w:rPr>
      </w:pPr>
      <w:r>
        <w:rPr>
          <w:rFonts w:hint="eastAsia" w:hAnsi="宋体" w:cs="宋体"/>
          <w:highlight w:val="none"/>
        </w:rPr>
        <w:t>市政协紧贴时代发展需求，创新宣传平台，丰富宣传手段，实现网络、微博微信等新媒体与传统电视、广播、报纸媒体的融合，多措并举扩大宣传效果。2015年，编辑出版《南雄州古诗词全集（下册）》，在《人民政协报》《广东政协》《韶关政协》《韶关日报》以及各级政府、政协网络等媒体上发表的新闻稿共360多篇（条）。与南雄市电视台合作，开播《政协委员风采》电视专栏节目3期，扩大政协社会影响。</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D646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199058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465705"/>
                  <wp:effectExtent l="0" t="0" r="8890" b="10795"/>
                  <wp:docPr id="49" name="图片 197" descr="视察乌迳整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7" descr="视察乌迳整治"/>
                          <pic:cNvPicPr>
                            <a:picLocks noChangeAspect="1"/>
                          </pic:cNvPicPr>
                        </pic:nvPicPr>
                        <pic:blipFill>
                          <a:blip r:embed="rId54"/>
                          <a:stretch>
                            <a:fillRect/>
                          </a:stretch>
                        </pic:blipFill>
                        <pic:spPr>
                          <a:xfrm>
                            <a:off x="0" y="0"/>
                            <a:ext cx="3420110" cy="2465705"/>
                          </a:xfrm>
                          <a:prstGeom prst="rect">
                            <a:avLst/>
                          </a:prstGeom>
                          <a:noFill/>
                          <a:ln>
                            <a:noFill/>
                          </a:ln>
                        </pic:spPr>
                      </pic:pic>
                    </a:graphicData>
                  </a:graphic>
                </wp:inline>
              </w:drawing>
            </w:r>
          </w:p>
        </w:tc>
      </w:tr>
      <w:tr w14:paraId="7F2B4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451821E">
            <w:pPr>
              <w:jc w:val="center"/>
              <w:rPr>
                <w:rFonts w:hint="eastAsia" w:hAnsi="宋体" w:cs="宋体"/>
                <w:highlight w:val="none"/>
                <w:vertAlign w:val="baseline"/>
              </w:rPr>
            </w:pPr>
            <w:r>
              <w:rPr>
                <w:rFonts w:hint="eastAsia" w:hAnsi="宋体" w:cs="宋体"/>
                <w:highlight w:val="none"/>
                <w:vertAlign w:val="baseline"/>
              </w:rPr>
              <w:t>市政协主席何万飞（右三）视察乌迳整治“两违”工作</w:t>
            </w:r>
          </w:p>
        </w:tc>
      </w:tr>
    </w:tbl>
    <w:p w14:paraId="62127474">
      <w:pPr>
        <w:pStyle w:val="4"/>
        <w:bidi w:val="0"/>
        <w:rPr>
          <w:rFonts w:hint="eastAsia"/>
          <w:highlight w:val="none"/>
        </w:rPr>
      </w:pPr>
      <w:r>
        <w:rPr>
          <w:rFonts w:hint="eastAsia"/>
          <w:highlight w:val="none"/>
        </w:rPr>
        <w:t>【队伍建设】</w:t>
      </w:r>
    </w:p>
    <w:p w14:paraId="4108FB73">
      <w:pPr>
        <w:rPr>
          <w:rFonts w:hint="eastAsia" w:hAnsi="宋体" w:cs="宋体"/>
          <w:highlight w:val="none"/>
        </w:rPr>
      </w:pPr>
      <w:r>
        <w:rPr>
          <w:rFonts w:hint="eastAsia" w:hAnsi="宋体" w:cs="宋体"/>
          <w:highlight w:val="none"/>
        </w:rPr>
        <w:t>完善市政协主席会议成员联系委员、委员联系群众制度，走访委员力度，在事业上支持委员，在履职上服务委员，在生活上关心委员，为委员履职尽责创造条件。制定定期通报委员履职情况的措施办法提高委员履职的主动性和积极性，搭建起委员履职的督促平台。加强政协网站建设，推进委员网络办公平台建设，使委员可通过网络直接提交提案和建言献策意见，反映社情民意等，为委员履职提</w:t>
      </w:r>
    </w:p>
    <w:p w14:paraId="2BE88232">
      <w:pPr>
        <w:rPr>
          <w:rFonts w:hint="eastAsia" w:hAnsi="宋体" w:cs="宋体"/>
          <w:highlight w:val="none"/>
        </w:rPr>
      </w:pPr>
      <w:r>
        <w:rPr>
          <w:rFonts w:hint="eastAsia" w:hAnsi="宋体" w:cs="宋体"/>
          <w:highlight w:val="none"/>
        </w:rPr>
        <w:t>供更加便捷高效的载体。市政协党组严格遵守党的政治纪律和政治规矩，切实加强机关党员干部和政协委员的政治思想工作，自觉遵守</w:t>
      </w:r>
      <w:r>
        <w:rPr>
          <w:rFonts w:hint="eastAsia" w:cs="宋体"/>
          <w:highlight w:val="none"/>
          <w:lang w:val="en-US" w:eastAsia="zh-CN"/>
        </w:rPr>
        <w:t>中央</w:t>
      </w:r>
      <w:r>
        <w:rPr>
          <w:rFonts w:hint="eastAsia" w:hAnsi="宋体" w:cs="宋体"/>
          <w:highlight w:val="none"/>
        </w:rPr>
        <w:t>八项规定，带头学习和践行“三严三实”，把学习教育和解决问题结合起来，使“三严三实”成为政协机关干部修身做人、用权律己的基本遵循，干事创业的行为准则，形成合作共事、发扬民主、求真务实、联系群众、廉洁奉公、遵纪守法工作氛围。落实中央、省、市关于清理办公用房和公务用车改革的各项措施，规范公务接待。深入开展“双学双比”主题实践活动，牢固树立“服务基层、服务群众、服务发展”的服务理念，改进服务方式，提高服务效率，政协机关干部作风得到改进，组织协调协商能力增强，办文、办事、办会质量和水平明显提高。</w:t>
      </w:r>
    </w:p>
    <w:p w14:paraId="3C215593">
      <w:pPr>
        <w:pStyle w:val="3"/>
        <w:bidi w:val="0"/>
        <w:rPr>
          <w:rFonts w:hint="eastAsia"/>
          <w:highlight w:val="none"/>
        </w:rPr>
      </w:pPr>
      <w:r>
        <w:rPr>
          <w:rFonts w:hint="eastAsia"/>
          <w:highlight w:val="none"/>
        </w:rPr>
        <w:t>工作记事</w:t>
      </w:r>
    </w:p>
    <w:p w14:paraId="4312679D">
      <w:pPr>
        <w:rPr>
          <w:rFonts w:hint="eastAsia" w:hAnsi="宋体" w:cs="宋体"/>
          <w:highlight w:val="none"/>
        </w:rPr>
      </w:pPr>
      <w:r>
        <w:rPr>
          <w:rFonts w:hint="eastAsia" w:hAnsi="宋体" w:cs="宋体"/>
          <w:highlight w:val="none"/>
        </w:rPr>
        <w:t>1月5日，市政协常委、市规划办主任马某，市政协委员、南雄中学校长胡某超因涉嫌受贿罪被南雄市人民检察院依法逮捕。</w:t>
      </w:r>
    </w:p>
    <w:p w14:paraId="6879F299">
      <w:pPr>
        <w:rPr>
          <w:rFonts w:hint="eastAsia" w:hAnsi="宋体" w:cs="宋体"/>
          <w:highlight w:val="none"/>
        </w:rPr>
      </w:pPr>
      <w:r>
        <w:rPr>
          <w:rFonts w:hint="eastAsia" w:hAnsi="宋体" w:cs="宋体"/>
          <w:highlight w:val="none"/>
        </w:rPr>
        <w:t>1月7日，市政协常委、市财政局局长李某忠因涉嫌受贿罪被始兴县人民检察院立案侦查。1月8日始兴县人民检察院对犯罪嫌疑人李某忠取保候审。</w:t>
      </w:r>
    </w:p>
    <w:p w14:paraId="39F9EB90">
      <w:pPr>
        <w:rPr>
          <w:rFonts w:hint="eastAsia" w:hAnsi="宋体" w:cs="宋体"/>
          <w:highlight w:val="none"/>
        </w:rPr>
      </w:pPr>
      <w:r>
        <w:rPr>
          <w:rFonts w:hint="eastAsia" w:hAnsi="宋体" w:cs="宋体"/>
          <w:highlight w:val="none"/>
        </w:rPr>
        <w:t>1月10日，市政协委员、市住建局副局长赖某琳因涉嫌受贿罪被始兴县人民检察院立案侦查。</w:t>
      </w:r>
    </w:p>
    <w:p w14:paraId="77B220F7">
      <w:pPr>
        <w:rPr>
          <w:rFonts w:hint="eastAsia" w:hAnsi="宋体" w:cs="宋体"/>
          <w:highlight w:val="none"/>
        </w:rPr>
      </w:pPr>
      <w:r>
        <w:rPr>
          <w:rFonts w:hint="eastAsia" w:hAnsi="宋体" w:cs="宋体"/>
          <w:highlight w:val="none"/>
        </w:rPr>
        <w:t>1月14日，经南雄市编委批准、市人社局同意，曾志明由珠玑镇政府调入市政协办工作，任职科员。</w:t>
      </w:r>
    </w:p>
    <w:p w14:paraId="0594F05D">
      <w:pPr>
        <w:rPr>
          <w:rFonts w:hint="eastAsia" w:hAnsi="宋体" w:cs="宋体"/>
          <w:highlight w:val="none"/>
        </w:rPr>
      </w:pPr>
      <w:r>
        <w:rPr>
          <w:rFonts w:hint="eastAsia" w:hAnsi="宋体" w:cs="宋体"/>
          <w:highlight w:val="none"/>
        </w:rPr>
        <w:t>1月27日，市政协主席何万飞、副主席刘发雄、秘书长朱定球等领导到黄坑镇调研。并为该镇上象村、小陂村、社前村送上春节慰问金各5000元。</w:t>
      </w:r>
    </w:p>
    <w:p w14:paraId="669248E8">
      <w:pPr>
        <w:rPr>
          <w:rFonts w:hint="eastAsia" w:hAnsi="宋体" w:cs="宋体"/>
          <w:highlight w:val="none"/>
        </w:rPr>
      </w:pPr>
      <w:r>
        <w:rPr>
          <w:rFonts w:hint="eastAsia" w:hAnsi="宋体" w:cs="宋体"/>
          <w:highlight w:val="none"/>
        </w:rPr>
        <w:t>1月29日，市政协召开九届第9次常务委员会会议。市政协主席何万飞主持会议。会议审议通过市政协九届五次会议常委会工作报告（讨论稿）、市政协九届五次会议常委会提案工作情况的报告</w:t>
      </w:r>
      <w:r>
        <w:rPr>
          <w:rFonts w:hint="eastAsia" w:hAnsi="宋体" w:cs="宋体"/>
          <w:highlight w:val="none"/>
          <w:lang w:eastAsia="zh-CN"/>
        </w:rPr>
        <w:t>（</w:t>
      </w:r>
      <w:r>
        <w:rPr>
          <w:rFonts w:hint="eastAsia" w:hAnsi="宋体" w:cs="宋体"/>
          <w:highlight w:val="none"/>
        </w:rPr>
        <w:t>讨论稿</w:t>
      </w:r>
      <w:r>
        <w:rPr>
          <w:rFonts w:hint="eastAsia" w:hAnsi="宋体" w:cs="宋体"/>
          <w:highlight w:val="none"/>
          <w:lang w:eastAsia="zh-CN"/>
        </w:rPr>
        <w:t>）</w:t>
      </w:r>
      <w:r>
        <w:rPr>
          <w:rFonts w:hint="eastAsia" w:hAnsi="宋体" w:cs="宋体"/>
          <w:highlight w:val="none"/>
        </w:rPr>
        <w:t>、市政协九届五次会议议程、讨论《政府工作报告》（征求意见稿）等。会议还协商通过有关人事安排事项。</w:t>
      </w:r>
    </w:p>
    <w:p w14:paraId="0E9FECBC">
      <w:pPr>
        <w:rPr>
          <w:rFonts w:hint="eastAsia" w:hAnsi="宋体" w:cs="宋体"/>
          <w:highlight w:val="none"/>
        </w:rPr>
      </w:pPr>
      <w:r>
        <w:rPr>
          <w:rFonts w:hint="eastAsia" w:hAnsi="宋体" w:cs="宋体"/>
          <w:highlight w:val="none"/>
        </w:rPr>
        <w:t>经中国人民政治协商会议南雄市委员会第九届第9次常委会议审议通过，决定：撤销马盛、李传忠、胡钟超、赖书琳、林冬梅等5人市政协第九届政协委员资格；免去马盛、李传忠等2人市政协九届政协常委职务。同意董圣国、黄云、邓汝华、彭大芬、姚璟、沈青松、刘光彬、钟爱莲、巫钟晟、肖水石、陈景泰、刘军、邓德尧、曾华、黄霄、李伙强、沈学军等17人辞去市政协九届委员会委员职务。同意董圣国同志辞去市政协九届常委职务。同意增补李帆、赵永红、成铭、叶世明、谢祥英、徐学辉、吴达鸿、邱万雄、叶忠、罗天祥、邓文兴、张相铭、夏新坤、郭秀丽、刘光胜、刘志梅、池缔荣、梁雯斌、欧嘉伟、蓝北华、张博文、邓国文、沈学辉等23人为市政协九届委员会委员。</w:t>
      </w:r>
    </w:p>
    <w:p w14:paraId="6867E270">
      <w:pPr>
        <w:rPr>
          <w:rFonts w:hint="eastAsia" w:hAnsi="宋体" w:cs="宋体"/>
          <w:highlight w:val="none"/>
        </w:rPr>
      </w:pPr>
      <w:r>
        <w:rPr>
          <w:rFonts w:hint="eastAsia" w:hAnsi="宋体" w:cs="宋体"/>
          <w:highlight w:val="none"/>
        </w:rPr>
        <w:t>2月4日，市政协主席何万飞、副主席陈尚妹、秘书长朱定球以及住雄韶关市政协委员参加为期3天的韶关市政协第十一届第四次会议。</w:t>
      </w:r>
    </w:p>
    <w:p w14:paraId="4BEBACDC">
      <w:pPr>
        <w:rPr>
          <w:rFonts w:hint="eastAsia" w:hAnsi="宋体" w:cs="宋体"/>
          <w:highlight w:val="none"/>
        </w:rPr>
      </w:pPr>
      <w:r>
        <w:rPr>
          <w:rFonts w:hint="eastAsia" w:hAnsi="宋体" w:cs="宋体"/>
          <w:highlight w:val="none"/>
        </w:rPr>
        <w:t>2月6日，韶关市政协秘书长陶学权一行8人前往南雄市调研县级政协基本情况。市政协副主席陈尚妹、秘书长朱定球等领导陪同调研。</w:t>
      </w:r>
    </w:p>
    <w:p w14:paraId="5BE5FFC7">
      <w:pPr>
        <w:rPr>
          <w:rFonts w:hint="eastAsia" w:hAnsi="宋体" w:cs="宋体"/>
          <w:highlight w:val="none"/>
        </w:rPr>
      </w:pPr>
      <w:r>
        <w:rPr>
          <w:rFonts w:hint="eastAsia" w:hAnsi="宋体" w:cs="宋体"/>
          <w:highlight w:val="none"/>
        </w:rPr>
        <w:t>2月10日，广东省政协第十一次委员会第三次会议在广州召开。市政协副主席周济辉参加会议。</w:t>
      </w:r>
    </w:p>
    <w:p w14:paraId="7B7B01B4">
      <w:pPr>
        <w:rPr>
          <w:rFonts w:hint="eastAsia" w:hAnsi="宋体" w:cs="宋体"/>
          <w:highlight w:val="none"/>
        </w:rPr>
      </w:pPr>
      <w:r>
        <w:rPr>
          <w:rFonts w:hint="eastAsia" w:hAnsi="宋体" w:cs="宋体"/>
          <w:highlight w:val="none"/>
        </w:rPr>
        <w:t>2月10日，南雄市召开各界人士迎春茶话会。市政协主席何万飞主持会议，市委书记曾风保作新春致辞。市党政四套班子领导参加茶话会。</w:t>
      </w:r>
    </w:p>
    <w:p w14:paraId="2A0696C5">
      <w:pPr>
        <w:rPr>
          <w:rFonts w:hint="eastAsia" w:hAnsi="宋体" w:cs="宋体"/>
          <w:highlight w:val="none"/>
        </w:rPr>
      </w:pPr>
      <w:r>
        <w:rPr>
          <w:rFonts w:hint="eastAsia" w:hAnsi="宋体" w:cs="宋体"/>
          <w:highlight w:val="none"/>
        </w:rPr>
        <w:t>2月19日，市政协主席何万飞率市慰问组对坚守在一线的市城管局、市环卫所、市公安局工作人员进行节日问候。</w:t>
      </w:r>
    </w:p>
    <w:p w14:paraId="472CED46">
      <w:pPr>
        <w:rPr>
          <w:rFonts w:hint="eastAsia" w:hAnsi="宋体" w:cs="宋体"/>
          <w:highlight w:val="none"/>
        </w:rPr>
      </w:pPr>
      <w:r>
        <w:rPr>
          <w:rFonts w:hint="eastAsia" w:hAnsi="宋体" w:cs="宋体"/>
          <w:highlight w:val="none"/>
        </w:rPr>
        <w:t>3月16—18日，市政协九届五次会议于2015年3月16—18日在市区召开。大会应到委员208人，实到160人。大会听取和审议何万飞作的《常委会工作报告》和周济辉作的《九届四次会议以来提案工作报告》。会议表彰九届四次会议以来优秀提案，选举张相铭、顾惠林为九届委员会常务委员。委员们列席市十四届人大五次会议，听取和审议曾风保作的《政府工作报告》。大会于18日胜利闭幕。</w:t>
      </w:r>
    </w:p>
    <w:p w14:paraId="33D1464B">
      <w:pPr>
        <w:rPr>
          <w:rFonts w:hint="eastAsia" w:hAnsi="宋体" w:cs="宋体"/>
          <w:highlight w:val="none"/>
        </w:rPr>
      </w:pPr>
      <w:r>
        <w:rPr>
          <w:rFonts w:hint="eastAsia" w:hAnsi="宋体" w:cs="宋体"/>
          <w:highlight w:val="none"/>
        </w:rPr>
        <w:t>3月23日，市政协召开全体干部职工会议。会议议程：1</w:t>
      </w:r>
      <w:r>
        <w:rPr>
          <w:rFonts w:hint="eastAsia" w:ascii="MingLiU_HKSCS" w:hAnsi="MingLiU_HKSCS" w:eastAsia="MingLiU_HKSCS" w:cs="MingLiU_HKSCS"/>
          <w:highlight w:val="none"/>
        </w:rPr>
        <w:t>.</w:t>
      </w:r>
      <w:r>
        <w:rPr>
          <w:rFonts w:hint="eastAsia" w:hAnsi="宋体" w:cs="宋体"/>
          <w:highlight w:val="none"/>
        </w:rPr>
        <w:t>各委组负责人对九届五次会议讨论情况进行汇总。2</w:t>
      </w:r>
      <w:r>
        <w:rPr>
          <w:rFonts w:hint="eastAsia" w:ascii="MingLiU_HKSCS" w:hAnsi="MingLiU_HKSCS" w:eastAsia="MingLiU_HKSCS" w:cs="MingLiU_HKSCS"/>
          <w:highlight w:val="none"/>
        </w:rPr>
        <w:t>.</w:t>
      </w:r>
      <w:r>
        <w:rPr>
          <w:rFonts w:hint="eastAsia" w:hAnsi="宋体" w:cs="宋体"/>
          <w:highlight w:val="none"/>
        </w:rPr>
        <w:t>朱定球秘书长对九届五次会议情况进行小结。3</w:t>
      </w:r>
      <w:r>
        <w:rPr>
          <w:rFonts w:hint="eastAsia" w:ascii="MingLiU_HKSCS" w:hAnsi="MingLiU_HKSCS" w:eastAsia="MingLiU_HKSCS" w:cs="MingLiU_HKSCS"/>
          <w:highlight w:val="none"/>
        </w:rPr>
        <w:t>.</w:t>
      </w:r>
      <w:r>
        <w:rPr>
          <w:rFonts w:hint="eastAsia" w:hAnsi="宋体" w:cs="宋体"/>
          <w:highlight w:val="none"/>
        </w:rPr>
        <w:t>何万飞主席对政协机关干部职工工作分工进行调整，并提出工作要求。4</w:t>
      </w:r>
      <w:r>
        <w:rPr>
          <w:rFonts w:hint="eastAsia" w:ascii="MingLiU_HKSCS" w:hAnsi="MingLiU_HKSCS" w:eastAsia="MingLiU_HKSCS" w:cs="MingLiU_HKSCS"/>
          <w:highlight w:val="none"/>
        </w:rPr>
        <w:t>.</w:t>
      </w:r>
      <w:r>
        <w:rPr>
          <w:rFonts w:hint="eastAsia" w:hAnsi="宋体" w:cs="宋体"/>
          <w:highlight w:val="none"/>
        </w:rPr>
        <w:t>市政协机关党支部进行换届选举。会议选举朱定球为党支部书记，叶建华为党支部副书记，黄永寿为党支部纪检委员，钟春艳为党支部组织委员，邬章云为党支部宣传委员。</w:t>
      </w:r>
    </w:p>
    <w:p w14:paraId="2080BE4F">
      <w:pPr>
        <w:rPr>
          <w:rFonts w:hint="eastAsia" w:hAnsi="宋体" w:cs="宋体"/>
          <w:highlight w:val="none"/>
        </w:rPr>
      </w:pPr>
      <w:r>
        <w:rPr>
          <w:rFonts w:hint="eastAsia" w:hAnsi="宋体" w:cs="宋体"/>
          <w:highlight w:val="none"/>
        </w:rPr>
        <w:t>3月27日，南雄市政协召开九届16次主席（党组）会议。市政协主席何万飞主持会议，副主席周济辉、刘发雄、刘卫忠、陈尚妹、刘光团和党组成员朱定球、邬章云、叶建华参加会议。会议听取市政协提案委关于市政协九届五次会议提案情况汇报，研究提案办理工作。会议研究讨论市政协2015年重点工作安排事项，部署全年工作任务。</w:t>
      </w:r>
    </w:p>
    <w:p w14:paraId="6FEEC9F3">
      <w:pPr>
        <w:rPr>
          <w:rFonts w:hint="eastAsia" w:hAnsi="宋体" w:cs="宋体"/>
          <w:highlight w:val="none"/>
        </w:rPr>
      </w:pPr>
      <w:r>
        <w:rPr>
          <w:rFonts w:hint="eastAsia" w:hAnsi="宋体" w:cs="宋体"/>
          <w:highlight w:val="none"/>
        </w:rPr>
        <w:t>4月1日，省政协在清远召开粤东西北地区“委员之家”网络互动平台工作座谈会，市政协秘书长朱定球参加会议。</w:t>
      </w:r>
    </w:p>
    <w:p w14:paraId="4D4E2150">
      <w:pPr>
        <w:rPr>
          <w:rFonts w:hint="eastAsia" w:hAnsi="宋体" w:cs="宋体"/>
          <w:highlight w:val="none"/>
        </w:rPr>
      </w:pPr>
      <w:r>
        <w:rPr>
          <w:rFonts w:hint="eastAsia" w:hAnsi="宋体" w:cs="宋体"/>
          <w:highlight w:val="none"/>
        </w:rPr>
        <w:t>4月10日，市政协召开宣传工作会议。总结2014年政协宣传工作，并就2015年政协宣传工作进行安排部署。</w:t>
      </w:r>
    </w:p>
    <w:p w14:paraId="6E0E4F91">
      <w:pPr>
        <w:rPr>
          <w:rFonts w:hint="eastAsia" w:hAnsi="宋体" w:cs="宋体"/>
          <w:highlight w:val="none"/>
        </w:rPr>
      </w:pPr>
      <w:r>
        <w:rPr>
          <w:rFonts w:hint="eastAsia" w:hAnsi="宋体" w:cs="宋体"/>
          <w:highlight w:val="none"/>
        </w:rPr>
        <w:t>4月22日，市政协党组会议决定，鉴于市政协副主席刘某雄涉嫌严重违纪，暂停其工作职位。</w:t>
      </w:r>
    </w:p>
    <w:p w14:paraId="6F9CF109">
      <w:pPr>
        <w:rPr>
          <w:rFonts w:hint="eastAsia" w:hAnsi="宋体" w:cs="宋体"/>
          <w:highlight w:val="none"/>
        </w:rPr>
      </w:pPr>
      <w:r>
        <w:rPr>
          <w:rFonts w:hint="eastAsia" w:hAnsi="宋体" w:cs="宋体"/>
          <w:highlight w:val="none"/>
        </w:rPr>
        <w:t>5月13日，韶关市政协副主席邓建华率韶关市政协委员视察广东邦固化学科技有限公司“院士专家企业工作站”开展情况。南雄市政协副主席陈尚妹、秘书长朱定球陪同视察。</w:t>
      </w:r>
    </w:p>
    <w:p w14:paraId="40564E1D">
      <w:pPr>
        <w:rPr>
          <w:rFonts w:hint="eastAsia" w:hAnsi="宋体" w:cs="宋体"/>
          <w:highlight w:val="none"/>
        </w:rPr>
      </w:pPr>
      <w:r>
        <w:rPr>
          <w:rFonts w:hint="eastAsia" w:hAnsi="宋体" w:cs="宋体"/>
          <w:highlight w:val="none"/>
        </w:rPr>
        <w:t>6月2日，按照市委、市政协党组要求，市政协党组书记、主席何万飞为市政协机关党员干部上专题党课。</w:t>
      </w:r>
    </w:p>
    <w:p w14:paraId="66C84486">
      <w:pPr>
        <w:rPr>
          <w:rFonts w:hint="eastAsia" w:hAnsi="宋体" w:cs="宋体"/>
          <w:highlight w:val="none"/>
        </w:rPr>
      </w:pPr>
      <w:r>
        <w:rPr>
          <w:rFonts w:hint="eastAsia" w:hAnsi="宋体" w:cs="宋体"/>
          <w:highlight w:val="none"/>
        </w:rPr>
        <w:t>6月16日，市政协副主席周济辉率政协调研组就《关于加大白酒业的扶持力度，增加政府财税收入的建议》这一重点提案，深入相关企业开展专题调研。</w:t>
      </w:r>
    </w:p>
    <w:p w14:paraId="2614ED38">
      <w:pPr>
        <w:rPr>
          <w:rFonts w:hint="eastAsia" w:hAnsi="宋体" w:cs="宋体"/>
          <w:highlight w:val="none"/>
        </w:rPr>
      </w:pPr>
      <w:r>
        <w:rPr>
          <w:rFonts w:hint="eastAsia" w:hAnsi="宋体" w:cs="宋体"/>
          <w:highlight w:val="none"/>
        </w:rPr>
        <w:t>6月24日，根据“三严三实”专题教育“四个体察”工作安排，当天上午，市政协主席何万飞在市政协秘书长朱定球等陪同下，到挂点联系企业——广东衡光、旭日化工有限公司体察企业发展之难。</w:t>
      </w:r>
    </w:p>
    <w:p w14:paraId="4D3E7F34">
      <w:pPr>
        <w:rPr>
          <w:rFonts w:hint="eastAsia" w:hAnsi="宋体" w:cs="宋体"/>
          <w:highlight w:val="none"/>
        </w:rPr>
      </w:pPr>
      <w:r>
        <w:rPr>
          <w:rFonts w:hint="eastAsia" w:hAnsi="宋体" w:cs="宋体"/>
          <w:highlight w:val="none"/>
        </w:rPr>
        <w:t>6月25日，市政协副主席周济辉率政协重点提案督办组，分别到市卫计局、市住建局督办《关于对精神病患者加大救助力度的建议》《关于拓宽广州会馆路段的建议》重点提案办理进展情况。</w:t>
      </w:r>
    </w:p>
    <w:p w14:paraId="66418338">
      <w:pPr>
        <w:rPr>
          <w:rFonts w:hint="eastAsia" w:hAnsi="宋体" w:cs="宋体"/>
          <w:highlight w:val="none"/>
        </w:rPr>
      </w:pPr>
      <w:r>
        <w:rPr>
          <w:rFonts w:hint="eastAsia" w:hAnsi="宋体" w:cs="宋体"/>
          <w:highlight w:val="none"/>
        </w:rPr>
        <w:t>6月29日，市政协副主席陈尚妹到江头镇为该镇100多名党员上党课。</w:t>
      </w:r>
    </w:p>
    <w:p w14:paraId="49AEE203">
      <w:pPr>
        <w:rPr>
          <w:rFonts w:hint="eastAsia" w:hAnsi="宋体" w:cs="宋体"/>
          <w:highlight w:val="none"/>
        </w:rPr>
      </w:pPr>
      <w:r>
        <w:rPr>
          <w:rFonts w:hint="eastAsia" w:hAnsi="宋体" w:cs="宋体"/>
          <w:highlight w:val="none"/>
        </w:rPr>
        <w:t>6月30日，市政协副主席周济辉为政协机关干部上专题党课。</w:t>
      </w:r>
    </w:p>
    <w:p w14:paraId="0BB0A044">
      <w:pPr>
        <w:rPr>
          <w:rFonts w:hint="eastAsia" w:hAnsi="宋体" w:cs="宋体"/>
          <w:highlight w:val="none"/>
        </w:rPr>
      </w:pPr>
      <w:r>
        <w:rPr>
          <w:rFonts w:hint="eastAsia" w:hAnsi="宋体" w:cs="宋体"/>
          <w:highlight w:val="none"/>
        </w:rPr>
        <w:t>7月6日，接南雄市委组织部雄组干〔2015〕40号《关于刘发雄等同志免职意见的通知》。</w:t>
      </w:r>
    </w:p>
    <w:p w14:paraId="570CD8F6">
      <w:pPr>
        <w:rPr>
          <w:rFonts w:hint="eastAsia" w:hAnsi="宋体" w:cs="宋体"/>
          <w:highlight w:val="none"/>
        </w:rPr>
      </w:pPr>
      <w:r>
        <w:rPr>
          <w:rFonts w:hint="eastAsia" w:hAnsi="宋体" w:cs="宋体"/>
          <w:highlight w:val="none"/>
        </w:rPr>
        <w:t>7月15日，市政协召开九届第10次常委会，传达有关精神，通报工作情况，协商讨论和表决有关事项。根据韶组干〔2015〕141号文通知精神和《中国人民政治协商会议章程》及有关规定，决定免去刘发雄、刘光团2人市九届政协副主席职务，撤销其委员资格。</w:t>
      </w:r>
    </w:p>
    <w:p w14:paraId="318372BB">
      <w:pPr>
        <w:rPr>
          <w:rFonts w:hint="eastAsia" w:hAnsi="宋体" w:cs="宋体"/>
          <w:highlight w:val="none"/>
        </w:rPr>
      </w:pPr>
      <w:r>
        <w:rPr>
          <w:rFonts w:hint="eastAsia" w:hAnsi="宋体" w:cs="宋体"/>
          <w:highlight w:val="none"/>
        </w:rPr>
        <w:t>7月21日，市政协组织市政协教科文卫体委委员30多人，视察该市教育新“四大”民生工程建设情况。</w:t>
      </w:r>
    </w:p>
    <w:p w14:paraId="5E186FC3">
      <w:pPr>
        <w:rPr>
          <w:rFonts w:hint="eastAsia" w:hAnsi="宋体" w:cs="宋体"/>
          <w:highlight w:val="none"/>
        </w:rPr>
      </w:pPr>
      <w:r>
        <w:rPr>
          <w:rFonts w:hint="eastAsia" w:hAnsi="宋体" w:cs="宋体"/>
          <w:highlight w:val="none"/>
        </w:rPr>
        <w:t>7月29日，市委副书记、市长王碧安率领市政府办、住建局和雄州街道等有关单位负责人，现场督办《关于加快雄州公园建设的建议》这一重点提案，现场解决公园建设存在问题。市政协党组书记、主席何万飞，市委常委、政法委书记刘发龙一同参加督办。</w:t>
      </w:r>
    </w:p>
    <w:p w14:paraId="3FC1E99D">
      <w:pPr>
        <w:rPr>
          <w:rFonts w:hint="eastAsia" w:hAnsi="宋体" w:cs="宋体"/>
          <w:highlight w:val="none"/>
        </w:rPr>
      </w:pPr>
      <w:r>
        <w:rPr>
          <w:rFonts w:hint="eastAsia" w:hAnsi="宋体" w:cs="宋体"/>
          <w:highlight w:val="none"/>
        </w:rPr>
        <w:t>7月31日，市政协主席何万飞、副主席陈尚妹先后到黄坑镇调研烟叶收购工作、乌迳镇调研整治“两违”工作，并针对性地建言。</w:t>
      </w:r>
    </w:p>
    <w:p w14:paraId="576E609C">
      <w:pPr>
        <w:rPr>
          <w:rFonts w:hint="eastAsia" w:hAnsi="宋体" w:cs="宋体"/>
          <w:highlight w:val="none"/>
        </w:rPr>
      </w:pPr>
      <w:r>
        <w:rPr>
          <w:rFonts w:hint="eastAsia" w:hAnsi="宋体" w:cs="宋体"/>
          <w:highlight w:val="none"/>
        </w:rPr>
        <w:t>8月7日，市政协机关召开2015年纪律教育学习月活动会议。市政协全体干部职工参加会议。</w:t>
      </w:r>
    </w:p>
    <w:p w14:paraId="52C6EE4F">
      <w:pPr>
        <w:rPr>
          <w:rFonts w:hint="eastAsia" w:hAnsi="宋体" w:cs="宋体"/>
          <w:highlight w:val="none"/>
        </w:rPr>
      </w:pPr>
      <w:r>
        <w:rPr>
          <w:rFonts w:hint="eastAsia" w:hAnsi="宋体" w:cs="宋体"/>
          <w:highlight w:val="none"/>
        </w:rPr>
        <w:t>8月10日，市政协组织机关全体党员干部参观市廉政教育基地，提高廉洁自律意识，筑牢防腐防线。</w:t>
      </w:r>
    </w:p>
    <w:p w14:paraId="25274582">
      <w:pPr>
        <w:rPr>
          <w:rFonts w:hint="eastAsia" w:hAnsi="宋体" w:cs="宋体"/>
          <w:highlight w:val="none"/>
        </w:rPr>
      </w:pPr>
      <w:r>
        <w:rPr>
          <w:rFonts w:hint="eastAsia" w:hAnsi="宋体" w:cs="宋体"/>
          <w:highlight w:val="none"/>
        </w:rPr>
        <w:t>8月11日，接到韶纪审〔2015〕130号《关于给予刘发雄行政撤职处分的决定》，决定给予刘发雄行政撤职处分，按副主任科员安排工作，收缴涉案违纪款项上缴国库。</w:t>
      </w:r>
    </w:p>
    <w:p w14:paraId="25F8CAFD">
      <w:pPr>
        <w:rPr>
          <w:rFonts w:hint="eastAsia" w:hAnsi="宋体" w:cs="宋体"/>
          <w:highlight w:val="none"/>
          <w:vertAlign w:val="baseline"/>
        </w:rPr>
      </w:pPr>
      <w:r>
        <w:rPr>
          <w:rFonts w:hint="eastAsia" w:hAnsi="宋体" w:cs="宋体"/>
          <w:highlight w:val="none"/>
        </w:rPr>
        <w:t>8月21日，接到雄组干〔2015〕43号《关于刘光团同志免职的通知》，决定刘光团不再担任市政协党组成员职务。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805B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09DAA5FE">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3935"/>
                  <wp:effectExtent l="0" t="0" r="8890" b="12065"/>
                  <wp:docPr id="50" name="图片 19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8" descr="6"/>
                          <pic:cNvPicPr>
                            <a:picLocks noChangeAspect="1"/>
                          </pic:cNvPicPr>
                        </pic:nvPicPr>
                        <pic:blipFill>
                          <a:blip r:embed="rId55"/>
                          <a:stretch>
                            <a:fillRect/>
                          </a:stretch>
                        </pic:blipFill>
                        <pic:spPr>
                          <a:xfrm>
                            <a:off x="0" y="0"/>
                            <a:ext cx="3420110" cy="2273935"/>
                          </a:xfrm>
                          <a:prstGeom prst="rect">
                            <a:avLst/>
                          </a:prstGeom>
                          <a:noFill/>
                          <a:ln>
                            <a:noFill/>
                          </a:ln>
                        </pic:spPr>
                      </pic:pic>
                    </a:graphicData>
                  </a:graphic>
                </wp:inline>
              </w:drawing>
            </w:r>
          </w:p>
        </w:tc>
      </w:tr>
      <w:tr w14:paraId="788F2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78367EF">
            <w:pPr>
              <w:jc w:val="center"/>
              <w:rPr>
                <w:rFonts w:hint="eastAsia" w:hAnsi="宋体" w:cs="宋体"/>
                <w:highlight w:val="none"/>
                <w:vertAlign w:val="baseline"/>
              </w:rPr>
            </w:pPr>
            <w:r>
              <w:rPr>
                <w:rFonts w:hint="eastAsia" w:hAnsi="宋体" w:cs="宋体"/>
                <w:highlight w:val="none"/>
                <w:vertAlign w:val="baseline"/>
              </w:rPr>
              <w:t>市政协“三严三实”专题教育工作会议召开</w:t>
            </w:r>
          </w:p>
        </w:tc>
      </w:tr>
    </w:tbl>
    <w:p w14:paraId="350485AD">
      <w:pPr>
        <w:rPr>
          <w:rFonts w:hint="eastAsia" w:hAnsi="宋体" w:cs="宋体"/>
          <w:highlight w:val="none"/>
        </w:rPr>
      </w:pPr>
      <w:r>
        <w:rPr>
          <w:rFonts w:hint="eastAsia" w:hAnsi="宋体" w:cs="宋体"/>
          <w:highlight w:val="none"/>
        </w:rPr>
        <w:t>8月27日，市政协主席何万飞一行到黄坑镇溪塘村督导软弱涣散党组织整顿工作。</w:t>
      </w:r>
    </w:p>
    <w:p w14:paraId="0612C8BF">
      <w:pPr>
        <w:rPr>
          <w:rFonts w:hint="eastAsia" w:hAnsi="宋体" w:cs="宋体"/>
          <w:highlight w:val="none"/>
        </w:rPr>
      </w:pPr>
      <w:r>
        <w:rPr>
          <w:rFonts w:hint="eastAsia" w:hAnsi="宋体" w:cs="宋体"/>
          <w:highlight w:val="none"/>
        </w:rPr>
        <w:t>8月28日，接到市委组织部关于同意办理刘发雄提前退休的批复。</w:t>
      </w:r>
    </w:p>
    <w:p w14:paraId="08DE429D">
      <w:pPr>
        <w:rPr>
          <w:rFonts w:hint="eastAsia" w:hAnsi="宋体" w:cs="宋体"/>
          <w:highlight w:val="none"/>
        </w:rPr>
      </w:pPr>
      <w:r>
        <w:rPr>
          <w:rFonts w:hint="eastAsia" w:hAnsi="宋体" w:cs="宋体"/>
          <w:highlight w:val="none"/>
        </w:rPr>
        <w:t>9月7日，经市委组织部同意，市人社局批准刘发雄退休。退休证号为：雄人退字（2015）35号。</w:t>
      </w:r>
    </w:p>
    <w:p w14:paraId="08A39ADF">
      <w:pPr>
        <w:rPr>
          <w:rFonts w:hint="eastAsia" w:hAnsi="宋体" w:cs="宋体"/>
          <w:highlight w:val="none"/>
        </w:rPr>
      </w:pPr>
      <w:r>
        <w:rPr>
          <w:rFonts w:hint="eastAsia" w:hAnsi="宋体" w:cs="宋体"/>
          <w:highlight w:val="none"/>
        </w:rPr>
        <w:t>9月9日，市政协主席何万飞率队深入黄坑镇中心小学、黄坑中学，看望坚守在教育第一线基层教师，并致以节日祝福。</w:t>
      </w:r>
    </w:p>
    <w:p w14:paraId="7F712449">
      <w:pPr>
        <w:rPr>
          <w:rFonts w:hint="eastAsia" w:hAnsi="宋体" w:cs="宋体"/>
          <w:highlight w:val="none"/>
        </w:rPr>
      </w:pPr>
      <w:r>
        <w:rPr>
          <w:rFonts w:hint="eastAsia" w:hAnsi="宋体" w:cs="宋体"/>
          <w:highlight w:val="none"/>
        </w:rPr>
        <w:t>9月10日，市长王碧安在市政府办主任刘先辉等陪同下，到市政协调研，重点了解提案办理情况，并征求市政协对政府</w:t>
      </w:r>
    </w:p>
    <w:p w14:paraId="3B6DC84C">
      <w:pPr>
        <w:rPr>
          <w:rFonts w:hint="eastAsia" w:hAnsi="宋体" w:cs="宋体"/>
          <w:highlight w:val="none"/>
        </w:rPr>
      </w:pPr>
      <w:r>
        <w:rPr>
          <w:rFonts w:hint="eastAsia" w:hAnsi="宋体" w:cs="宋体"/>
          <w:highlight w:val="none"/>
        </w:rPr>
        <w:t>工作意见和建议。市政协全体干部职工参加座谈会。</w:t>
      </w:r>
    </w:p>
    <w:p w14:paraId="562E0E31">
      <w:pPr>
        <w:rPr>
          <w:rFonts w:hint="eastAsia" w:hAnsi="宋体" w:cs="宋体"/>
          <w:highlight w:val="none"/>
        </w:rPr>
      </w:pPr>
      <w:r>
        <w:rPr>
          <w:rFonts w:hint="eastAsia" w:hAnsi="宋体" w:cs="宋体"/>
          <w:highlight w:val="none"/>
        </w:rPr>
        <w:t>9月16日，市政协主席何万飞率政协调研组到界址镇调研“十个一”亮点工程进展情况，并为该镇经济社会发展建议献策。市政协副主席周济辉、陈尚妹，秘书长朱定球参加调研。</w:t>
      </w:r>
    </w:p>
    <w:p w14:paraId="20C0BBB6">
      <w:pPr>
        <w:rPr>
          <w:rFonts w:hint="eastAsia" w:hAnsi="宋体" w:cs="宋体"/>
          <w:highlight w:val="none"/>
        </w:rPr>
      </w:pPr>
      <w:r>
        <w:rPr>
          <w:rFonts w:hint="eastAsia" w:hAnsi="宋体" w:cs="宋体"/>
          <w:highlight w:val="none"/>
        </w:rPr>
        <w:t>9月18日，市政协主席何万飞率政协调研组到澜河镇调研“十个一”亮点工程进展情况，并为该镇经济社会发展建议献策。市政协副主席周济辉、陈尚妹，秘书长朱定球参加调研。</w:t>
      </w:r>
    </w:p>
    <w:p w14:paraId="0AE51A49">
      <w:pPr>
        <w:rPr>
          <w:rFonts w:hint="eastAsia" w:hAnsi="宋体" w:cs="宋体"/>
          <w:highlight w:val="none"/>
        </w:rPr>
      </w:pPr>
      <w:r>
        <w:rPr>
          <w:rFonts w:hint="eastAsia" w:hAnsi="宋体" w:cs="宋体"/>
          <w:highlight w:val="none"/>
        </w:rPr>
        <w:t>9月21日，市政协召开九届第11次常委会。市委常委、常务副市长何人平，市政府办主任刘先辉等应邀列席会议。市政协主席何万飞主持会议。</w:t>
      </w:r>
    </w:p>
    <w:p w14:paraId="5C6401E0">
      <w:pPr>
        <w:rPr>
          <w:rFonts w:hint="eastAsia" w:hAnsi="宋体" w:cs="宋体"/>
          <w:highlight w:val="none"/>
        </w:rPr>
      </w:pPr>
      <w:r>
        <w:rPr>
          <w:rFonts w:hint="eastAsia" w:hAnsi="宋体" w:cs="宋体"/>
          <w:highlight w:val="none"/>
        </w:rPr>
        <w:t>10月20日，市政协机关党支部召开“三严三实”专题教育学习组织生活会。市政协机关全体党员参加会议。</w:t>
      </w:r>
    </w:p>
    <w:p w14:paraId="487576A9">
      <w:pPr>
        <w:rPr>
          <w:rFonts w:hint="eastAsia" w:hAnsi="宋体" w:cs="宋体"/>
          <w:highlight w:val="none"/>
        </w:rPr>
      </w:pPr>
      <w:r>
        <w:rPr>
          <w:rFonts w:hint="eastAsia" w:hAnsi="宋体" w:cs="宋体"/>
          <w:highlight w:val="none"/>
        </w:rPr>
        <w:t>10月28日，接到韶委办〔2015〕48号《关于给予刘光团纪律处分的复函》与韶纪审〔2015〕164号《关于给予刘光团开除党籍开除公职处分的决定》。</w:t>
      </w:r>
    </w:p>
    <w:p w14:paraId="21D1DB0A">
      <w:pPr>
        <w:rPr>
          <w:rFonts w:hint="eastAsia" w:hAnsi="宋体" w:cs="宋体"/>
          <w:highlight w:val="none"/>
        </w:rPr>
      </w:pPr>
      <w:r>
        <w:rPr>
          <w:rFonts w:hint="eastAsia" w:hAnsi="宋体" w:cs="宋体"/>
          <w:highlight w:val="none"/>
        </w:rPr>
        <w:t>11月17日至19日，由韶关市政协主办、乐昌市政协承办2015年韶关政协乒乓球比赛在韶关市体育馆举行。经过三天的争夺，南雄市政协机关代表队获得韶关市鑫金汇杯乒乓球混合团体比赛政协机关组第六名，南雄市政协获得乒乓球混合团体比赛县（市、区）组第五名。</w:t>
      </w:r>
    </w:p>
    <w:p w14:paraId="352E6CAA">
      <w:pPr>
        <w:rPr>
          <w:rFonts w:hint="eastAsia" w:hAnsi="宋体" w:cs="宋体"/>
          <w:highlight w:val="none"/>
        </w:rPr>
      </w:pPr>
      <w:r>
        <w:rPr>
          <w:rFonts w:hint="eastAsia" w:hAnsi="宋体" w:cs="宋体"/>
          <w:highlight w:val="none"/>
        </w:rPr>
        <w:t>12月5日，参加第二届世界广府人恳亲大会的1000多名广府人相聚南雄珠玑古巷开展“寻根之旅”，隆重祭拜中华民族的人文始祖炎黄二帝和广府人先祖。市政协主席何万飞，副主席周济辉、赖华焜、刘卫忠、陈尚妹，秘书长朱定球参加活动。</w:t>
      </w:r>
    </w:p>
    <w:p w14:paraId="79F36055">
      <w:pPr>
        <w:rPr>
          <w:rFonts w:hint="eastAsia" w:hAnsi="宋体" w:eastAsia="宋体" w:cs="宋体"/>
          <w:highlight w:val="none"/>
          <w:lang w:eastAsia="zh-CN"/>
        </w:rPr>
      </w:pPr>
      <w:r>
        <w:rPr>
          <w:rFonts w:hint="eastAsia" w:hAnsi="宋体" w:cs="宋体"/>
          <w:highlight w:val="none"/>
        </w:rPr>
        <w:t>12月21日，市政协党组召开“三严三实”专题民主生活会，围绕“三严三实”主题，联系个人实际深入查摆问题，严肃开展批评和自我批评。市政协主席、党组书记何万飞主持会议并作总结讲话。市政协副主席、党组副书记周济辉，市政协副主席、党组成员陈尚妹以及政协机关党员参加会议。（肖锋）</w:t>
      </w:r>
    </w:p>
    <w:p w14:paraId="52AB0BC5">
      <w:pPr>
        <w:pStyle w:val="3"/>
        <w:bidi w:val="0"/>
        <w:rPr>
          <w:rFonts w:hint="eastAsia"/>
          <w:highlight w:val="none"/>
        </w:rPr>
      </w:pPr>
      <w:r>
        <w:rPr>
          <w:rFonts w:hint="eastAsia"/>
          <w:highlight w:val="none"/>
        </w:rPr>
        <w:t>2015年政协南雄市领导班子成员名单</w:t>
      </w:r>
    </w:p>
    <w:p w14:paraId="4AD1DB25">
      <w:pPr>
        <w:rPr>
          <w:rFonts w:hint="eastAsia" w:hAnsi="宋体" w:cs="宋体"/>
          <w:highlight w:val="none"/>
        </w:rPr>
      </w:pPr>
      <w:r>
        <w:rPr>
          <w:rFonts w:hint="eastAsia" w:hAnsi="宋体" w:cs="宋体"/>
          <w:b/>
          <w:highlight w:val="none"/>
        </w:rPr>
        <w:t>主</w:t>
      </w:r>
      <w:r>
        <w:rPr>
          <w:rFonts w:hint="eastAsia" w:hAnsi="宋体" w:cs="宋体"/>
          <w:b/>
          <w:highlight w:val="none"/>
          <w:lang w:val="en-US" w:eastAsia="zh-CN"/>
        </w:rPr>
        <w:t xml:space="preserve">  </w:t>
      </w:r>
      <w:r>
        <w:rPr>
          <w:rFonts w:hint="eastAsia" w:hAnsi="宋体" w:cs="宋体"/>
          <w:highlight w:val="none"/>
        </w:rPr>
        <w:t>席：何万飞</w:t>
      </w:r>
    </w:p>
    <w:p w14:paraId="64F4071A">
      <w:pPr>
        <w:rPr>
          <w:rFonts w:hint="eastAsia" w:hAnsi="宋体" w:cs="宋体"/>
          <w:highlight w:val="none"/>
        </w:rPr>
      </w:pPr>
      <w:r>
        <w:rPr>
          <w:rFonts w:hint="eastAsia" w:hAnsi="宋体" w:cs="宋体"/>
          <w:highlight w:val="none"/>
        </w:rPr>
        <w:t>副主席：周济辉</w:t>
      </w:r>
    </w:p>
    <w:p w14:paraId="43ADA716">
      <w:pPr>
        <w:ind w:firstLine="1260" w:firstLineChars="600"/>
        <w:rPr>
          <w:rFonts w:hint="eastAsia" w:hAnsi="宋体" w:eastAsia="宋体" w:cs="宋体"/>
          <w:highlight w:val="none"/>
          <w:lang w:eastAsia="zh-CN"/>
        </w:rPr>
      </w:pPr>
      <w:r>
        <w:rPr>
          <w:rFonts w:hint="eastAsia" w:hAnsi="宋体" w:cs="宋体"/>
          <w:highlight w:val="none"/>
        </w:rPr>
        <w:t>刘发雄（7月免职）</w:t>
      </w:r>
    </w:p>
    <w:p w14:paraId="7C951619">
      <w:pPr>
        <w:ind w:firstLine="1260" w:firstLineChars="600"/>
        <w:rPr>
          <w:rFonts w:hint="eastAsia" w:hAnsi="宋体" w:eastAsia="宋体" w:cs="宋体"/>
          <w:highlight w:val="none"/>
          <w:lang w:eastAsia="zh-CN"/>
        </w:rPr>
      </w:pPr>
      <w:r>
        <w:rPr>
          <w:rFonts w:hint="eastAsia" w:hAnsi="宋体" w:cs="宋体"/>
          <w:highlight w:val="none"/>
        </w:rPr>
        <w:t>赖华焜</w:t>
      </w:r>
    </w:p>
    <w:p w14:paraId="2846F5DE">
      <w:pPr>
        <w:ind w:firstLine="1260" w:firstLineChars="600"/>
        <w:rPr>
          <w:rFonts w:hint="eastAsia" w:hAnsi="宋体" w:eastAsia="宋体" w:cs="宋体"/>
          <w:highlight w:val="none"/>
          <w:lang w:eastAsia="zh-CN"/>
        </w:rPr>
      </w:pPr>
      <w:r>
        <w:rPr>
          <w:rFonts w:hint="eastAsia" w:hAnsi="宋体" w:cs="宋体"/>
          <w:highlight w:val="none"/>
        </w:rPr>
        <w:t>刘卫忠</w:t>
      </w:r>
    </w:p>
    <w:p w14:paraId="30206909">
      <w:pPr>
        <w:ind w:firstLine="1260" w:firstLineChars="600"/>
        <w:rPr>
          <w:rFonts w:hint="eastAsia" w:hAnsi="宋体" w:eastAsia="宋体" w:cs="宋体"/>
          <w:highlight w:val="none"/>
          <w:lang w:eastAsia="zh-CN"/>
        </w:rPr>
      </w:pPr>
      <w:r>
        <w:rPr>
          <w:rFonts w:hint="eastAsia" w:hAnsi="宋体" w:cs="宋体"/>
          <w:highlight w:val="none"/>
        </w:rPr>
        <w:t>陈尚妹（女）</w:t>
      </w:r>
    </w:p>
    <w:p w14:paraId="1CF7D532">
      <w:pPr>
        <w:ind w:firstLine="1260" w:firstLineChars="600"/>
        <w:rPr>
          <w:rFonts w:hint="eastAsia" w:hAnsi="宋体" w:cs="宋体"/>
          <w:highlight w:val="none"/>
        </w:rPr>
      </w:pPr>
      <w:r>
        <w:rPr>
          <w:rFonts w:hint="eastAsia" w:hAnsi="宋体" w:cs="宋体"/>
          <w:highlight w:val="none"/>
        </w:rPr>
        <w:t>刘光团（7月撤职）</w:t>
      </w:r>
    </w:p>
    <w:p w14:paraId="4BB1CBDB">
      <w:pPr>
        <w:rPr>
          <w:rFonts w:hint="eastAsia" w:hAnsi="宋体" w:cs="宋体"/>
          <w:highlight w:val="none"/>
        </w:rPr>
      </w:pPr>
      <w:r>
        <w:rPr>
          <w:rFonts w:hint="eastAsia" w:hAnsi="宋体" w:cs="宋体"/>
          <w:highlight w:val="none"/>
        </w:rPr>
        <w:t>秘书长：朱定球</w:t>
      </w:r>
    </w:p>
    <w:p w14:paraId="1FAC1D4B">
      <w:pPr>
        <w:rPr>
          <w:rFonts w:hint="eastAsia" w:hAnsi="宋体" w:cs="宋体"/>
          <w:highlight w:val="none"/>
        </w:rPr>
      </w:pPr>
      <w:r>
        <w:rPr>
          <w:rFonts w:hint="eastAsia" w:hAnsi="宋体" w:cs="宋体"/>
          <w:highlight w:val="none"/>
        </w:rPr>
        <w:t>附：2015年市政协机关领导班子成员名单</w:t>
      </w:r>
    </w:p>
    <w:p w14:paraId="5FED912C">
      <w:pPr>
        <w:rPr>
          <w:rFonts w:hint="eastAsia" w:hAnsi="宋体" w:cs="宋体"/>
          <w:highlight w:val="none"/>
        </w:rPr>
      </w:pPr>
      <w:r>
        <w:rPr>
          <w:rFonts w:hint="eastAsia" w:hAnsi="宋体" w:cs="宋体"/>
          <w:highlight w:val="none"/>
        </w:rPr>
        <w:t>办公室主任：朱定球</w:t>
      </w:r>
    </w:p>
    <w:p w14:paraId="57D2B49A">
      <w:pPr>
        <w:rPr>
          <w:rFonts w:hint="eastAsia" w:hAnsi="宋体" w:cs="宋体"/>
          <w:highlight w:val="none"/>
        </w:rPr>
      </w:pPr>
      <w:r>
        <w:rPr>
          <w:rFonts w:hint="eastAsia" w:hAnsi="宋体" w:cs="宋体"/>
          <w:highlight w:val="none"/>
        </w:rPr>
        <w:t>副主任：黄永寿 钟春艳</w:t>
      </w:r>
    </w:p>
    <w:p w14:paraId="2F227BD3">
      <w:pPr>
        <w:rPr>
          <w:rFonts w:hint="eastAsia" w:hAnsi="宋体" w:cs="宋体"/>
          <w:highlight w:val="none"/>
        </w:rPr>
      </w:pPr>
      <w:r>
        <w:rPr>
          <w:rFonts w:hint="eastAsia" w:hAnsi="宋体" w:cs="宋体"/>
          <w:highlight w:val="none"/>
        </w:rPr>
        <w:t>宣传科科长：邬章云</w:t>
      </w:r>
    </w:p>
    <w:p w14:paraId="013F232E">
      <w:pPr>
        <w:rPr>
          <w:rFonts w:hint="eastAsia" w:hAnsi="宋体" w:cs="宋体"/>
          <w:highlight w:val="none"/>
        </w:rPr>
      </w:pPr>
      <w:r>
        <w:rPr>
          <w:rFonts w:hint="eastAsia" w:hAnsi="宋体" w:cs="宋体"/>
          <w:highlight w:val="none"/>
        </w:rPr>
        <w:t>组织联络科科长：叶建华</w:t>
      </w:r>
    </w:p>
    <w:p w14:paraId="3EDE45A6">
      <w:pPr>
        <w:rPr>
          <w:rFonts w:hint="eastAsia" w:hAnsi="宋体" w:cs="宋体"/>
          <w:highlight w:val="none"/>
        </w:rPr>
      </w:pPr>
      <w:r>
        <w:rPr>
          <w:rFonts w:hint="eastAsia" w:hAnsi="宋体" w:cs="宋体"/>
          <w:highlight w:val="none"/>
        </w:rPr>
        <w:t>副科长：黄云鹤</w:t>
      </w:r>
    </w:p>
    <w:p w14:paraId="357BA879">
      <w:pPr>
        <w:rPr>
          <w:rFonts w:hint="eastAsia" w:hAnsi="宋体" w:cs="宋体"/>
          <w:highlight w:val="none"/>
        </w:rPr>
      </w:pPr>
      <w:r>
        <w:rPr>
          <w:rFonts w:hint="eastAsia" w:hAnsi="宋体" w:cs="宋体"/>
          <w:highlight w:val="none"/>
        </w:rPr>
        <w:t>工会主席：李赞香</w:t>
      </w:r>
    </w:p>
    <w:p w14:paraId="2FA0BD0D">
      <w:pPr>
        <w:pStyle w:val="2"/>
        <w:bidi w:val="0"/>
        <w:rPr>
          <w:rFonts w:hint="eastAsia"/>
          <w:highlight w:val="none"/>
        </w:rPr>
      </w:pPr>
      <w:r>
        <w:rPr>
          <w:highlight w:val="none"/>
        </w:rPr>
        <w:br w:type="page"/>
      </w:r>
      <w:r>
        <w:rPr>
          <w:rFonts w:hint="eastAsia"/>
          <w:highlight w:val="none"/>
        </w:rPr>
        <w:t>中共南雄市纪律检查委员会</w:t>
      </w:r>
    </w:p>
    <w:p w14:paraId="5731991B">
      <w:pPr>
        <w:pStyle w:val="3"/>
        <w:bidi w:val="0"/>
        <w:rPr>
          <w:rFonts w:hint="eastAsia"/>
          <w:highlight w:val="none"/>
        </w:rPr>
      </w:pPr>
      <w:r>
        <w:rPr>
          <w:rFonts w:hint="eastAsia"/>
          <w:highlight w:val="none"/>
        </w:rPr>
        <w:t>综述</w:t>
      </w:r>
    </w:p>
    <w:p w14:paraId="016DC121">
      <w:pPr>
        <w:pStyle w:val="4"/>
        <w:bidi w:val="0"/>
        <w:rPr>
          <w:rFonts w:hint="eastAsia"/>
          <w:highlight w:val="none"/>
        </w:rPr>
      </w:pPr>
      <w:r>
        <w:rPr>
          <w:rFonts w:hint="eastAsia"/>
          <w:highlight w:val="none"/>
        </w:rPr>
        <w:t>【概况】</w:t>
      </w:r>
    </w:p>
    <w:p w14:paraId="4A662CDD">
      <w:pPr>
        <w:rPr>
          <w:rFonts w:hint="eastAsia" w:hAnsi="宋体" w:cs="宋体"/>
          <w:highlight w:val="none"/>
        </w:rPr>
      </w:pPr>
      <w:r>
        <w:rPr>
          <w:rFonts w:hint="eastAsia" w:hAnsi="宋体" w:cs="宋体"/>
          <w:highlight w:val="none"/>
        </w:rPr>
        <w:t>中国共产党南雄市纪律检查委员会行政编制30名</w:t>
      </w:r>
      <w:r>
        <w:rPr>
          <w:rFonts w:hint="eastAsia" w:hAnsi="宋体" w:cs="宋体"/>
          <w:highlight w:val="none"/>
          <w:lang w:eastAsia="zh-CN"/>
        </w:rPr>
        <w:t>，</w:t>
      </w:r>
      <w:r>
        <w:rPr>
          <w:rFonts w:hint="eastAsia" w:hAnsi="宋体" w:cs="宋体"/>
          <w:highlight w:val="none"/>
        </w:rPr>
        <w:t>在编行政人员22名；后勤服务核定数3名（其中在职后勤服务人员1名，自聘后勤服务人员2名）。内设办公室、干部管理监督室、宣教调研室、党风政风监督室、信访室、案件监督管理室、第一纪检监察室、第二纪检监察室、第三纪检监察室和案件审理室等10个室。2015年，全市纪检监察机关聚焦中心任务，强化监督执纪问责，持之以恒改进作风，坚定不移惩治腐败，为南雄经济社会加快发展提供坚强保障。</w:t>
      </w:r>
    </w:p>
    <w:p w14:paraId="6B49B8A2">
      <w:pPr>
        <w:pStyle w:val="3"/>
        <w:bidi w:val="0"/>
        <w:rPr>
          <w:rFonts w:hint="eastAsia"/>
          <w:highlight w:val="none"/>
        </w:rPr>
      </w:pPr>
      <w:r>
        <w:rPr>
          <w:rFonts w:hint="eastAsia"/>
          <w:highlight w:val="none"/>
        </w:rPr>
        <w:t>重要会议和活动</w:t>
      </w:r>
    </w:p>
    <w:p w14:paraId="6F75AE88">
      <w:pPr>
        <w:pStyle w:val="4"/>
        <w:bidi w:val="0"/>
        <w:rPr>
          <w:rFonts w:hint="eastAsia"/>
          <w:highlight w:val="none"/>
        </w:rPr>
      </w:pPr>
      <w:r>
        <w:rPr>
          <w:rFonts w:hint="eastAsia"/>
          <w:highlight w:val="none"/>
        </w:rPr>
        <w:t>【纪检监察务虚会议】</w:t>
      </w:r>
    </w:p>
    <w:p w14:paraId="660F718C">
      <w:pPr>
        <w:rPr>
          <w:rFonts w:hint="eastAsia" w:hAnsi="宋体" w:cs="宋体"/>
          <w:highlight w:val="none"/>
          <w:vertAlign w:val="baseline"/>
        </w:rPr>
      </w:pPr>
      <w:r>
        <w:rPr>
          <w:rFonts w:hint="eastAsia" w:hAnsi="宋体" w:cs="宋体"/>
          <w:highlight w:val="none"/>
        </w:rPr>
        <w:t>1月15日下午，南雄市纪委监察局召开纪检监察工作务虚会议。市纪委室主任以上领导干部、各中心纪检监察组组长参加会议。会上，各中心纪检监察组组长、市纪委监察局副局长以上领导分别发言，对如何落实“三转”和“两个责任”，突出主责主业，强化监督执纪问责，安全高效办案，提高队伍自身素质等方面阐述各自的见解和建议，结合工作实际对如何开展好2015年纪检监察工作提出各自思路。</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6954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1C6C917">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60905"/>
                  <wp:effectExtent l="0" t="0" r="8890" b="10795"/>
                  <wp:docPr id="51" name="图片 199" descr="2月9日上午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9" descr="2月9日上午南"/>
                          <pic:cNvPicPr>
                            <a:picLocks noChangeAspect="1"/>
                          </pic:cNvPicPr>
                        </pic:nvPicPr>
                        <pic:blipFill>
                          <a:blip r:embed="rId56"/>
                          <a:stretch>
                            <a:fillRect/>
                          </a:stretch>
                        </pic:blipFill>
                        <pic:spPr>
                          <a:xfrm>
                            <a:off x="0" y="0"/>
                            <a:ext cx="3420110" cy="2160905"/>
                          </a:xfrm>
                          <a:prstGeom prst="rect">
                            <a:avLst/>
                          </a:prstGeom>
                          <a:noFill/>
                          <a:ln>
                            <a:noFill/>
                          </a:ln>
                        </pic:spPr>
                      </pic:pic>
                    </a:graphicData>
                  </a:graphic>
                </wp:inline>
              </w:drawing>
            </w:r>
          </w:p>
        </w:tc>
      </w:tr>
      <w:tr w14:paraId="3AE1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E7C5F24">
            <w:pPr>
              <w:jc w:val="center"/>
              <w:rPr>
                <w:rFonts w:hint="eastAsia" w:hAnsi="宋体" w:cs="宋体"/>
                <w:highlight w:val="none"/>
                <w:vertAlign w:val="baseline"/>
              </w:rPr>
            </w:pPr>
            <w:r>
              <w:rPr>
                <w:rFonts w:hint="eastAsia" w:hAnsi="宋体" w:cs="宋体"/>
                <w:highlight w:val="none"/>
                <w:vertAlign w:val="baseline"/>
              </w:rPr>
              <w:t>2月9日，召开南雄市领导干部任前廉政谈话会（李思番摄）</w:t>
            </w:r>
          </w:p>
        </w:tc>
      </w:tr>
    </w:tbl>
    <w:p w14:paraId="68335F86">
      <w:pPr>
        <w:pStyle w:val="4"/>
        <w:bidi w:val="0"/>
        <w:rPr>
          <w:rFonts w:hint="eastAsia"/>
          <w:highlight w:val="none"/>
        </w:rPr>
      </w:pPr>
      <w:r>
        <w:rPr>
          <w:rFonts w:hint="eastAsia"/>
          <w:highlight w:val="none"/>
        </w:rPr>
        <w:t>【挂点贫困村慰问活动】</w:t>
      </w:r>
    </w:p>
    <w:p w14:paraId="62E6F1F1">
      <w:pPr>
        <w:rPr>
          <w:rFonts w:hint="eastAsia" w:hAnsi="宋体" w:cs="宋体"/>
          <w:highlight w:val="none"/>
        </w:rPr>
      </w:pPr>
      <w:r>
        <w:rPr>
          <w:rFonts w:hint="eastAsia" w:hAnsi="宋体" w:cs="宋体"/>
          <w:highlight w:val="none"/>
        </w:rPr>
        <w:t>2月2日上午，市委常委、市纪委书记谢志铎率队到古市镇柴岭村开展春节前送温暖慰问活动。市纪委副书记、监察局局长何文忠、市纪委常委王长连、市纪委监察局工会主席邓春英、古市镇镇长朱世平等陪同参加活动。</w:t>
      </w:r>
    </w:p>
    <w:p w14:paraId="5D2E0EC0">
      <w:pPr>
        <w:pStyle w:val="4"/>
        <w:bidi w:val="0"/>
        <w:rPr>
          <w:rFonts w:hint="eastAsia"/>
          <w:highlight w:val="none"/>
        </w:rPr>
      </w:pPr>
      <w:r>
        <w:rPr>
          <w:rFonts w:hint="eastAsia"/>
          <w:highlight w:val="none"/>
        </w:rPr>
        <w:t>【领导干部任前廉政谈话】</w:t>
      </w:r>
    </w:p>
    <w:p w14:paraId="3AEC0174">
      <w:pPr>
        <w:rPr>
          <w:rFonts w:hint="eastAsia" w:hAnsi="宋体" w:cs="宋体"/>
          <w:highlight w:val="none"/>
          <w:vertAlign w:val="baseline"/>
        </w:rPr>
      </w:pPr>
      <w:r>
        <w:rPr>
          <w:rFonts w:hint="eastAsia" w:hAnsi="宋体" w:cs="宋体"/>
          <w:highlight w:val="none"/>
        </w:rPr>
        <w:t>2月9日上午，召开南雄市领导干部任前廉政谈话会。谈话会由市委常委、组织部长叶济熊主持。市委书记曾风保与32位拟提拔、交流领导干部谈心谈话。市委常委、纪委书记谢志铎对拟提拔、交流领导干部提出要求。</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AABF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41AA3A8">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25040"/>
                  <wp:effectExtent l="0" t="0" r="8890" b="3810"/>
                  <wp:docPr id="52" name="图片 200" descr="2月9日南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0" descr="2月9日南雄"/>
                          <pic:cNvPicPr>
                            <a:picLocks noChangeAspect="1"/>
                          </pic:cNvPicPr>
                        </pic:nvPicPr>
                        <pic:blipFill>
                          <a:blip r:embed="rId57"/>
                          <a:stretch>
                            <a:fillRect/>
                          </a:stretch>
                        </pic:blipFill>
                        <pic:spPr>
                          <a:xfrm>
                            <a:off x="0" y="0"/>
                            <a:ext cx="3420110" cy="2225040"/>
                          </a:xfrm>
                          <a:prstGeom prst="rect">
                            <a:avLst/>
                          </a:prstGeom>
                          <a:noFill/>
                          <a:ln>
                            <a:noFill/>
                          </a:ln>
                        </pic:spPr>
                      </pic:pic>
                    </a:graphicData>
                  </a:graphic>
                </wp:inline>
              </w:drawing>
            </w:r>
          </w:p>
        </w:tc>
      </w:tr>
      <w:tr w14:paraId="74BCF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51FA065">
            <w:pPr>
              <w:jc w:val="center"/>
              <w:rPr>
                <w:rFonts w:hint="eastAsia" w:hAnsi="宋体" w:cs="宋体"/>
                <w:highlight w:val="none"/>
                <w:vertAlign w:val="baseline"/>
              </w:rPr>
            </w:pPr>
            <w:r>
              <w:rPr>
                <w:rFonts w:hint="eastAsia" w:hAnsi="宋体" w:cs="宋体"/>
                <w:highlight w:val="none"/>
                <w:vertAlign w:val="baseline"/>
              </w:rPr>
              <w:t>2月9日，召开十二届南雄市纪委第五次全体会议</w:t>
            </w:r>
          </w:p>
          <w:p w14:paraId="5B95DC5E">
            <w:pPr>
              <w:jc w:val="center"/>
              <w:rPr>
                <w:rFonts w:hint="eastAsia" w:hAnsi="宋体" w:cs="宋体"/>
                <w:highlight w:val="none"/>
                <w:vertAlign w:val="baseline"/>
              </w:rPr>
            </w:pPr>
            <w:r>
              <w:rPr>
                <w:rFonts w:hint="eastAsia" w:hAnsi="宋体" w:cs="宋体"/>
                <w:highlight w:val="none"/>
                <w:vertAlign w:val="baseline"/>
              </w:rPr>
              <w:t>（李思番摄）</w:t>
            </w:r>
          </w:p>
        </w:tc>
      </w:tr>
    </w:tbl>
    <w:p w14:paraId="26065222">
      <w:pPr>
        <w:pStyle w:val="4"/>
        <w:bidi w:val="0"/>
        <w:rPr>
          <w:rFonts w:hint="eastAsia"/>
          <w:highlight w:val="none"/>
        </w:rPr>
      </w:pPr>
      <w:r>
        <w:rPr>
          <w:rFonts w:hint="eastAsia"/>
          <w:highlight w:val="none"/>
        </w:rPr>
        <w:t>【南雄市纪委十二届五次全会】</w:t>
      </w:r>
    </w:p>
    <w:p w14:paraId="6A56C534">
      <w:pPr>
        <w:rPr>
          <w:rFonts w:hint="eastAsia" w:hAnsi="宋体" w:cs="宋体"/>
          <w:highlight w:val="none"/>
        </w:rPr>
      </w:pPr>
      <w:r>
        <w:rPr>
          <w:rFonts w:hint="eastAsia" w:hAnsi="宋体" w:cs="宋体"/>
          <w:highlight w:val="none"/>
        </w:rPr>
        <w:t>2月9日，中共南雄市第十二届纪律检查委员会第五次全体会议在南雄大会堂举行。会议主要总结全市2014年党风廉政建设和反腐败工作，研究部署2015年工作任务。市四套班子成员、法检“两长”、市纪委委员，各镇（街道）党（工）委书记和镇长（主任）、党（工）委副书记，纪（工）委书记、组织委员、宣传委员，中心纪检组组长、副组长，市直副科以上（含垂直管理）单位正股级以上干部，市纪委机关室主任以上干部1000多人参加会议。会议由市委常委、市纪委书记谢志铎主持。会议审议通过《中共南雄市第十二届纪律检查委员会第五次全体会议决议》和市委常委、纪委书记谢志铎代表市纪委常委会所作的工作报告。市委书记、市人大常委会主任曾风保出席会议并作重要讲话。市委副书记、市长王碧安在会上传达中央、省、韶关市纪委全会精神。会上，农业局、国土局、经信局、机关事务局、广播电视台、市一中、珠玑镇、乌迳镇、界址镇等9个单位党政“一把手”在现场作述责述廉述德报告，其他20个单位作书面“三述”。报告后，市纪委委员、“阳光使者”以及“特邀监察员”对29个单位“一把手”进行评议和测评。</w:t>
      </w:r>
    </w:p>
    <w:p w14:paraId="08F03090">
      <w:pPr>
        <w:pStyle w:val="4"/>
        <w:bidi w:val="0"/>
        <w:rPr>
          <w:rFonts w:hint="eastAsia"/>
          <w:highlight w:val="none"/>
        </w:rPr>
      </w:pPr>
      <w:r>
        <w:rPr>
          <w:rFonts w:hint="eastAsia"/>
          <w:highlight w:val="none"/>
        </w:rPr>
        <w:t>【韶关纪委到南雄开展“两个责任”调研】</w:t>
      </w:r>
    </w:p>
    <w:p w14:paraId="24269A0C">
      <w:pPr>
        <w:rPr>
          <w:rFonts w:hint="eastAsia" w:hAnsi="宋体" w:cs="宋体"/>
          <w:highlight w:val="none"/>
        </w:rPr>
      </w:pPr>
      <w:r>
        <w:rPr>
          <w:rFonts w:hint="eastAsia" w:hAnsi="宋体" w:cs="宋体"/>
          <w:highlight w:val="none"/>
        </w:rPr>
        <w:t>4月13日，韶关市纪委监察局副局长陈忠旭带队到南雄开展落实党风廉政建设“两个责任”调研。调研组了解南雄落实党风廉政建设第一责任人、干部选拔任用、整治不正之风、源头治腐、反腐败工作领导等主体责任情况，详细询问落实整治“四风”、督促惩治和预防腐败、健全暗访问责机制、坚决查处违纪违法案件、推进“三转”和纪委规范化建设等监督责任的情况。同时，调研组还与市纪委监察局相关领导、党风政风监督室主任、部分镇纪委书记和派驻纪检组组长座谈，就当前落实“两个责任”存在主要问题和措施方法进行深入交流。</w:t>
      </w:r>
    </w:p>
    <w:p w14:paraId="575285BA">
      <w:pPr>
        <w:pStyle w:val="4"/>
        <w:bidi w:val="0"/>
        <w:rPr>
          <w:rFonts w:hint="eastAsia"/>
          <w:highlight w:val="none"/>
        </w:rPr>
      </w:pPr>
      <w:r>
        <w:rPr>
          <w:rFonts w:hint="eastAsia"/>
          <w:highlight w:val="none"/>
        </w:rPr>
        <w:t>【韶关市纪委领导到南雄市督导工作】</w:t>
      </w:r>
    </w:p>
    <w:p w14:paraId="477F3EB9">
      <w:pPr>
        <w:rPr>
          <w:rFonts w:hint="eastAsia" w:hAnsi="宋体" w:cs="宋体"/>
          <w:highlight w:val="none"/>
        </w:rPr>
      </w:pPr>
      <w:r>
        <w:rPr>
          <w:rFonts w:hint="eastAsia" w:hAnsi="宋体" w:cs="宋体"/>
          <w:highlight w:val="none"/>
        </w:rPr>
        <w:t>8月3日，韶关市纪委副书记于莉莉一行就农村基层党员、干部违法违纪线索集中排查工作到南雄市进行督导。南雄市委书记、市人大常委会主任曾风保，南雄市委委员、市纪委书记谢志铎，南雄市委常委、市委办主任黄德群等领导陪同。于莉莉一行查阅南雄市开展农村基层党员、</w:t>
      </w:r>
    </w:p>
    <w:p w14:paraId="1B225ACF">
      <w:pPr>
        <w:rPr>
          <w:rFonts w:hint="eastAsia" w:hAnsi="宋体" w:cs="宋体"/>
          <w:highlight w:val="none"/>
        </w:rPr>
      </w:pPr>
      <w:r>
        <w:rPr>
          <w:rFonts w:hint="eastAsia" w:hAnsi="宋体" w:cs="宋体"/>
          <w:highlight w:val="none"/>
        </w:rPr>
        <w:t>干部违纪违法线索排查活动台账材料和重点村、重点问题案卷材料，并召开线索排查汇报会。会上，市委书记、市人大常委会主任曾风保对该市纪委协助党委落实党风廉政建设责任制给予充分肯定，并表示将主动履行主体责任，深入开展线索集中排查活动</w:t>
      </w:r>
      <w:r>
        <w:rPr>
          <w:rFonts w:hint="eastAsia" w:hAnsi="宋体" w:cs="宋体"/>
          <w:highlight w:val="none"/>
          <w:lang w:eastAsia="zh-CN"/>
        </w:rPr>
        <w:t>，</w:t>
      </w:r>
      <w:r>
        <w:rPr>
          <w:rFonts w:hint="eastAsia" w:hAnsi="宋体" w:cs="宋体"/>
          <w:highlight w:val="none"/>
        </w:rPr>
        <w:t>切实维护农村基层稳定，强化农村基层治理。市委常委、市纪委书记谢志铎从加强组织领导、落实分片包案、健全排查网络、坚持边摸边排、强化沟通协作、坚持以案治本及下一步工作安排等7个方面向督导组汇报南雄市开展农村基层党员、干部违纪违法线索集中排查活动的情况。</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0ADC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A0855E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16150"/>
                  <wp:effectExtent l="0" t="0" r="8890" b="12700"/>
                  <wp:docPr id="53" name="图片 202" descr="8月3日韶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2" descr="8月3日韶关"/>
                          <pic:cNvPicPr>
                            <a:picLocks noChangeAspect="1"/>
                          </pic:cNvPicPr>
                        </pic:nvPicPr>
                        <pic:blipFill>
                          <a:blip r:embed="rId58"/>
                          <a:stretch>
                            <a:fillRect/>
                          </a:stretch>
                        </pic:blipFill>
                        <pic:spPr>
                          <a:xfrm>
                            <a:off x="0" y="0"/>
                            <a:ext cx="3420110" cy="2216150"/>
                          </a:xfrm>
                          <a:prstGeom prst="rect">
                            <a:avLst/>
                          </a:prstGeom>
                          <a:noFill/>
                          <a:ln>
                            <a:noFill/>
                          </a:ln>
                        </pic:spPr>
                      </pic:pic>
                    </a:graphicData>
                  </a:graphic>
                </wp:inline>
              </w:drawing>
            </w:r>
          </w:p>
        </w:tc>
      </w:tr>
      <w:tr w14:paraId="12BDB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18A3135">
            <w:pPr>
              <w:jc w:val="center"/>
              <w:rPr>
                <w:rFonts w:hint="eastAsia" w:hAnsi="宋体" w:cs="宋体"/>
                <w:highlight w:val="none"/>
                <w:vertAlign w:val="baseline"/>
              </w:rPr>
            </w:pPr>
            <w:r>
              <w:rPr>
                <w:rFonts w:hint="eastAsia" w:hAnsi="宋体" w:cs="宋体"/>
                <w:highlight w:val="none"/>
                <w:vertAlign w:val="baseline"/>
              </w:rPr>
              <w:t>8月3日，韶关市纪委副书记于莉莉到南雄市督导农村基层党员、干部违纪违法线索集中排查活动（李思番摄）</w:t>
            </w:r>
          </w:p>
        </w:tc>
      </w:tr>
      <w:tr w14:paraId="4533F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1966F26">
            <w:pPr>
              <w:jc w:val="center"/>
              <w:rPr>
                <w:rFonts w:hint="eastAsia" w:hAnsi="宋体" w:cs="宋体"/>
                <w:highlight w:val="none"/>
                <w:vertAlign w:val="baseline"/>
              </w:rPr>
            </w:pPr>
            <w:r>
              <w:rPr>
                <w:rFonts w:hAnsi="宋体" w:cs="宋体"/>
                <w:highlight w:val="none"/>
              </w:rPr>
              <w:drawing>
                <wp:inline distT="0" distB="0" distL="114300" distR="114300">
                  <wp:extent cx="3420110" cy="2069465"/>
                  <wp:effectExtent l="0" t="0" r="8890" b="6985"/>
                  <wp:docPr id="54" name="图片 204" descr="8月5日南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4" descr="8月5日南雄"/>
                          <pic:cNvPicPr>
                            <a:picLocks noChangeAspect="1"/>
                          </pic:cNvPicPr>
                        </pic:nvPicPr>
                        <pic:blipFill>
                          <a:blip r:embed="rId59"/>
                          <a:stretch>
                            <a:fillRect/>
                          </a:stretch>
                        </pic:blipFill>
                        <pic:spPr>
                          <a:xfrm>
                            <a:off x="0" y="0"/>
                            <a:ext cx="3420110" cy="2069465"/>
                          </a:xfrm>
                          <a:prstGeom prst="rect">
                            <a:avLst/>
                          </a:prstGeom>
                          <a:noFill/>
                          <a:ln>
                            <a:noFill/>
                          </a:ln>
                        </pic:spPr>
                      </pic:pic>
                    </a:graphicData>
                  </a:graphic>
                </wp:inline>
              </w:drawing>
            </w:r>
          </w:p>
        </w:tc>
      </w:tr>
      <w:tr w14:paraId="15FCA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DCF7673">
            <w:pPr>
              <w:jc w:val="center"/>
              <w:rPr>
                <w:rFonts w:hint="eastAsia" w:hAnsi="宋体" w:cs="宋体"/>
                <w:highlight w:val="none"/>
                <w:vertAlign w:val="baseline"/>
              </w:rPr>
            </w:pPr>
            <w:r>
              <w:rPr>
                <w:rFonts w:hint="eastAsia" w:hAnsi="宋体" w:cs="宋体"/>
                <w:highlight w:val="none"/>
                <w:vertAlign w:val="baseline"/>
              </w:rPr>
              <w:t>8月5日，召开南雄市纪律教育学习月活动动员大会（李思番摄）</w:t>
            </w:r>
          </w:p>
        </w:tc>
      </w:tr>
    </w:tbl>
    <w:p w14:paraId="1B320086">
      <w:pPr>
        <w:pStyle w:val="4"/>
        <w:bidi w:val="0"/>
        <w:rPr>
          <w:rFonts w:hint="eastAsia"/>
          <w:highlight w:val="none"/>
        </w:rPr>
      </w:pPr>
      <w:r>
        <w:rPr>
          <w:rFonts w:hint="eastAsia"/>
          <w:highlight w:val="none"/>
        </w:rPr>
        <w:t>【南雄市纪律教育学习月活动动员大会】</w:t>
      </w:r>
    </w:p>
    <w:p w14:paraId="4C45F60D">
      <w:pPr>
        <w:rPr>
          <w:rFonts w:hint="eastAsia" w:hAnsi="宋体" w:cs="宋体"/>
          <w:highlight w:val="none"/>
        </w:rPr>
      </w:pPr>
      <w:r>
        <w:rPr>
          <w:rFonts w:hint="eastAsia" w:hAnsi="宋体" w:cs="宋体"/>
          <w:highlight w:val="none"/>
        </w:rPr>
        <w:t>8月5日，南雄市召开2015年纪律教育学习月活动动员大会暨党员领导干部“三纪”教育培训班。市领导曾风保、王碧安、何万飞、丘德周等四套班子成员，市法检“两长”，市纪委副书记；各镇（街道）党（工）委书记、镇长（主任）、党（工）委副书记、纪（工）委书记、组织委员、宣传委员；市纪委机关全体人员；市直（含垂直管理）单位股级以上干部等1000多人参加会议。会议由市委常委、市纪委书记谢志铎主持。会上，市委书记、市人大常委会主任曾风保作动员讲话，市委副书记、市长王碧安作“三纪班”专题辅导报告，市委副书记丘德周作保密工作专题辅导。</w:t>
      </w:r>
    </w:p>
    <w:p w14:paraId="78BB81B6">
      <w:pPr>
        <w:pStyle w:val="4"/>
        <w:bidi w:val="0"/>
        <w:rPr>
          <w:rFonts w:hint="eastAsia"/>
          <w:highlight w:val="none"/>
        </w:rPr>
      </w:pPr>
      <w:r>
        <w:rPr>
          <w:rFonts w:hint="eastAsia"/>
          <w:highlight w:val="none"/>
        </w:rPr>
        <w:t>【学习贯彻《中国共产党廉洁自律准则》和《中国共产党纪律处分条例》报告会】</w:t>
      </w:r>
    </w:p>
    <w:p w14:paraId="532587D3">
      <w:pPr>
        <w:rPr>
          <w:rFonts w:hint="eastAsia" w:hAnsi="宋体" w:cs="宋体"/>
          <w:highlight w:val="none"/>
        </w:rPr>
      </w:pPr>
      <w:r>
        <w:rPr>
          <w:rFonts w:hint="eastAsia" w:hAnsi="宋体" w:cs="宋体"/>
          <w:highlight w:val="none"/>
        </w:rPr>
        <w:t>11月11日上午，广东省举办学习贯彻《中国共产党廉洁自律准则》和《中国共产党纪律处分条例》（以下简称《准则》和《条例》）专题辅导报告会。报告会邀请中央纪委副书记张军作专题辅导，省委书记胡春华主持报告会并作讲话，会议以电视电话会议形式召开。市四套班子领导、法检“两长”、纪委副书记、各镇（街道）党（工）委书记、市直正科以上（含垂直管理）单位主要负责同志在南雄市分会场收听收看会议。</w:t>
      </w:r>
    </w:p>
    <w:p w14:paraId="15773CDA">
      <w:pPr>
        <w:pStyle w:val="3"/>
        <w:bidi w:val="0"/>
        <w:rPr>
          <w:rFonts w:hint="eastAsia"/>
          <w:highlight w:val="none"/>
        </w:rPr>
      </w:pPr>
      <w:r>
        <w:rPr>
          <w:rFonts w:hint="eastAsia"/>
          <w:highlight w:val="none"/>
        </w:rPr>
        <w:t>主要工作</w:t>
      </w:r>
    </w:p>
    <w:p w14:paraId="506E4E9C">
      <w:pPr>
        <w:pStyle w:val="4"/>
        <w:bidi w:val="0"/>
        <w:rPr>
          <w:rFonts w:hint="eastAsia"/>
          <w:highlight w:val="none"/>
        </w:rPr>
      </w:pPr>
      <w:r>
        <w:rPr>
          <w:rFonts w:hint="eastAsia"/>
          <w:highlight w:val="none"/>
        </w:rPr>
        <w:t>【作风建设】</w:t>
      </w:r>
    </w:p>
    <w:p w14:paraId="58859DF7">
      <w:pPr>
        <w:rPr>
          <w:rFonts w:hint="eastAsia" w:hAnsi="宋体" w:cs="宋体"/>
          <w:highlight w:val="none"/>
        </w:rPr>
      </w:pPr>
      <w:r>
        <w:rPr>
          <w:rFonts w:hint="eastAsia" w:hAnsi="宋体" w:cs="宋体"/>
          <w:highlight w:val="none"/>
        </w:rPr>
        <w:t>通过建立健全暗访、曝光、问责、查处“四管齐下”的监督机制，深入推进作风建设。规范机关内部食堂管理，严格实行公务接待公函制度，规范全市619辆公务用车标识管理和停放，规范党员干部操办“升学宴”。严格贯彻落实</w:t>
      </w:r>
      <w:r>
        <w:rPr>
          <w:rFonts w:hint="eastAsia" w:cs="宋体"/>
          <w:highlight w:val="none"/>
          <w:lang w:val="en-US" w:eastAsia="zh-CN"/>
        </w:rPr>
        <w:t>中央</w:t>
      </w:r>
      <w:r>
        <w:rPr>
          <w:rFonts w:hint="eastAsia" w:hAnsi="宋体" w:cs="宋体"/>
          <w:highlight w:val="none"/>
        </w:rPr>
        <w:t>八项规定，2015年共受理群众反映涉及违反中央八项规定精神、作风建设及不作为等方面问题的信访件和行政效能投诉件26件，查结26件，查结率100%。严肃查处违反中央八项规定精神的问题4个，处理5人，其中给予党纪政纪处分3人。加大专项督查力度，联合相关职能部门，针对本市重点项目、违章建筑、超标办公用房清理整治等重点工作开展专项监督检查19次，及时纠正相关单位和部门在行政管理中存在的不作为、慢作为、乱作为行为。加大明察暗访力度</w:t>
      </w:r>
      <w:r>
        <w:rPr>
          <w:rFonts w:hint="eastAsia" w:hAnsi="宋体" w:cs="宋体"/>
          <w:highlight w:val="none"/>
          <w:lang w:eastAsia="zh-CN"/>
        </w:rPr>
        <w:t>，</w:t>
      </w:r>
      <w:r>
        <w:rPr>
          <w:rFonts w:hint="eastAsia" w:hAnsi="宋体" w:cs="宋体"/>
          <w:highlight w:val="none"/>
        </w:rPr>
        <w:t>抓住春节、国庆等重要节点和公车私用、大吃大喝、值班情况、工作纪律等重点问题，进行明察暗访18次，对暗访中发现问题48位相关责任人进行相应处理。加大责任追究力度，对落实安全生产监管不力1名责任领导给予党内警告处分，对“两违”工作落实不力2名领导干部和市公车管理不规范1名领导干部进行问责，并针对存在问题，督促相关单位整改落实；对20名存在工作作风方面问题的党员干部进行廉政谈话提醒。坚决维护群众合法权益，拓宽网络问政和群众网上投诉受理渠道，督促相关职能部门及时处理和答复群众的咨询、投诉件，2015年行政电子监察系统等网站受理群众咨询投诉建议2</w:t>
      </w:r>
      <w:r>
        <w:rPr>
          <w:rFonts w:hint="eastAsia" w:ascii="MingLiU_HKSCS" w:hAnsi="MingLiU_HKSCS" w:eastAsia="MingLiU_HKSCS" w:cs="MingLiU_HKSCS"/>
          <w:highlight w:val="none"/>
        </w:rPr>
        <w:t>.</w:t>
      </w:r>
      <w:r>
        <w:rPr>
          <w:rFonts w:hint="eastAsia" w:hAnsi="宋体" w:cs="宋体"/>
          <w:highlight w:val="none"/>
        </w:rPr>
        <w:t>56万条，已处理2</w:t>
      </w:r>
      <w:r>
        <w:rPr>
          <w:rFonts w:hint="eastAsia" w:ascii="MingLiU_HKSCS" w:hAnsi="MingLiU_HKSCS" w:eastAsia="MingLiU_HKSCS" w:cs="MingLiU_HKSCS"/>
          <w:highlight w:val="none"/>
        </w:rPr>
        <w:t>.</w:t>
      </w:r>
      <w:r>
        <w:rPr>
          <w:rFonts w:hint="eastAsia" w:hAnsi="宋体" w:cs="宋体"/>
          <w:highlight w:val="none"/>
        </w:rPr>
        <w:t>55万条，回复率99%，及时处理和解决一批关系民生和群众关注的突出问题。加强党风廉政信息公开平台建设，督促各镇（街道）和市直相关职能部门2015年发布党务、政务、财务信息4</w:t>
      </w:r>
      <w:r>
        <w:rPr>
          <w:rFonts w:hint="eastAsia" w:ascii="MingLiU_HKSCS" w:hAnsi="MingLiU_HKSCS" w:eastAsia="MingLiU_HKSCS" w:cs="MingLiU_HKSCS"/>
          <w:highlight w:val="none"/>
        </w:rPr>
        <w:t>.</w:t>
      </w:r>
      <w:r>
        <w:rPr>
          <w:rFonts w:hint="eastAsia" w:hAnsi="宋体" w:cs="宋体"/>
          <w:highlight w:val="none"/>
        </w:rPr>
        <w:t>66万笔，信息数据发布率100%，确保群众的知情权和监督权。</w:t>
      </w:r>
    </w:p>
    <w:p w14:paraId="1D9A791E">
      <w:pPr>
        <w:pStyle w:val="4"/>
        <w:bidi w:val="0"/>
        <w:rPr>
          <w:rFonts w:hint="eastAsia"/>
          <w:highlight w:val="none"/>
        </w:rPr>
      </w:pPr>
      <w:r>
        <w:rPr>
          <w:rFonts w:hint="eastAsia"/>
          <w:highlight w:val="none"/>
        </w:rPr>
        <w:t>【案件查处】</w:t>
      </w:r>
    </w:p>
    <w:p w14:paraId="75D5324D">
      <w:pPr>
        <w:rPr>
          <w:rFonts w:hint="eastAsia" w:hAnsi="宋体" w:cs="宋体"/>
          <w:highlight w:val="none"/>
        </w:rPr>
      </w:pPr>
      <w:r>
        <w:rPr>
          <w:rFonts w:hint="eastAsia" w:hAnsi="宋体" w:cs="宋体"/>
          <w:highlight w:val="none"/>
        </w:rPr>
        <w:t>加大执纪审查力度，强化以案治本，重点查处十八大后不收敛不收手、问题严重、群众反映强烈，现在重要岗位且可能还要提拔使用的党员领导干部。2015年，全市纪检监察机关受理群众信访举报203件（次），立案查处违纪违法案件83件，处理党员干部83人，涉及副科以上党员领导干部15人。重点查处市卫计局原局长刘光新、澜河镇原党委书记李帆、市农业局原党组书记范桂全等一批大案要案和坪田镇长坑村原党支部书记温茂强、水口镇泷头村委委员陈水生等一批损害群众利益案件。全市18个镇（街道）纪（工）委连续9年实现100%有自办案件。通过办案，挽回经济损失480多万元。同时</w:t>
      </w:r>
      <w:r>
        <w:rPr>
          <w:rFonts w:hint="eastAsia" w:hAnsi="宋体" w:cs="宋体"/>
          <w:highlight w:val="none"/>
          <w:lang w:eastAsia="zh-CN"/>
        </w:rPr>
        <w:t>，</w:t>
      </w:r>
      <w:r>
        <w:rPr>
          <w:rFonts w:hint="eastAsia" w:hAnsi="宋体" w:cs="宋体"/>
          <w:highlight w:val="none"/>
        </w:rPr>
        <w:t>对有轻微违纪违法的党员干部进行诫勉谈话教育。2015年对违规单位责成建章立制、限期整改。贯彻落实“两个尊重”“三个区分”原则，既严肃处理违纪行为，又澄清问题、保护干部。2015年，全市纪检监察机关为45名受到错告、诬告的党员、干部澄清问题。坚持依纪依法安全文明办案，加强办案规范化管理。市纪委监察局投入近40万元，改建3间功能齐全的谈话室</w:t>
      </w:r>
      <w:r>
        <w:rPr>
          <w:rFonts w:hint="eastAsia" w:hAnsi="宋体" w:cs="宋体"/>
          <w:highlight w:val="none"/>
          <w:lang w:eastAsia="zh-CN"/>
        </w:rPr>
        <w:t>，</w:t>
      </w:r>
      <w:r>
        <w:rPr>
          <w:rFonts w:hint="eastAsia" w:hAnsi="宋体" w:cs="宋体"/>
          <w:highlight w:val="none"/>
        </w:rPr>
        <w:t>改善办案条件和办案环境。同时，组建一支相对稳定办案、陪护队伍，每周组织办案人员开展集中学习，提高办案人员业务技能和办案技巧。推进镇街纪律审查谈话场所规范化建设工作，确保依纪依法安全文明开展纪律审查工作。改革和完善反腐败协调小组职能，健全完善案件线索移送办理和联合办案机制，密切纪检监察与司法、执法机关的办案协作配合，增强办案合力，提高惩腐工作效率。规范办案程序，严格落实办案各项管理制度，强化案件监督和案件审理工作。强化基层案件线索排查处置，拓宽线索反映渠道，加大线索排查力度，强化线索处置方式，解决一批损害基层群众的问题，维护农村基层稳定。2015年，排查农村基层党员、干部违纪违法案件线索203条，了结194条。加大基层办案力度，实行办案“一票否决”制，解决基层“不想办案”问题；实行派驻中心纪检监察组协作办案和交叉办案，切实解决基层“不敢办案”问题；加强业务培训，切实解决基层“不会办案”问题。</w:t>
      </w:r>
    </w:p>
    <w:p w14:paraId="745B534E">
      <w:pPr>
        <w:pStyle w:val="4"/>
        <w:bidi w:val="0"/>
        <w:rPr>
          <w:rFonts w:hint="eastAsia"/>
          <w:highlight w:val="none"/>
        </w:rPr>
      </w:pPr>
      <w:r>
        <w:rPr>
          <w:rFonts w:hint="eastAsia"/>
          <w:highlight w:val="none"/>
        </w:rPr>
        <w:t>【教育监督】</w:t>
      </w:r>
    </w:p>
    <w:p w14:paraId="5A591099">
      <w:pPr>
        <w:rPr>
          <w:rFonts w:hint="eastAsia" w:hAnsi="宋体" w:cs="宋体"/>
          <w:highlight w:val="none"/>
        </w:rPr>
      </w:pPr>
      <w:r>
        <w:rPr>
          <w:rFonts w:hint="eastAsia" w:hAnsi="宋体" w:cs="宋体"/>
          <w:highlight w:val="none"/>
        </w:rPr>
        <w:t>把党风廉政建设宣传教育摆在党的宣传教育格局中共同部署和推进。在坚持抓好常规教育的同时，创新廉政教育方式，打造“一街、一报、一路、一车、一牌、一本、一基地、一桌面、一公园、一广告”等“十个一”全方位、立体式的廉政教育平台。扎实开展警示教育，组织全市四套班子领导前往广东省反腐倡廉教育基地接受廉政警示教育，组织全市四套班子领导、各镇（街道）各单位“一把手”及其配偶到南雄人民法院旁听案件庭审，自觉强化廉洁自律意识。发挥廉政教育基地作用，更新职务犯罪警示案例32个，组织全市股级以上党员干部、各镇村党支部书记52批2300余人前往接受教育，以“身边案”教育“身边人”。深入开展纪律教育，以全市各中心纪检组为单位，集中组织基层2700余名党员干部学习两项法规专题辅导报告，强化全市党员干部纪律意识。结合南雄市“三严三实”专题教育活动，开展以“守纪律、讲规矩、作表率”为主题的纪律教育学习月活动，组织党员干部参加全省统一开展的党章知识测试活动，举办领导干部“三纪”教育培训班和全市党纪政纪法纪知识竞赛，强化组织纪律观念。在广东省首届“廉洁火炬杯”党规党纪知识竞赛总决赛中，南雄市代表韶关队勇夺总分第二名的好成绩。坚持开展任前廉政谈话和廉政法规考试，2015年举办培训考试3期，59名党员领导干部通过考试“上岗”，严把廉政关口，以考促廉。拓宽廉政宣传阵地，报送纪检监察信息和新闻报道，纪检监察信息和宣传报道工作继续保持韶关前列。定期发送“廉政手机报”，开通“廉洁南雄”微信平台，印刷新版“廉政笔记本”，将廉政文化融入到党员干部日常工作生活中。在雄州公园植入具有南雄本土特色廉政文化元素，打造“廉政主题公园”，提升城市廉政文化品位。引导各镇（街道）整合本地具有乡土特色历史文化资源，强化传统廉文化挖掘整理。举办勤廉书法作品展，营造清廉文化氛围。在主田镇窑合村试点创建村级廉政教育室，使廉政教育范围辐射到村一级。</w:t>
      </w:r>
    </w:p>
    <w:p w14:paraId="0B4AC493">
      <w:pPr>
        <w:pStyle w:val="4"/>
        <w:bidi w:val="0"/>
        <w:rPr>
          <w:rFonts w:hint="eastAsia"/>
          <w:highlight w:val="none"/>
        </w:rPr>
      </w:pPr>
      <w:r>
        <w:rPr>
          <w:rFonts w:hint="eastAsia"/>
          <w:highlight w:val="none"/>
        </w:rPr>
        <w:t>【自身建设】</w:t>
      </w:r>
    </w:p>
    <w:p w14:paraId="1758A011">
      <w:pPr>
        <w:rPr>
          <w:rFonts w:hint="eastAsia" w:hAnsi="宋体" w:cs="宋体"/>
          <w:highlight w:val="none"/>
        </w:rPr>
      </w:pPr>
      <w:r>
        <w:rPr>
          <w:rFonts w:hint="eastAsia" w:hAnsi="宋体" w:cs="宋体"/>
          <w:highlight w:val="none"/>
        </w:rPr>
        <w:t>选优配强纪检监察干部，建立健全干部选拔配备制度，严格按照程序和干部任用标准选调纪检干部，2015年委局公开选调4名工作人员，交流和提拔干部纪检干部6名。加强纪检监察干部教育培训，2015年选送72名纪检监察干部到上级纪委参加培训，提高干部队伍综合素质。全面深化镇街纪委规范化建设，18个镇（街）纪委全部实现软、硬件2个“六有”，有效促进镇街纪委职能作用发挥。强化制度管理，健全和完善《南雄市派驻纪检监察机构工作运行及干部管理规定》等制度，实行派驻纪检监察组织定期报告工作制度，建立派驻纪检监察组织新进人员跟班学习制度等，加强对派驻机构的管理。组织全市纪检监察干部签订廉洁自律承诺书，并给每人发放广东省纪检监察干部行为规范牌。（谢金城）</w:t>
      </w:r>
    </w:p>
    <w:p w14:paraId="27BC0B63">
      <w:pPr>
        <w:rPr>
          <w:rFonts w:hint="eastAsia" w:hAnsi="宋体" w:cs="宋体"/>
          <w:highlight w:val="none"/>
        </w:rPr>
      </w:pPr>
      <w:r>
        <w:rPr>
          <w:rFonts w:hint="eastAsia" w:hAnsi="宋体" w:cs="宋体"/>
          <w:highlight w:val="none"/>
        </w:rPr>
        <w:t>附：2015年市纪委监察局领导班子成员名单</w:t>
      </w:r>
    </w:p>
    <w:p w14:paraId="79105487">
      <w:pPr>
        <w:rPr>
          <w:rFonts w:hint="eastAsia" w:hAnsi="宋体" w:cs="宋体"/>
          <w:highlight w:val="none"/>
        </w:rPr>
      </w:pPr>
      <w:r>
        <w:rPr>
          <w:rFonts w:hint="eastAsia" w:hAnsi="宋体" w:cs="宋体"/>
          <w:highlight w:val="none"/>
        </w:rPr>
        <w:t>纪委书记：谢志铎（兼）</w:t>
      </w:r>
    </w:p>
    <w:p w14:paraId="6DB92FD9">
      <w:pPr>
        <w:rPr>
          <w:rFonts w:hint="eastAsia" w:hAnsi="宋体" w:cs="宋体"/>
          <w:highlight w:val="none"/>
        </w:rPr>
      </w:pPr>
      <w:r>
        <w:rPr>
          <w:rFonts w:hint="eastAsia" w:hAnsi="宋体" w:cs="宋体"/>
          <w:highlight w:val="none"/>
        </w:rPr>
        <w:t>纪委副书记：何文忠 曾光</w:t>
      </w:r>
    </w:p>
    <w:p w14:paraId="6E0F5D80">
      <w:pPr>
        <w:rPr>
          <w:rFonts w:hint="eastAsia" w:hAnsi="宋体" w:cs="宋体"/>
          <w:highlight w:val="none"/>
        </w:rPr>
      </w:pPr>
      <w:r>
        <w:rPr>
          <w:rFonts w:hint="eastAsia" w:hAnsi="宋体" w:cs="宋体"/>
          <w:highlight w:val="none"/>
        </w:rPr>
        <w:t>纪委常委</w:t>
      </w:r>
      <w:r>
        <w:rPr>
          <w:rFonts w:hint="eastAsia" w:hAnsi="宋体" w:cs="宋体"/>
          <w:highlight w:val="none"/>
          <w:lang w:eastAsia="zh-CN"/>
        </w:rPr>
        <w:t>：</w:t>
      </w:r>
      <w:r>
        <w:rPr>
          <w:rFonts w:hint="eastAsia" w:hAnsi="宋体" w:cs="宋体"/>
          <w:highlight w:val="none"/>
        </w:rPr>
        <w:t>谢兆锋 邱荣胜 王长连 李进</w:t>
      </w:r>
    </w:p>
    <w:p w14:paraId="4F208A6C">
      <w:pPr>
        <w:rPr>
          <w:rFonts w:hint="eastAsia" w:hAnsi="宋体" w:cs="宋体"/>
          <w:highlight w:val="none"/>
        </w:rPr>
      </w:pPr>
      <w:r>
        <w:rPr>
          <w:rFonts w:hint="eastAsia" w:hAnsi="宋体" w:cs="宋体"/>
          <w:highlight w:val="none"/>
        </w:rPr>
        <w:t>监察局局长：何文忠（兼）</w:t>
      </w:r>
    </w:p>
    <w:p w14:paraId="08592C75">
      <w:pPr>
        <w:rPr>
          <w:rFonts w:hint="eastAsia" w:hAnsi="宋体" w:cs="宋体"/>
          <w:highlight w:val="none"/>
        </w:rPr>
      </w:pPr>
      <w:r>
        <w:rPr>
          <w:rFonts w:hint="eastAsia" w:hAnsi="宋体" w:cs="宋体"/>
          <w:highlight w:val="none"/>
        </w:rPr>
        <w:t>监察局副局长：李见宏 吴越</w:t>
      </w:r>
    </w:p>
    <w:p w14:paraId="7825C19E">
      <w:pPr>
        <w:rPr>
          <w:rFonts w:hint="eastAsia" w:hAnsi="宋体" w:cs="宋体"/>
          <w:highlight w:val="none"/>
          <w:vertAlign w:val="baseline"/>
        </w:rPr>
      </w:pPr>
      <w:r>
        <w:rPr>
          <w:rFonts w:hint="eastAsia" w:hAnsi="宋体" w:cs="宋体"/>
          <w:highlight w:val="none"/>
        </w:rPr>
        <w:t>工会主席：邓春英</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1D9A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60A77B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50720"/>
                  <wp:effectExtent l="0" t="0" r="8890" b="11430"/>
                  <wp:docPr id="55" name="图片 205" descr="8月13日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5" descr="8月13日南"/>
                          <pic:cNvPicPr>
                            <a:picLocks noChangeAspect="1"/>
                          </pic:cNvPicPr>
                        </pic:nvPicPr>
                        <pic:blipFill>
                          <a:blip r:embed="rId60"/>
                          <a:stretch>
                            <a:fillRect/>
                          </a:stretch>
                        </pic:blipFill>
                        <pic:spPr>
                          <a:xfrm>
                            <a:off x="0" y="0"/>
                            <a:ext cx="3420110" cy="1950720"/>
                          </a:xfrm>
                          <a:prstGeom prst="rect">
                            <a:avLst/>
                          </a:prstGeom>
                          <a:noFill/>
                          <a:ln>
                            <a:noFill/>
                          </a:ln>
                        </pic:spPr>
                      </pic:pic>
                    </a:graphicData>
                  </a:graphic>
                </wp:inline>
              </w:drawing>
            </w:r>
          </w:p>
        </w:tc>
      </w:tr>
      <w:tr w14:paraId="5DD06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85B8E99">
            <w:pPr>
              <w:jc w:val="center"/>
              <w:rPr>
                <w:rFonts w:hint="eastAsia" w:hAnsi="宋体" w:cs="宋体"/>
                <w:highlight w:val="none"/>
                <w:vertAlign w:val="baseline"/>
              </w:rPr>
            </w:pPr>
            <w:r>
              <w:rPr>
                <w:rFonts w:hint="eastAsia" w:hAnsi="宋体" w:cs="宋体"/>
                <w:highlight w:val="none"/>
                <w:vertAlign w:val="baseline"/>
              </w:rPr>
              <w:t>8月13日，南雄市领导参观廉政教育基地（李思番摄）</w:t>
            </w:r>
          </w:p>
        </w:tc>
      </w:tr>
    </w:tbl>
    <w:p w14:paraId="06A66402">
      <w:pPr>
        <w:pStyle w:val="2"/>
        <w:rPr>
          <w:rFonts w:hint="eastAsia"/>
          <w:highlight w:val="none"/>
        </w:rPr>
      </w:pPr>
      <w:r>
        <w:rPr>
          <w:highlight w:val="none"/>
        </w:rPr>
        <w:br w:type="page"/>
      </w:r>
      <w:r>
        <w:rPr>
          <w:rFonts w:hint="eastAsia"/>
          <w:highlight w:val="none"/>
        </w:rPr>
        <w:t>民主党派·群团组织</w:t>
      </w:r>
    </w:p>
    <w:p w14:paraId="2CA50EF7">
      <w:pPr>
        <w:pStyle w:val="3"/>
        <w:bidi w:val="0"/>
        <w:rPr>
          <w:rFonts w:hint="eastAsia"/>
          <w:highlight w:val="none"/>
        </w:rPr>
      </w:pPr>
      <w:r>
        <w:rPr>
          <w:rFonts w:hint="eastAsia"/>
          <w:highlight w:val="none"/>
        </w:rPr>
        <w:t>民革南雄市支部</w:t>
      </w:r>
    </w:p>
    <w:p w14:paraId="0C8A1A7D">
      <w:pPr>
        <w:pStyle w:val="4"/>
        <w:bidi w:val="0"/>
        <w:rPr>
          <w:rFonts w:hint="eastAsia"/>
          <w:highlight w:val="none"/>
        </w:rPr>
      </w:pPr>
      <w:r>
        <w:rPr>
          <w:rFonts w:hint="eastAsia"/>
          <w:highlight w:val="none"/>
        </w:rPr>
        <w:t>【概况】</w:t>
      </w:r>
    </w:p>
    <w:p w14:paraId="7DA878A2">
      <w:pPr>
        <w:rPr>
          <w:rFonts w:hint="eastAsia" w:hAnsi="宋体" w:cs="宋体"/>
          <w:highlight w:val="none"/>
        </w:rPr>
      </w:pPr>
      <w:r>
        <w:rPr>
          <w:rFonts w:hint="eastAsia" w:hAnsi="宋体" w:cs="宋体"/>
          <w:highlight w:val="none"/>
        </w:rPr>
        <w:t>南雄县于1990年5月成立民革联络小组，组长林佩琪，有5名成员。1991年8月13日，民革南雄县支部正式成立，林佩琪任主任委员，成员7人。1996年10月民革南雄县支部更名为民革南雄市支部。2015年12月9日支部升格为民革南雄市总支部委员会，下设民革南雄市第一、第二、第三等3个支部。现总支部有党员42人，是韶关民革人数较多支部之一。其中男党员33名，女党员9名；在职党员37名，退休党员5名。分布在21个单位（部门），以教育、卫生为主，教育17名，占40</w:t>
      </w:r>
      <w:r>
        <w:rPr>
          <w:rFonts w:hint="eastAsia" w:ascii="MingLiU_HKSCS" w:hAnsi="MingLiU_HKSCS" w:eastAsia="MingLiU_HKSCS" w:cs="MingLiU_HKSCS"/>
          <w:highlight w:val="none"/>
        </w:rPr>
        <w:t>.</w:t>
      </w:r>
      <w:r>
        <w:rPr>
          <w:rFonts w:hint="eastAsia" w:hAnsi="宋体" w:cs="宋体"/>
          <w:highlight w:val="none"/>
        </w:rPr>
        <w:t>5%，卫生5名，占11</w:t>
      </w:r>
      <w:r>
        <w:rPr>
          <w:rFonts w:hint="eastAsia" w:ascii="MingLiU_HKSCS" w:hAnsi="MingLiU_HKSCS" w:eastAsia="MingLiU_HKSCS" w:cs="MingLiU_HKSCS"/>
          <w:highlight w:val="none"/>
        </w:rPr>
        <w:t>.</w:t>
      </w:r>
      <w:r>
        <w:rPr>
          <w:rFonts w:hint="eastAsia" w:hAnsi="宋体" w:cs="宋体"/>
          <w:highlight w:val="none"/>
        </w:rPr>
        <w:t>9%，其他单位（部门）各1—2名。其中女党员10人。党员中有韶关市人大代表1人，南雄市政协委员3名，任南雄市政府副市长实职1名，任南雄市政协副主席1名。</w:t>
      </w:r>
    </w:p>
    <w:p w14:paraId="619AC741">
      <w:pPr>
        <w:pStyle w:val="4"/>
        <w:bidi w:val="0"/>
        <w:rPr>
          <w:rFonts w:hint="eastAsia"/>
          <w:highlight w:val="none"/>
        </w:rPr>
      </w:pPr>
      <w:r>
        <w:rPr>
          <w:rFonts w:hint="eastAsia"/>
          <w:highlight w:val="none"/>
        </w:rPr>
        <w:t>【参政议政】</w:t>
      </w:r>
    </w:p>
    <w:p w14:paraId="088BC44E">
      <w:pPr>
        <w:rPr>
          <w:rFonts w:hint="eastAsia" w:hAnsi="宋体" w:cs="宋体"/>
          <w:highlight w:val="none"/>
        </w:rPr>
      </w:pPr>
      <w:r>
        <w:rPr>
          <w:rFonts w:hint="eastAsia" w:hAnsi="宋体" w:cs="宋体"/>
          <w:highlight w:val="none"/>
        </w:rPr>
        <w:t>总支部围绕南雄市经济社会发展大局，围绕保障和改善民生、社会管理、生态文明建设等热点、难点问题，开展调查研究，深入解社情民意，撰写高质量的提案。2015年市政协九届五次全会上，总支部提交6件提案，其中《关于加快雄州公园建设的建议》《关于对精神病患者加大救助力度的建议》《关于加强农村文体设施建设的建议》和《关于扩宽陵园路的建议》4件提案被评为优秀提案，优秀提案数目创历年来之最，为促进该市经济和社会全面发展做出总支部应有的贡献。</w:t>
      </w:r>
    </w:p>
    <w:p w14:paraId="2EE7E5F4">
      <w:pPr>
        <w:pStyle w:val="4"/>
        <w:bidi w:val="0"/>
        <w:rPr>
          <w:rFonts w:hint="eastAsia"/>
          <w:highlight w:val="none"/>
        </w:rPr>
      </w:pPr>
      <w:r>
        <w:rPr>
          <w:rFonts w:hint="eastAsia"/>
          <w:highlight w:val="none"/>
        </w:rPr>
        <w:t>【社会调研】</w:t>
      </w:r>
    </w:p>
    <w:p w14:paraId="191E21A5">
      <w:pPr>
        <w:rPr>
          <w:rFonts w:hint="eastAsia" w:hAnsi="宋体" w:cs="宋体"/>
          <w:highlight w:val="none"/>
        </w:rPr>
      </w:pPr>
      <w:r>
        <w:rPr>
          <w:rFonts w:hint="eastAsia" w:hAnsi="宋体" w:cs="宋体"/>
          <w:highlight w:val="none"/>
        </w:rPr>
        <w:t>总支部选择好专题调研课题，开展调研工作。2015年8月，总支部副主委谭小山和李婷等6名党员对南雄市乡村旅游发展进行深入的调研，形成《制约南雄乡村旅游发展的瓶颈及解决对策》的调研报告，并交市委办，以供市委、市政府作决策参考。</w:t>
      </w:r>
    </w:p>
    <w:p w14:paraId="49BBE3F0">
      <w:pPr>
        <w:pStyle w:val="4"/>
        <w:bidi w:val="0"/>
        <w:rPr>
          <w:rFonts w:hint="eastAsia"/>
          <w:highlight w:val="none"/>
        </w:rPr>
      </w:pPr>
      <w:r>
        <w:rPr>
          <w:rFonts w:hint="eastAsia"/>
          <w:highlight w:val="none"/>
        </w:rPr>
        <w:t>【思想建设】</w:t>
      </w:r>
    </w:p>
    <w:p w14:paraId="00D30984">
      <w:pPr>
        <w:rPr>
          <w:rFonts w:hint="eastAsia" w:hAnsi="宋体" w:cs="宋体"/>
          <w:highlight w:val="none"/>
        </w:rPr>
      </w:pPr>
      <w:r>
        <w:rPr>
          <w:rFonts w:hint="eastAsia" w:hAnsi="宋体" w:cs="宋体"/>
          <w:highlight w:val="none"/>
        </w:rPr>
        <w:t>总支部组织党员学习民革的章程、理论、历史及重要文件；学习中共的方针政策、文献，重点是科学发展观的思想；学习民革及中共的英雄人物、劳动模范，用先进人物的精神激励和鼓舞支部党员。学习后要求写出心得体会，会议上进行交流。通过学习，提高支部党员思想政治素质，促进自身建设。认真开展学习和实践社会主义核心价值体系活动。探索新形势下基层组织思想建设的新方式。坚持与党员的联系，了解党员思想动态，做好党员的思想工作。</w:t>
      </w:r>
    </w:p>
    <w:p w14:paraId="67C41B92">
      <w:pPr>
        <w:pStyle w:val="4"/>
        <w:bidi w:val="0"/>
        <w:rPr>
          <w:rFonts w:hint="eastAsia"/>
          <w:highlight w:val="none"/>
        </w:rPr>
      </w:pPr>
      <w:r>
        <w:rPr>
          <w:rFonts w:hint="eastAsia"/>
          <w:highlight w:val="none"/>
        </w:rPr>
        <w:t>【组织建设】</w:t>
      </w:r>
    </w:p>
    <w:p w14:paraId="354C3A6E">
      <w:pPr>
        <w:rPr>
          <w:rFonts w:hint="eastAsia" w:hAnsi="宋体" w:cs="宋体"/>
          <w:highlight w:val="none"/>
        </w:rPr>
      </w:pPr>
      <w:r>
        <w:rPr>
          <w:rFonts w:hint="eastAsia" w:hAnsi="宋体" w:cs="宋体"/>
          <w:highlight w:val="none"/>
        </w:rPr>
        <w:t>组织建设是总支部自身建设的重要基础，把单位要求上进的业务骨干、得到单位的肯定和支持的同志纳入考察发展对象，总支部组织建设稳步发展。2015年总支部发展一名新党员。</w:t>
      </w:r>
    </w:p>
    <w:p w14:paraId="37BE1AA3">
      <w:pPr>
        <w:pStyle w:val="4"/>
        <w:bidi w:val="0"/>
        <w:rPr>
          <w:rFonts w:hint="eastAsia"/>
          <w:highlight w:val="none"/>
        </w:rPr>
      </w:pPr>
      <w:r>
        <w:rPr>
          <w:rFonts w:hint="eastAsia"/>
          <w:highlight w:val="none"/>
        </w:rPr>
        <w:t>【社会服务】</w:t>
      </w:r>
    </w:p>
    <w:p w14:paraId="42A2D69F">
      <w:pPr>
        <w:rPr>
          <w:rFonts w:hint="eastAsia" w:hAnsi="宋体" w:cs="宋体"/>
          <w:highlight w:val="none"/>
        </w:rPr>
      </w:pPr>
      <w:r>
        <w:rPr>
          <w:rFonts w:hint="eastAsia" w:hAnsi="宋体" w:cs="宋体"/>
          <w:highlight w:val="none"/>
        </w:rPr>
        <w:t>在扶贫济困爱心捐款、义务献血，义务维修电脑，义务医疗咨询，义务辅导学生，慰问孤寡老人，资助相对落后地区贫困学生，开展送课下乡，服务“三农”等社会服务工作，取得较好成绩。</w:t>
      </w:r>
    </w:p>
    <w:p w14:paraId="7326F4D3">
      <w:pPr>
        <w:pStyle w:val="4"/>
        <w:bidi w:val="0"/>
        <w:rPr>
          <w:rFonts w:hint="eastAsia"/>
          <w:highlight w:val="none"/>
        </w:rPr>
      </w:pPr>
      <w:r>
        <w:rPr>
          <w:rFonts w:hint="eastAsia"/>
          <w:highlight w:val="none"/>
        </w:rPr>
        <w:t>【本职工作】</w:t>
      </w:r>
    </w:p>
    <w:p w14:paraId="317FA072">
      <w:pPr>
        <w:rPr>
          <w:rFonts w:hint="eastAsia" w:hAnsi="宋体" w:cs="宋体"/>
          <w:highlight w:val="none"/>
        </w:rPr>
      </w:pPr>
      <w:r>
        <w:rPr>
          <w:rFonts w:hint="eastAsia" w:hAnsi="宋体" w:cs="宋体"/>
          <w:highlight w:val="none"/>
        </w:rPr>
        <w:t>做好本职工作就是最好的参政议政，民革党员都是单位的业务技术骨干，他们忠于职守、埋头苦干、默默奉献、清正廉洁、淡泊名利，被单位领导和同事认可，为总支部树立良好的社会声誉。2015年总支部党员在各自的工作中表现出色，取得较好成绩。</w:t>
      </w:r>
    </w:p>
    <w:p w14:paraId="3C921527">
      <w:pPr>
        <w:jc w:val="right"/>
        <w:rPr>
          <w:rFonts w:hint="eastAsia" w:hAnsi="宋体" w:cs="宋体"/>
          <w:highlight w:val="none"/>
        </w:rPr>
      </w:pPr>
      <w:r>
        <w:rPr>
          <w:rFonts w:hint="eastAsia" w:hAnsi="宋体" w:cs="宋体"/>
          <w:highlight w:val="none"/>
        </w:rPr>
        <w:t>（谭小山）</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CB6F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96E494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3935"/>
                  <wp:effectExtent l="0" t="0" r="8890" b="12065"/>
                  <wp:docPr id="56" name="图片 2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06" descr="1"/>
                          <pic:cNvPicPr>
                            <a:picLocks noChangeAspect="1"/>
                          </pic:cNvPicPr>
                        </pic:nvPicPr>
                        <pic:blipFill>
                          <a:blip r:embed="rId61"/>
                          <a:stretch>
                            <a:fillRect/>
                          </a:stretch>
                        </pic:blipFill>
                        <pic:spPr>
                          <a:xfrm>
                            <a:off x="0" y="0"/>
                            <a:ext cx="3420110" cy="2273935"/>
                          </a:xfrm>
                          <a:prstGeom prst="rect">
                            <a:avLst/>
                          </a:prstGeom>
                          <a:noFill/>
                          <a:ln>
                            <a:noFill/>
                          </a:ln>
                        </pic:spPr>
                      </pic:pic>
                    </a:graphicData>
                  </a:graphic>
                </wp:inline>
              </w:drawing>
            </w:r>
          </w:p>
        </w:tc>
      </w:tr>
      <w:tr w14:paraId="3BF9A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8F8919F">
            <w:pPr>
              <w:jc w:val="center"/>
              <w:rPr>
                <w:rFonts w:hint="eastAsia" w:hAnsi="宋体" w:cs="宋体"/>
                <w:highlight w:val="none"/>
                <w:vertAlign w:val="baseline"/>
              </w:rPr>
            </w:pPr>
            <w:r>
              <w:rPr>
                <w:rFonts w:hint="eastAsia" w:hAnsi="宋体" w:cs="宋体"/>
                <w:highlight w:val="none"/>
                <w:vertAlign w:val="baseline"/>
              </w:rPr>
              <w:t>民革南雄市总支部第一次全体党员大会召开</w:t>
            </w:r>
          </w:p>
        </w:tc>
      </w:tr>
    </w:tbl>
    <w:p w14:paraId="489C913D">
      <w:pPr>
        <w:rPr>
          <w:rFonts w:hint="eastAsia" w:hAnsi="宋体" w:cs="宋体"/>
          <w:highlight w:val="none"/>
        </w:rPr>
      </w:pPr>
      <w:r>
        <w:rPr>
          <w:rFonts w:hint="eastAsia" w:hAnsi="宋体" w:cs="宋体"/>
          <w:highlight w:val="none"/>
        </w:rPr>
        <w:t>附：2015年民革南雄市支部领导班子成员名单</w:t>
      </w:r>
    </w:p>
    <w:p w14:paraId="38740769">
      <w:pPr>
        <w:rPr>
          <w:rFonts w:hint="eastAsia" w:hAnsi="宋体" w:cs="宋体"/>
          <w:highlight w:val="none"/>
        </w:rPr>
      </w:pPr>
      <w:r>
        <w:rPr>
          <w:rFonts w:hint="eastAsia" w:hAnsi="宋体" w:cs="宋体"/>
          <w:highlight w:val="none"/>
        </w:rPr>
        <w:t>主任委员：刘卫忠</w:t>
      </w:r>
    </w:p>
    <w:p w14:paraId="36251446">
      <w:pPr>
        <w:rPr>
          <w:rFonts w:hint="eastAsia" w:hAnsi="宋体" w:cs="宋体"/>
          <w:highlight w:val="none"/>
        </w:rPr>
      </w:pPr>
      <w:r>
        <w:rPr>
          <w:rFonts w:hint="eastAsia" w:hAnsi="宋体" w:cs="宋体"/>
          <w:highlight w:val="none"/>
        </w:rPr>
        <w:t>副主任委员：谭小山 朱兆清</w:t>
      </w:r>
    </w:p>
    <w:p w14:paraId="123E0B19">
      <w:pPr>
        <w:pStyle w:val="3"/>
        <w:bidi w:val="0"/>
        <w:rPr>
          <w:rFonts w:hint="eastAsia"/>
          <w:highlight w:val="none"/>
        </w:rPr>
      </w:pPr>
      <w:r>
        <w:rPr>
          <w:rFonts w:hint="eastAsia"/>
          <w:highlight w:val="none"/>
        </w:rPr>
        <w:t>民盟南雄市总支部</w:t>
      </w:r>
    </w:p>
    <w:p w14:paraId="6AD312C0">
      <w:pPr>
        <w:pStyle w:val="4"/>
        <w:bidi w:val="0"/>
        <w:rPr>
          <w:rFonts w:hint="eastAsia"/>
          <w:highlight w:val="none"/>
        </w:rPr>
      </w:pPr>
      <w:r>
        <w:rPr>
          <w:rFonts w:hint="eastAsia"/>
          <w:highlight w:val="none"/>
        </w:rPr>
        <w:t>【概况】</w:t>
      </w:r>
    </w:p>
    <w:p w14:paraId="200B6C29">
      <w:pPr>
        <w:rPr>
          <w:rFonts w:hint="eastAsia" w:hAnsi="宋体" w:cs="宋体"/>
          <w:highlight w:val="none"/>
        </w:rPr>
      </w:pPr>
      <w:r>
        <w:rPr>
          <w:rFonts w:hint="eastAsia" w:hAnsi="宋体" w:cs="宋体"/>
          <w:highlight w:val="none"/>
        </w:rPr>
        <w:t>2015年12月8日，民盟南雄市总支部召开第七次全体会议，选举产生第七届总支委员：主委陈盛荣，副主委陈川荣、王洪林，委员沈华文、徐海英</w:t>
      </w:r>
      <w:r>
        <w:rPr>
          <w:rFonts w:hint="eastAsia" w:hAnsi="宋体" w:cs="宋体"/>
          <w:highlight w:val="none"/>
          <w:lang w:eastAsia="zh-CN"/>
        </w:rPr>
        <w:t>（</w:t>
      </w:r>
      <w:r>
        <w:rPr>
          <w:rFonts w:hint="eastAsia" w:hAnsi="宋体" w:cs="宋体"/>
          <w:highlight w:val="none"/>
        </w:rPr>
        <w:t>女</w:t>
      </w:r>
      <w:r>
        <w:rPr>
          <w:rFonts w:hint="eastAsia" w:hAnsi="宋体" w:cs="宋体"/>
          <w:highlight w:val="none"/>
          <w:lang w:eastAsia="zh-CN"/>
        </w:rPr>
        <w:t>）</w:t>
      </w:r>
      <w:r>
        <w:rPr>
          <w:rFonts w:hint="eastAsia" w:hAnsi="宋体" w:cs="宋体"/>
          <w:highlight w:val="none"/>
        </w:rPr>
        <w:t>、陈卫星（女）、聂金生、黄静（女）、刘彩玲（女）。总支下设3个支部：南雄中学支部，主委黄静；南雄一中支部，主委徐海英；联合支部，主委陈卫星。现有盟员45人。民盟南雄总支全体盟员积极进取、开拓创新、扎实努力工作，取得丰硕成果，也得到更多参政议政的机会。</w:t>
      </w:r>
    </w:p>
    <w:p w14:paraId="07C721D6">
      <w:pPr>
        <w:pStyle w:val="4"/>
        <w:bidi w:val="0"/>
        <w:rPr>
          <w:rFonts w:hint="eastAsia"/>
          <w:highlight w:val="none"/>
        </w:rPr>
      </w:pPr>
      <w:r>
        <w:rPr>
          <w:rFonts w:hint="eastAsia"/>
          <w:highlight w:val="none"/>
        </w:rPr>
        <w:t>【支部学习活动】</w:t>
      </w:r>
    </w:p>
    <w:p w14:paraId="6A49D8F0">
      <w:pPr>
        <w:rPr>
          <w:rFonts w:hint="eastAsia" w:hAnsi="宋体" w:cs="宋体"/>
          <w:highlight w:val="none"/>
        </w:rPr>
      </w:pPr>
      <w:r>
        <w:rPr>
          <w:rFonts w:hint="eastAsia" w:hAnsi="宋体" w:cs="宋体"/>
          <w:highlight w:val="none"/>
        </w:rPr>
        <w:t>2015年，民盟南雄总支组织盟员学习党的十八届三中、四中、五中全会精神和中共南雄市委十二届四次会议精神，学习多党合作、政治协商的政治制度和统战工作理论，把盟员思想和行为统一到“科学发展观”的重要思想上来，增强学习贯彻科学发展观的自觉性和坚定性；学习和践行社会主义核心价值观，坚持以核心价值观引领民盟的思想建设，推进民盟的各项工作；通过总支委员会议、支部会议以及盟员活动这3个平台，结合时政热点，安排学习主题，开展交流学习，发扬理论联系实际的学风，既重视在思想上达到新高度，也注重联系实际，开创总部工作的新局面。</w:t>
      </w:r>
    </w:p>
    <w:p w14:paraId="18385658">
      <w:pPr>
        <w:pStyle w:val="4"/>
        <w:bidi w:val="0"/>
        <w:rPr>
          <w:rFonts w:hint="eastAsia"/>
          <w:highlight w:val="none"/>
        </w:rPr>
      </w:pPr>
      <w:r>
        <w:rPr>
          <w:rFonts w:hint="eastAsia"/>
          <w:highlight w:val="none"/>
        </w:rPr>
        <w:t>【参政议政】</w:t>
      </w:r>
    </w:p>
    <w:p w14:paraId="4C125D86">
      <w:pPr>
        <w:rPr>
          <w:rFonts w:hint="eastAsia" w:hAnsi="宋体" w:cs="宋体"/>
          <w:highlight w:val="none"/>
        </w:rPr>
      </w:pPr>
      <w:r>
        <w:rPr>
          <w:rFonts w:hint="eastAsia" w:hAnsi="宋体" w:cs="宋体"/>
          <w:highlight w:val="none"/>
        </w:rPr>
        <w:t>民盟参政议政，向人大、政协提出质量较高的提案、意见和建议。如：关于“加大旅游下游产品开发力度”的建议；关于“加强农村饮用水安全管理工作”的提案；关于“尽快完善该市旅游交通基础设施建设”的提案；关于“扩宽陵园路”的建议等。这些提案或建议，紧密联系南雄市委、市政府的中心工作，紧密联系民生，紧密联系教育。从中可以看出民盟南雄总支成员们的社会视角和关注的方向。</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0519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7E71315B">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18690"/>
                  <wp:effectExtent l="0" t="0" r="8890" b="10160"/>
                  <wp:docPr id="57" name="图片 2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07" descr="2"/>
                          <pic:cNvPicPr>
                            <a:picLocks noChangeAspect="1"/>
                          </pic:cNvPicPr>
                        </pic:nvPicPr>
                        <pic:blipFill>
                          <a:blip r:embed="rId62"/>
                          <a:stretch>
                            <a:fillRect/>
                          </a:stretch>
                        </pic:blipFill>
                        <pic:spPr>
                          <a:xfrm>
                            <a:off x="0" y="0"/>
                            <a:ext cx="3420110" cy="2218690"/>
                          </a:xfrm>
                          <a:prstGeom prst="rect">
                            <a:avLst/>
                          </a:prstGeom>
                          <a:noFill/>
                          <a:ln>
                            <a:noFill/>
                          </a:ln>
                        </pic:spPr>
                      </pic:pic>
                    </a:graphicData>
                  </a:graphic>
                </wp:inline>
              </w:drawing>
            </w:r>
          </w:p>
        </w:tc>
      </w:tr>
      <w:tr w14:paraId="7EED6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8654186">
            <w:pPr>
              <w:jc w:val="center"/>
              <w:rPr>
                <w:rFonts w:hint="eastAsia" w:hAnsi="宋体" w:cs="宋体"/>
                <w:highlight w:val="none"/>
                <w:vertAlign w:val="baseline"/>
              </w:rPr>
            </w:pPr>
            <w:r>
              <w:rPr>
                <w:rFonts w:hint="eastAsia" w:hAnsi="宋体" w:cs="宋体"/>
                <w:highlight w:val="none"/>
                <w:vertAlign w:val="baseline"/>
              </w:rPr>
              <w:t>中国民主同盟南雄市总支部第七次全体会议召开</w:t>
            </w:r>
          </w:p>
        </w:tc>
      </w:tr>
    </w:tbl>
    <w:p w14:paraId="408BBB6A">
      <w:pPr>
        <w:pStyle w:val="4"/>
        <w:bidi w:val="0"/>
        <w:rPr>
          <w:rFonts w:hint="eastAsia"/>
          <w:highlight w:val="none"/>
        </w:rPr>
      </w:pPr>
      <w:r>
        <w:rPr>
          <w:rFonts w:hint="eastAsia"/>
          <w:highlight w:val="none"/>
        </w:rPr>
        <w:t>【服务社会】</w:t>
      </w:r>
    </w:p>
    <w:p w14:paraId="7D9E49D3">
      <w:pPr>
        <w:rPr>
          <w:rFonts w:hint="eastAsia" w:hAnsi="宋体" w:cs="宋体"/>
          <w:highlight w:val="none"/>
        </w:rPr>
      </w:pPr>
      <w:r>
        <w:rPr>
          <w:rFonts w:hint="eastAsia" w:hAnsi="宋体" w:cs="宋体"/>
          <w:highlight w:val="none"/>
        </w:rPr>
        <w:t>2015年，南雄市九届政协副主席、总支主委赖华焜同志借助与港澳和社会热心人士接触较多的优势，发挥珠玑联谊会的桥梁作用，与港澳热心人建立了良好的工作关系，通过他们直接或间接地引进港澳珠玑后裔及社会各界捐资助学款（或捐物）165万元人民币，为南雄招商引资事业、南雄的教育事业、扶困助学事业做出突出贡献。</w:t>
      </w:r>
    </w:p>
    <w:p w14:paraId="12F65794">
      <w:pPr>
        <w:rPr>
          <w:rFonts w:hint="eastAsia" w:hAnsi="宋体" w:cs="宋体"/>
          <w:highlight w:val="none"/>
        </w:rPr>
      </w:pPr>
      <w:r>
        <w:rPr>
          <w:rFonts w:hint="eastAsia" w:hAnsi="宋体" w:cs="宋体"/>
          <w:highlight w:val="none"/>
        </w:rPr>
        <w:t>2015年11月27日，民盟南雄总支及南雄市一中支部到南雄市二中进行调研活动。总支还经常与兄弟民盟基层组织进行交流活动。如雄中支部邀请北中、一中支部到雄中进行盟务交流和教学交流等。通过这些交流和调研，让更多的民众和单位领导了解民盟南雄总支。</w:t>
      </w:r>
    </w:p>
    <w:p w14:paraId="447E9C17">
      <w:pPr>
        <w:pStyle w:val="4"/>
        <w:bidi w:val="0"/>
        <w:rPr>
          <w:rFonts w:hint="eastAsia"/>
          <w:highlight w:val="none"/>
        </w:rPr>
      </w:pPr>
      <w:r>
        <w:rPr>
          <w:rFonts w:hint="eastAsia"/>
          <w:highlight w:val="none"/>
        </w:rPr>
        <w:t>【发挥自身优势】</w:t>
      </w:r>
    </w:p>
    <w:p w14:paraId="6DE3E83A">
      <w:pPr>
        <w:rPr>
          <w:rFonts w:hint="eastAsia" w:hAnsi="宋体" w:cs="宋体"/>
          <w:highlight w:val="none"/>
        </w:rPr>
      </w:pPr>
      <w:r>
        <w:rPr>
          <w:rFonts w:hint="eastAsia" w:hAnsi="宋体" w:cs="宋体"/>
          <w:highlight w:val="none"/>
        </w:rPr>
        <w:t>引导民盟成员在本岗位建功立业。2015年，总支盟员黄静荣获韶关市优秀教师称号，陈川荣荣获南雄市优秀教育工作称号，叶运娣荣获南雄市优秀教师称号；黄静、罗小彪、陈卫星三位老师荣获学校优秀德育工作者、优秀班主任、优秀教师称号；严文斌、黄静、叶运娣的论文分别获省二奖、省三等奖、韶关市三等奖；王洪林撰写论文在省级刊物上发表。（黄静）</w:t>
      </w:r>
    </w:p>
    <w:p w14:paraId="56CCFDDA">
      <w:pPr>
        <w:pStyle w:val="3"/>
        <w:bidi w:val="0"/>
        <w:rPr>
          <w:rFonts w:hint="eastAsia"/>
          <w:highlight w:val="none"/>
        </w:rPr>
      </w:pPr>
      <w:r>
        <w:rPr>
          <w:rFonts w:hint="eastAsia"/>
          <w:highlight w:val="none"/>
        </w:rPr>
        <w:t>九三学社南雄市支社</w:t>
      </w:r>
    </w:p>
    <w:p w14:paraId="3201C22F">
      <w:pPr>
        <w:pStyle w:val="4"/>
        <w:bidi w:val="0"/>
        <w:rPr>
          <w:rFonts w:hint="eastAsia"/>
          <w:highlight w:val="none"/>
        </w:rPr>
      </w:pPr>
      <w:r>
        <w:rPr>
          <w:rFonts w:hint="eastAsia"/>
          <w:highlight w:val="none"/>
        </w:rPr>
        <w:t>【概况】</w:t>
      </w:r>
    </w:p>
    <w:p w14:paraId="235285F0">
      <w:pPr>
        <w:rPr>
          <w:rFonts w:hint="eastAsia" w:hAnsi="宋体" w:cs="宋体"/>
          <w:highlight w:val="none"/>
        </w:rPr>
      </w:pPr>
      <w:r>
        <w:rPr>
          <w:rFonts w:hint="eastAsia" w:hAnsi="宋体" w:cs="宋体"/>
          <w:highlight w:val="none"/>
        </w:rPr>
        <w:t>2008年，九三学社南雄直属小组成立，何旗明任组长，有社员7人。2013年10月30日，九三学社南雄市支社正式成立，共有社员12人，何旗明任主委。支社现有社员16人，女社员3人，其中高级职称6人，中级职称10人。2015年度，九三学社南雄市支社经考核被九三学社韶关市委员会评为优秀支社。</w:t>
      </w:r>
    </w:p>
    <w:p w14:paraId="2A409076">
      <w:pPr>
        <w:pStyle w:val="4"/>
        <w:bidi w:val="0"/>
        <w:rPr>
          <w:rFonts w:hint="eastAsia"/>
          <w:highlight w:val="none"/>
        </w:rPr>
      </w:pPr>
      <w:r>
        <w:rPr>
          <w:rFonts w:hint="eastAsia"/>
          <w:highlight w:val="none"/>
        </w:rPr>
        <w:t>【思想建设】</w:t>
      </w:r>
    </w:p>
    <w:p w14:paraId="5D16FBE9">
      <w:pPr>
        <w:rPr>
          <w:rFonts w:hint="eastAsia" w:hAnsi="宋体" w:cs="宋体"/>
          <w:highlight w:val="none"/>
        </w:rPr>
      </w:pPr>
      <w:r>
        <w:rPr>
          <w:rFonts w:hint="eastAsia" w:hAnsi="宋体" w:cs="宋体"/>
          <w:highlight w:val="none"/>
        </w:rPr>
        <w:t>社支社重视思想建设工作和政治理论学习，以继承和发扬九三学社的优良传统为思想建设的切入点，实践主题活动。社支社按照社市委和市统战部的部署和要求，利用组织生活会开展时事主题学习。社支社组织支社全体社员于2015年8月参加韶关社市委举办的纪念中国人民抗日战争胜利70周年暨九三学社创建70周年活动，又在12月到共和国的摇篮江西瑞金考察。通过上述活动和考察，使全体社员认识到新中国的来之不易，更加坚定听党话、跟党走的政治信念，坚定走中国特色社会主义政治道路的理想和信念。</w:t>
      </w:r>
    </w:p>
    <w:p w14:paraId="06EA623A">
      <w:pPr>
        <w:pStyle w:val="4"/>
        <w:bidi w:val="0"/>
        <w:rPr>
          <w:rFonts w:hint="eastAsia"/>
          <w:highlight w:val="none"/>
        </w:rPr>
      </w:pPr>
      <w:r>
        <w:rPr>
          <w:rFonts w:hint="eastAsia"/>
          <w:highlight w:val="none"/>
        </w:rPr>
        <w:t>【自身建设】</w:t>
      </w:r>
    </w:p>
    <w:p w14:paraId="3D3739A8">
      <w:pPr>
        <w:rPr>
          <w:rFonts w:hint="eastAsia" w:hAnsi="宋体" w:cs="宋体"/>
          <w:highlight w:val="none"/>
        </w:rPr>
      </w:pPr>
      <w:r>
        <w:rPr>
          <w:rFonts w:hint="eastAsia" w:hAnsi="宋体" w:cs="宋体"/>
          <w:highlight w:val="none"/>
        </w:rPr>
        <w:t>2015年社支社完成换届工作，全体社员严格按照组织程序选举出以何旗明任主委新一届领导班子，增补班子成员，增补王衍明社员为副主委，邓保卫为委员。社支社还严格把关，发展4名热爱九三学社、拥护以中国共产党领导的多党合作、有参政议政潜能的新社员。选派1名优秀社员到由韶关市委组织部、统战部在韶关市社会主义学院举办的中青年学习班学习，并顺利结业。</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6B25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B7B1B7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62785"/>
                  <wp:effectExtent l="0" t="0" r="8890" b="18415"/>
                  <wp:docPr id="58" name="图片 2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08" descr="3"/>
                          <pic:cNvPicPr>
                            <a:picLocks noChangeAspect="1"/>
                          </pic:cNvPicPr>
                        </pic:nvPicPr>
                        <pic:blipFill>
                          <a:blip r:embed="rId63"/>
                          <a:stretch>
                            <a:fillRect/>
                          </a:stretch>
                        </pic:blipFill>
                        <pic:spPr>
                          <a:xfrm>
                            <a:off x="0" y="0"/>
                            <a:ext cx="3420110" cy="1962785"/>
                          </a:xfrm>
                          <a:prstGeom prst="rect">
                            <a:avLst/>
                          </a:prstGeom>
                          <a:noFill/>
                          <a:ln>
                            <a:noFill/>
                          </a:ln>
                        </pic:spPr>
                      </pic:pic>
                    </a:graphicData>
                  </a:graphic>
                </wp:inline>
              </w:drawing>
            </w:r>
          </w:p>
        </w:tc>
      </w:tr>
      <w:tr w14:paraId="0C9CA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49004FA">
            <w:pPr>
              <w:jc w:val="center"/>
              <w:rPr>
                <w:rFonts w:hint="eastAsia" w:hAnsi="宋体" w:cs="宋体"/>
                <w:highlight w:val="none"/>
                <w:vertAlign w:val="baseline"/>
              </w:rPr>
            </w:pPr>
            <w:r>
              <w:rPr>
                <w:rFonts w:hint="eastAsia" w:hAnsi="宋体" w:cs="宋体"/>
                <w:highlight w:val="none"/>
                <w:vertAlign w:val="baseline"/>
              </w:rPr>
              <w:t>九三学社南雄市支社第二次全体社员大会召开</w:t>
            </w:r>
          </w:p>
        </w:tc>
      </w:tr>
    </w:tbl>
    <w:p w14:paraId="184F80B9">
      <w:pPr>
        <w:pStyle w:val="4"/>
        <w:bidi w:val="0"/>
        <w:rPr>
          <w:rFonts w:hint="eastAsia"/>
          <w:highlight w:val="none"/>
        </w:rPr>
      </w:pPr>
      <w:r>
        <w:rPr>
          <w:rFonts w:hint="eastAsia"/>
          <w:highlight w:val="none"/>
        </w:rPr>
        <w:t>【参政议政】</w:t>
      </w:r>
    </w:p>
    <w:p w14:paraId="07098B4C">
      <w:pPr>
        <w:rPr>
          <w:rFonts w:hint="eastAsia" w:hAnsi="宋体" w:cs="宋体"/>
          <w:highlight w:val="none"/>
        </w:rPr>
      </w:pPr>
      <w:r>
        <w:rPr>
          <w:rFonts w:hint="eastAsia" w:hAnsi="宋体" w:cs="宋体"/>
          <w:highlight w:val="none"/>
        </w:rPr>
        <w:t>在参政议政方面，支社发挥人才优势，围绕市委、市政府中心工作和人民群众关注的热点难点问题，精选课题，深入调研，发挥集体智慧，撰写提案。支社在2015年政协例会上提交《关于加快推进南雄市养老事业发展的建议》《关于加强城市绿化，建设生态南雄的建议》《关于重建南雄市体育馆的建议》《关于加强民宿建设促进旅游业发展的建议》《关于重新布局更换市区公用电话亭的建议》和《关于制定南雄市“广场舞公约”的建议》等六项提案，其中《关于加强城市绿化，建设生态南雄的建议》被列为市政协重点提案，《关于制定南雄市“广场舞公约”的建议》被表彰为优秀提案。</w:t>
      </w:r>
    </w:p>
    <w:p w14:paraId="63A39DFA">
      <w:pPr>
        <w:pStyle w:val="4"/>
        <w:bidi w:val="0"/>
        <w:rPr>
          <w:rFonts w:hint="eastAsia"/>
          <w:highlight w:val="none"/>
        </w:rPr>
      </w:pPr>
      <w:r>
        <w:rPr>
          <w:rFonts w:hint="eastAsia"/>
          <w:highlight w:val="none"/>
        </w:rPr>
        <w:t>【社会服务】</w:t>
      </w:r>
    </w:p>
    <w:p w14:paraId="0090BB55">
      <w:pPr>
        <w:rPr>
          <w:rFonts w:hint="eastAsia" w:hAnsi="宋体" w:cs="宋体"/>
          <w:highlight w:val="none"/>
        </w:rPr>
      </w:pPr>
      <w:r>
        <w:rPr>
          <w:rFonts w:hint="eastAsia" w:hAnsi="宋体" w:cs="宋体"/>
          <w:highlight w:val="none"/>
        </w:rPr>
        <w:t>社会服务工作，不仅是民主党派履行参政议政和政治协商职能的基础的工作，也是开展参政议政工作的延伸和拓展，更是实现政治目标和政治任务的重要实践。社支社利用该社具有的人才优势，组织社员到革命老区水口开展义诊工作，取得服务社会的新形象。（张联标）</w:t>
      </w:r>
    </w:p>
    <w:p w14:paraId="1DB325E1">
      <w:pPr>
        <w:rPr>
          <w:rFonts w:hint="eastAsia" w:hAnsi="宋体" w:cs="宋体"/>
          <w:highlight w:val="none"/>
        </w:rPr>
      </w:pPr>
      <w:r>
        <w:rPr>
          <w:rFonts w:hint="eastAsia" w:hAnsi="宋体" w:cs="宋体"/>
          <w:highlight w:val="none"/>
        </w:rPr>
        <w:t>附：2015年九三学社南雄市支社领导班子成员名单</w:t>
      </w:r>
    </w:p>
    <w:p w14:paraId="1C5D237D">
      <w:pPr>
        <w:rPr>
          <w:rFonts w:hint="eastAsia" w:hAnsi="宋体" w:cs="宋体"/>
          <w:highlight w:val="none"/>
        </w:rPr>
      </w:pPr>
      <w:r>
        <w:rPr>
          <w:rFonts w:hint="eastAsia" w:hAnsi="宋体" w:cs="宋体"/>
          <w:highlight w:val="none"/>
        </w:rPr>
        <w:t>主委：何旗明</w:t>
      </w:r>
    </w:p>
    <w:p w14:paraId="1F33A1CF">
      <w:pPr>
        <w:rPr>
          <w:rFonts w:hint="eastAsia" w:hAnsi="宋体" w:cs="宋体"/>
          <w:highlight w:val="none"/>
        </w:rPr>
      </w:pPr>
      <w:r>
        <w:rPr>
          <w:rFonts w:hint="eastAsia" w:hAnsi="宋体" w:cs="宋体"/>
          <w:highlight w:val="none"/>
        </w:rPr>
        <w:t>副主委：陈优 王衍明</w:t>
      </w:r>
    </w:p>
    <w:p w14:paraId="35BA886A">
      <w:pPr>
        <w:pStyle w:val="3"/>
        <w:bidi w:val="0"/>
        <w:rPr>
          <w:rFonts w:hint="eastAsia"/>
          <w:highlight w:val="none"/>
        </w:rPr>
      </w:pPr>
      <w:r>
        <w:rPr>
          <w:rFonts w:hint="eastAsia"/>
          <w:highlight w:val="none"/>
        </w:rPr>
        <w:t>总工会</w:t>
      </w:r>
    </w:p>
    <w:p w14:paraId="65921F86">
      <w:pPr>
        <w:pStyle w:val="4"/>
        <w:bidi w:val="0"/>
        <w:rPr>
          <w:rFonts w:hint="eastAsia"/>
          <w:highlight w:val="none"/>
        </w:rPr>
      </w:pPr>
      <w:r>
        <w:rPr>
          <w:rFonts w:hint="eastAsia"/>
          <w:highlight w:val="none"/>
        </w:rPr>
        <w:t>【概况】</w:t>
      </w:r>
    </w:p>
    <w:p w14:paraId="5E88DD71">
      <w:pPr>
        <w:rPr>
          <w:rFonts w:hint="eastAsia" w:hAnsi="宋体" w:cs="宋体"/>
          <w:highlight w:val="none"/>
        </w:rPr>
      </w:pPr>
      <w:r>
        <w:rPr>
          <w:rFonts w:hint="eastAsia" w:hAnsi="宋体" w:cs="宋体"/>
          <w:highlight w:val="none"/>
        </w:rPr>
        <w:t>南雄市总工会位于南雄市区浈江路68号，成立于1926年5月1日，是正科级群众团体，参公管理单位。行政编制7人，其中主席1名，副主席2名，股长（部长）4名。内设机构有办公室、组织宣传教育部、职工权益保障部、财务女工部。下辖事业单位南雄市工人文化宫，事业编制8人。</w:t>
      </w:r>
    </w:p>
    <w:p w14:paraId="1EFE2D0F">
      <w:pPr>
        <w:pStyle w:val="4"/>
        <w:bidi w:val="0"/>
        <w:rPr>
          <w:rFonts w:hint="eastAsia"/>
          <w:highlight w:val="none"/>
        </w:rPr>
      </w:pPr>
      <w:r>
        <w:rPr>
          <w:rFonts w:hint="eastAsia"/>
          <w:highlight w:val="none"/>
        </w:rPr>
        <w:t>【建功立业工程】</w:t>
      </w:r>
    </w:p>
    <w:p w14:paraId="317ABF1D">
      <w:pPr>
        <w:rPr>
          <w:rFonts w:hint="eastAsia" w:hAnsi="宋体" w:cs="宋体"/>
          <w:highlight w:val="none"/>
        </w:rPr>
      </w:pPr>
      <w:r>
        <w:rPr>
          <w:rFonts w:hint="eastAsia" w:hAnsi="宋体" w:cs="宋体"/>
          <w:highlight w:val="none"/>
        </w:rPr>
        <w:t>动员引导广大职工群众围绕市委提出的“双学双比”活动和“项目落实年”、打苏区牌、走生态路，实施“六大战略”的部署，投身到新一轮经济发展热潮中。全市开展岗位练兵、技能比赛单位达120多个，参赛职工达1</w:t>
      </w:r>
      <w:r>
        <w:rPr>
          <w:rFonts w:hint="eastAsia" w:ascii="MingLiU_HKSCS" w:hAnsi="MingLiU_HKSCS" w:eastAsia="MingLiU_HKSCS" w:cs="MingLiU_HKSCS"/>
          <w:highlight w:val="none"/>
        </w:rPr>
        <w:t>.</w:t>
      </w:r>
      <w:r>
        <w:rPr>
          <w:rFonts w:hint="eastAsia" w:hAnsi="宋体" w:cs="宋体"/>
          <w:highlight w:val="none"/>
        </w:rPr>
        <w:t>2万人次。取得显著成绩。南雄市浈江电业有限责任公司生产技术部荣获广东省“工人先锋号”优胜班组称号；韶关市乐华陶瓷洁具有限公司机电办荣获韶关市“工人先锋号”称号；韶关市乐华陶瓷洁具有限公司荣获韶关市电焊技能竞赛优胜组织奖。</w:t>
      </w:r>
    </w:p>
    <w:p w14:paraId="24820587">
      <w:pPr>
        <w:pStyle w:val="4"/>
        <w:bidi w:val="0"/>
        <w:rPr>
          <w:rFonts w:hint="eastAsia"/>
          <w:highlight w:val="none"/>
        </w:rPr>
      </w:pPr>
      <w:r>
        <w:rPr>
          <w:rFonts w:hint="eastAsia"/>
          <w:highlight w:val="none"/>
        </w:rPr>
        <w:t>【劳模评选工作】</w:t>
      </w:r>
    </w:p>
    <w:p w14:paraId="440F571A">
      <w:pPr>
        <w:rPr>
          <w:rFonts w:hint="eastAsia" w:hAnsi="宋体" w:cs="宋体"/>
          <w:highlight w:val="none"/>
        </w:rPr>
      </w:pPr>
      <w:r>
        <w:rPr>
          <w:rFonts w:hint="eastAsia" w:hAnsi="宋体" w:cs="宋体"/>
          <w:highlight w:val="none"/>
        </w:rPr>
        <w:t>根据上级总工会要求，做好2015年全国和广东省劳动模范的推荐评选工作。通过在全市各行各业的劳动者中摸底排查，将最优秀的浈江电业有限责任公司职工李步荣、瑞晟化学工业有限公司职工钟燕凤分别推荐参与全国劳模和广东省劳模的评选，两位同志不负众望，李步荣同志荣获2015年“全国劳动模范”称号；钟艳凤同志荣获2015“广东省劳动模范”称号。并在2015年召开的南雄市庆“五一”国际劳动节会议上由市委、市政府进行隆重的表彰。会议同时表彰南雄市10个工会工作先进集体、20位工会工作先进个人、9名“双学双比”职工经济技术创新能手。</w:t>
      </w:r>
    </w:p>
    <w:p w14:paraId="77BEA986">
      <w:pPr>
        <w:pStyle w:val="4"/>
        <w:bidi w:val="0"/>
        <w:rPr>
          <w:rFonts w:hint="eastAsia"/>
          <w:highlight w:val="none"/>
        </w:rPr>
      </w:pPr>
      <w:r>
        <w:rPr>
          <w:rFonts w:hint="eastAsia"/>
          <w:highlight w:val="none"/>
        </w:rPr>
        <w:t>【创建和谐劳动关系】</w:t>
      </w:r>
    </w:p>
    <w:p w14:paraId="715DF17F">
      <w:pPr>
        <w:rPr>
          <w:rFonts w:hint="eastAsia" w:hAnsi="宋体" w:cs="宋体"/>
          <w:highlight w:val="none"/>
        </w:rPr>
      </w:pPr>
      <w:r>
        <w:rPr>
          <w:rFonts w:hint="eastAsia" w:hAnsi="宋体" w:cs="宋体"/>
          <w:highlight w:val="none"/>
        </w:rPr>
        <w:t>健全民主管理制度，切实保障职工知情权、参与权、表达权、监督权，维护职工的合法权益和女职工特殊权益，改善职工生产生活环境，促进劳动关系和谐企业建设，以职工队伍稳定促进社会稳定。推进工资集体协商。2015年，全市新签或续签区域性工资集体协商合同19份，行业性工资集体协商合同4份，覆盖企业391家。企业单独新签或续签工资集体协商合同58家。推进普法宣传。在乐华陶瓷、绿洲公司等较大企业开展送法进企业活动，现场接受职工法律咨询，使广大职工用法律武器维护自身合法权益的意识不断增强。开展“社会矛盾化解年”工作，对企业违反劳动用工、拖欠工资、欠缴社保费、转型兼并及停产关闭等引发不稳定问题进行排查。畅通职工群众诉求表达渠道，建立重大信息紧急报送制度。对职工群众诉求建立台账，做到件件有落实、事事有回音。做好劳动保护工作。2015年夏，在全市开展以“送清凉”为主题防暑降温和高温期间劳动保护工作，筹集资金12万元，深入企业50多家，慰问职工2000多人。开展“安康杯”竞赛活动，已建工会企业参赛率80%。改善企业安全生产环境，提高职工安全意识，保障职工生命安全和身体健康。韶能集团雄州水电有限公司荣获广东省“安康杯”竞赛优胜单位奖，总工会副主席朱冬平荣获全国“安康杯”竞赛活动广东省先进个人荣誉称号。</w:t>
      </w:r>
    </w:p>
    <w:p w14:paraId="3E2C3C02">
      <w:pPr>
        <w:pStyle w:val="4"/>
        <w:bidi w:val="0"/>
        <w:rPr>
          <w:rFonts w:hint="eastAsia"/>
          <w:highlight w:val="none"/>
        </w:rPr>
      </w:pPr>
      <w:r>
        <w:rPr>
          <w:rFonts w:hint="eastAsia"/>
          <w:highlight w:val="none"/>
        </w:rPr>
        <w:t>【帮扶服务】</w:t>
      </w:r>
    </w:p>
    <w:p w14:paraId="6DB7FF6B">
      <w:pPr>
        <w:rPr>
          <w:rFonts w:hint="eastAsia" w:hAnsi="宋体" w:cs="宋体"/>
          <w:highlight w:val="none"/>
        </w:rPr>
      </w:pPr>
      <w:r>
        <w:rPr>
          <w:rFonts w:hint="eastAsia" w:hAnsi="宋体" w:cs="宋体"/>
          <w:highlight w:val="none"/>
        </w:rPr>
        <w:t>在加强困难职工帮扶，满足职工群众多层次需求，送温暖、困难帮扶、金秋助学、技能培训、生活救助、医疗救助、女职工关爱行动等。开展传统节日“送温暖”活动。春节期间筹集资金23万元，慰问困难（特困）职工、困难劳模1256户</w:t>
      </w:r>
      <w:r>
        <w:rPr>
          <w:rFonts w:hint="eastAsia" w:hAnsi="宋体" w:cs="宋体"/>
          <w:highlight w:val="none"/>
          <w:lang w:eastAsia="zh-CN"/>
        </w:rPr>
        <w:t>（</w:t>
      </w:r>
      <w:r>
        <w:rPr>
          <w:rFonts w:hint="eastAsia" w:hAnsi="宋体" w:cs="宋体"/>
          <w:highlight w:val="none"/>
        </w:rPr>
        <w:t>人</w:t>
      </w:r>
      <w:r>
        <w:rPr>
          <w:rFonts w:hint="eastAsia" w:hAnsi="宋体" w:cs="宋体"/>
          <w:highlight w:val="none"/>
          <w:lang w:eastAsia="zh-CN"/>
        </w:rPr>
        <w:t>）</w:t>
      </w:r>
      <w:r>
        <w:rPr>
          <w:rFonts w:hint="eastAsia" w:hAnsi="宋体" w:cs="宋体"/>
          <w:highlight w:val="none"/>
        </w:rPr>
        <w:t>；端午、中秋佳节，筹资近10万元，给91户特困职工送上慰问金和慰问品，帮助他们解决生产生活中的实际困难。继续开展“金秋助学”活动，2015年全市53名困难学子受到资助，其中本科24人，每人发放助学金3000元；大专16人，每人2500元；技校或高中13人，每人1000元。扶助金额比2014年均有所增加。还给特困职工家庭和因病致贫家庭发放生活救助金和医疗救助金，三项救助金发放26万多元。开展农民工平安返乡和关爱留守农民工活动。筹集资金9</w:t>
      </w:r>
      <w:r>
        <w:rPr>
          <w:rFonts w:hint="eastAsia" w:ascii="MingLiU_HKSCS" w:hAnsi="MingLiU_HKSCS" w:eastAsia="MingLiU_HKSCS" w:cs="MingLiU_HKSCS"/>
          <w:highlight w:val="none"/>
        </w:rPr>
        <w:t>.</w:t>
      </w:r>
      <w:r>
        <w:rPr>
          <w:rFonts w:hint="eastAsia" w:hAnsi="宋体" w:cs="宋体"/>
          <w:highlight w:val="none"/>
        </w:rPr>
        <w:t>2万元，春节期间在国道G323线南雄收费站、南雄火车站设点开展“情暖外来工”志愿服务活动，为返乡农民工和留守农民工免费派发面包、八宝粥、矿泉水方便面等食品和饮料，给返乡外来工充饥解渴御寒，为平安返乡和留守农民工送温暖，提供优质服务。医疗救助取得实效。加大对省总发起的职工和女职工互助保障计划的推广力度。2015年，全市参加职工互助保障计划939人，投保金额1974万元；参加女职工互助保障计划591人，投保金额1678</w:t>
      </w:r>
      <w:r>
        <w:rPr>
          <w:rFonts w:hint="eastAsia" w:ascii="MingLiU_HKSCS" w:hAnsi="MingLiU_HKSCS" w:eastAsia="MingLiU_HKSCS" w:cs="MingLiU_HKSCS"/>
          <w:highlight w:val="none"/>
        </w:rPr>
        <w:t>.</w:t>
      </w:r>
      <w:r>
        <w:rPr>
          <w:rFonts w:hint="eastAsia" w:hAnsi="宋体" w:cs="宋体"/>
          <w:highlight w:val="none"/>
        </w:rPr>
        <w:t>5万元；参与住院二次报销综合互助保障857人。</w:t>
      </w:r>
    </w:p>
    <w:p w14:paraId="4907941E">
      <w:pPr>
        <w:pStyle w:val="4"/>
        <w:bidi w:val="0"/>
        <w:rPr>
          <w:rFonts w:hint="eastAsia"/>
          <w:highlight w:val="none"/>
        </w:rPr>
      </w:pPr>
      <w:r>
        <w:rPr>
          <w:rFonts w:hint="eastAsia"/>
          <w:highlight w:val="none"/>
        </w:rPr>
        <w:t>【女工工作】</w:t>
      </w:r>
    </w:p>
    <w:p w14:paraId="092DD487">
      <w:pPr>
        <w:rPr>
          <w:rFonts w:hint="eastAsia" w:hAnsi="宋体" w:cs="宋体"/>
          <w:highlight w:val="none"/>
        </w:rPr>
      </w:pPr>
      <w:r>
        <w:rPr>
          <w:rFonts w:hint="eastAsia" w:hAnsi="宋体" w:cs="宋体"/>
          <w:highlight w:val="none"/>
        </w:rPr>
        <w:t>已建会企事业单位有女职工的，都成立女职工组织或女职委员，实现女职工组织的全覆盖。全市各级女职工组织活力不断增强，动员各行各业女职工为全市经济社会发展做出新贡献。2015年，南雄市总工会女职工委员会被评为第五届（2009—2014年）广东省工会女职工工作先进集体；南雄市中医工会女职工委员会、韶关市乐华陶瓷洁具有限公司工会女职工委员会被评为第五届（2009—2014年）韶关市女职工工作先进集体；有3名女职工被评为第五届（2009—2014年）韶关市女职工工作先进工作者、3个女职工集体被为韶关市女职工文明岗、5名女职工被评为韶关市建功立业女能手。</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A10B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11FB578">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743710"/>
                  <wp:effectExtent l="0" t="0" r="8890" b="8890"/>
                  <wp:docPr id="59" name="图片 2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9" descr="4"/>
                          <pic:cNvPicPr>
                            <a:picLocks noChangeAspect="1"/>
                          </pic:cNvPicPr>
                        </pic:nvPicPr>
                        <pic:blipFill>
                          <a:blip r:embed="rId64"/>
                          <a:stretch>
                            <a:fillRect/>
                          </a:stretch>
                        </pic:blipFill>
                        <pic:spPr>
                          <a:xfrm>
                            <a:off x="0" y="0"/>
                            <a:ext cx="3420110" cy="1743710"/>
                          </a:xfrm>
                          <a:prstGeom prst="rect">
                            <a:avLst/>
                          </a:prstGeom>
                          <a:noFill/>
                          <a:ln>
                            <a:noFill/>
                          </a:ln>
                        </pic:spPr>
                      </pic:pic>
                    </a:graphicData>
                  </a:graphic>
                </wp:inline>
              </w:drawing>
            </w:r>
          </w:p>
        </w:tc>
      </w:tr>
      <w:tr w14:paraId="3FB1D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36A6510">
            <w:pPr>
              <w:jc w:val="center"/>
              <w:rPr>
                <w:rFonts w:hint="eastAsia" w:hAnsi="宋体" w:cs="宋体"/>
                <w:highlight w:val="none"/>
                <w:vertAlign w:val="baseline"/>
              </w:rPr>
            </w:pPr>
            <w:r>
              <w:rPr>
                <w:rFonts w:hint="eastAsia" w:hAnsi="宋体" w:cs="宋体"/>
                <w:highlight w:val="none"/>
                <w:vertAlign w:val="baseline"/>
              </w:rPr>
              <w:t>南雄市总工会2015年金秋助学启动仪式举行</w:t>
            </w:r>
          </w:p>
        </w:tc>
      </w:tr>
    </w:tbl>
    <w:p w14:paraId="78724355">
      <w:pPr>
        <w:pStyle w:val="4"/>
        <w:bidi w:val="0"/>
        <w:rPr>
          <w:rFonts w:hint="eastAsia"/>
          <w:highlight w:val="none"/>
        </w:rPr>
      </w:pPr>
      <w:r>
        <w:rPr>
          <w:rFonts w:hint="eastAsia"/>
          <w:highlight w:val="none"/>
        </w:rPr>
        <w:t>【职工书画大赛】</w:t>
      </w:r>
    </w:p>
    <w:p w14:paraId="175C792C">
      <w:pPr>
        <w:rPr>
          <w:rFonts w:hint="eastAsia" w:hAnsi="宋体" w:cs="宋体"/>
          <w:highlight w:val="none"/>
        </w:rPr>
      </w:pPr>
      <w:r>
        <w:rPr>
          <w:rFonts w:hint="eastAsia" w:hAnsi="宋体" w:cs="宋体"/>
          <w:highlight w:val="none"/>
        </w:rPr>
        <w:t>南雄市第二届职工书画大赛（展）得到全市各基层工会支持和广大干部职工的响应，征集参赛作品173幅。有119幅优秀作品参加展出。其中书法作品88幅，国画作品14幅，特邀作品17幅。参与展示的作品主题突出、体裁多样、立意新颖、弘扬“中国梦雄州情”的主旋律，展现广大干部职工的热情，让干部职工受到启迪和教育。大赛（展）结束后，出版《南雄市第二届职工书画大赛作品集》下发给各基层工会和参赛职工留念。</w:t>
      </w:r>
    </w:p>
    <w:p w14:paraId="68A12C48">
      <w:pPr>
        <w:pStyle w:val="4"/>
        <w:bidi w:val="0"/>
        <w:rPr>
          <w:rFonts w:hint="eastAsia"/>
          <w:highlight w:val="none"/>
        </w:rPr>
      </w:pPr>
      <w:r>
        <w:rPr>
          <w:rFonts w:hint="eastAsia"/>
          <w:highlight w:val="none"/>
        </w:rPr>
        <w:t>【职工活动中心建设】</w:t>
      </w:r>
    </w:p>
    <w:p w14:paraId="07D093B8">
      <w:pPr>
        <w:rPr>
          <w:rFonts w:hint="eastAsia" w:hAnsi="宋体" w:cs="宋体"/>
          <w:highlight w:val="none"/>
        </w:rPr>
      </w:pPr>
      <w:r>
        <w:rPr>
          <w:rFonts w:hint="eastAsia" w:hAnsi="宋体" w:cs="宋体"/>
          <w:highlight w:val="none"/>
        </w:rPr>
        <w:t>2015年“五一”前夕，南雄市总工会投资22万元建设一个集健身、娱乐、怡情、学习于一体职工活动中心，内设乒乓球室、扑克室、象棋室、麻将室、图书阅览室、书画室等，为广大职工朋友健身、娱乐、休闲增添一个好去处。（曾庆权）</w:t>
      </w:r>
    </w:p>
    <w:p w14:paraId="526229B6">
      <w:pPr>
        <w:rPr>
          <w:rFonts w:hint="eastAsia" w:hAnsi="宋体" w:cs="宋体"/>
          <w:highlight w:val="none"/>
        </w:rPr>
      </w:pPr>
      <w:r>
        <w:rPr>
          <w:rFonts w:hint="eastAsia" w:hAnsi="宋体" w:cs="宋体"/>
          <w:highlight w:val="none"/>
        </w:rPr>
        <w:t>附：2015年市总工会领导班子成员名单</w:t>
      </w:r>
    </w:p>
    <w:p w14:paraId="0C0A91E8">
      <w:pPr>
        <w:rPr>
          <w:rFonts w:hint="eastAsia" w:hAnsi="宋体" w:cs="宋体"/>
          <w:highlight w:val="none"/>
        </w:rPr>
      </w:pPr>
      <w:r>
        <w:rPr>
          <w:rFonts w:hint="eastAsia" w:hAnsi="宋体" w:cs="宋体"/>
          <w:highlight w:val="none"/>
        </w:rPr>
        <w:t>主席：张宗财（兼）</w:t>
      </w:r>
    </w:p>
    <w:p w14:paraId="3ECAD4F9">
      <w:pPr>
        <w:rPr>
          <w:rFonts w:hint="eastAsia" w:hAnsi="宋体" w:cs="宋体"/>
          <w:highlight w:val="none"/>
        </w:rPr>
      </w:pPr>
      <w:r>
        <w:rPr>
          <w:rFonts w:hint="eastAsia" w:hAnsi="宋体" w:cs="宋体"/>
          <w:highlight w:val="none"/>
        </w:rPr>
        <w:t>副主席：朱冬平 吴显娣</w:t>
      </w:r>
    </w:p>
    <w:p w14:paraId="1D68F574">
      <w:pPr>
        <w:pStyle w:val="3"/>
        <w:bidi w:val="0"/>
        <w:rPr>
          <w:rFonts w:hint="eastAsia"/>
          <w:highlight w:val="none"/>
        </w:rPr>
      </w:pPr>
      <w:r>
        <w:rPr>
          <w:rFonts w:hint="eastAsia"/>
          <w:highlight w:val="none"/>
        </w:rPr>
        <w:t>共青团南雄市委员会</w:t>
      </w:r>
    </w:p>
    <w:p w14:paraId="6A57803D">
      <w:pPr>
        <w:pStyle w:val="4"/>
        <w:bidi w:val="0"/>
        <w:rPr>
          <w:rFonts w:hint="eastAsia"/>
          <w:highlight w:val="none"/>
        </w:rPr>
      </w:pPr>
      <w:r>
        <w:rPr>
          <w:rFonts w:hint="eastAsia"/>
          <w:highlight w:val="none"/>
        </w:rPr>
        <w:t>【概况】</w:t>
      </w:r>
    </w:p>
    <w:p w14:paraId="5297A9D0">
      <w:pPr>
        <w:rPr>
          <w:rFonts w:hint="eastAsia" w:hAnsi="宋体" w:cs="宋体"/>
          <w:highlight w:val="none"/>
        </w:rPr>
      </w:pPr>
      <w:r>
        <w:rPr>
          <w:rFonts w:hint="eastAsia" w:hAnsi="宋体" w:cs="宋体"/>
          <w:highlight w:val="none"/>
        </w:rPr>
        <w:t>2015年共青团南雄市委围绕市委、市政府工作中心，坚持“学身边能人、学身边先进，比干事能力、比工作业绩”的方针，全市各级团组织携手同行，风雨兼程，把勇于担当的青春作为、造福青年的实际行动融入南雄全面加快“生态、富裕、文明、和谐”的粤北门户城市建设步伐中，扎实有序推进各项工作，取得较明显成效。</w:t>
      </w:r>
    </w:p>
    <w:p w14:paraId="436324E8">
      <w:pPr>
        <w:pStyle w:val="4"/>
        <w:bidi w:val="0"/>
        <w:rPr>
          <w:rFonts w:hint="eastAsia"/>
          <w:highlight w:val="none"/>
        </w:rPr>
      </w:pPr>
      <w:r>
        <w:rPr>
          <w:rFonts w:hint="eastAsia"/>
          <w:highlight w:val="none"/>
        </w:rPr>
        <w:t>【思想引领】</w:t>
      </w:r>
    </w:p>
    <w:p w14:paraId="1A15AF9C">
      <w:pPr>
        <w:rPr>
          <w:rFonts w:hint="eastAsia" w:hAnsi="宋体" w:cs="宋体"/>
          <w:highlight w:val="none"/>
        </w:rPr>
      </w:pPr>
      <w:r>
        <w:rPr>
          <w:rFonts w:hint="eastAsia" w:hAnsi="宋体" w:cs="宋体"/>
          <w:highlight w:val="none"/>
        </w:rPr>
        <w:t>做好广大青少年思想引领，扣好人生“第一粒扣子”。</w:t>
      </w:r>
    </w:p>
    <w:p w14:paraId="2B4A8D81">
      <w:pPr>
        <w:rPr>
          <w:rFonts w:hint="eastAsia" w:hAnsi="宋体" w:cs="宋体"/>
          <w:highlight w:val="none"/>
        </w:rPr>
      </w:pPr>
      <w:r>
        <w:rPr>
          <w:rFonts w:hint="eastAsia" w:hAnsi="宋体" w:cs="宋体"/>
          <w:highlight w:val="none"/>
        </w:rPr>
        <w:t>以新的“产品供给”，把广大青少年聚拢在党旗团旗下。通过开展“打苏区牌，走生态路——共青团在行动系列活动”“传承苏区精神、闪耀青春荣光”纪念五四运动青年座谈会等系列主题团日活动，以“青春情暖”“红领巾相约中国梦”“学雷锋活动月”“温暖回家路”“微公益骑行”“志愿者故事分享会”等活动为载体，牢牢抓住园区工人、青年团干，课堂学生、爱心志愿者、农村致富能手、创业青年、青年企业家等主群体，深入开展理想信念和社会主义核心价值观教育，实现思想引导从“内容供给”向“产品供给”转变，才能真正入心入脑。</w:t>
      </w:r>
    </w:p>
    <w:p w14:paraId="4C9BBEFB">
      <w:pPr>
        <w:rPr>
          <w:rFonts w:hint="eastAsia" w:hAnsi="宋体" w:cs="宋体"/>
          <w:highlight w:val="none"/>
        </w:rPr>
      </w:pPr>
      <w:r>
        <w:rPr>
          <w:rFonts w:hint="eastAsia" w:hAnsi="宋体" w:cs="宋体"/>
          <w:highlight w:val="none"/>
        </w:rPr>
        <w:t>注重运用新媒体出新“产品”，让“团找青年”变为“青年找团”。南雄团委以“南雄团委”官方微博、微信公众平台、QQ、微信群为主阵地，向青少年推送优质时尚的“产品”，引领青年的思想导向；依托网络宣传员队伍，开设《南雄青年微视》，精心制作一批反映南雄市城乡发展、旅游风光、国土宣传、乡村好青年、孝爱之星等内容的微视频，通过微信平台在网络传播，取得不错的效果；依托南雄市青年音乐协会，通过每周组织与青年朋友、音乐爱好者在南雄的风景名胜、文化圣地录制歌曲，并在优酷网上发布，“南雄团委”微信公众平台和微博传播，《每周一歌》吸引众多青年朋友参与拍摄和转发，发布音乐视频100期，引导和凝聚一大批青少年宣传南雄绿水青山，参与爱护环境，为美化和建设家乡尽责。</w:t>
      </w:r>
    </w:p>
    <w:p w14:paraId="26479C8A">
      <w:pPr>
        <w:rPr>
          <w:rFonts w:hint="eastAsia" w:hAnsi="宋体" w:cs="宋体"/>
          <w:highlight w:val="none"/>
        </w:rPr>
      </w:pPr>
      <w:r>
        <w:rPr>
          <w:rFonts w:hint="eastAsia" w:hAnsi="宋体" w:cs="宋体"/>
          <w:highlight w:val="none"/>
        </w:rPr>
        <w:t>以年轻人喜闻乐见、易于接受的方式发布团的信息、动员团的活动、开展团的服务项目，回应、帮助解决团员青年在微信群里反映诉求，对团员青年进行正确网络舆论引导，加强与团员青年联络、增进感情，开展网上网下互动活动，提升共青团活跃程度、影响指数和组织黏度，打造“指尖上的共青团”。在人民日报推出“政务指数排行榜（双微排行）”公布人民日报（韶关市）政务排行榜显示，从2015年3月1日至2015年7月26日有记录以来周排行榜，“南雄团委”官方微博、“南雄团委”公众微信平台运营得力表现出色，荣膺韶关地区每周排行榜第二名，并且在5—6月，“南雄团委”微信公众号还荣获广东共青团微信排行榜第二期县区团委第一名。</w:t>
      </w:r>
    </w:p>
    <w:p w14:paraId="145DD615">
      <w:pPr>
        <w:pStyle w:val="4"/>
        <w:bidi w:val="0"/>
        <w:rPr>
          <w:rFonts w:hint="eastAsia"/>
          <w:highlight w:val="none"/>
        </w:rPr>
      </w:pPr>
      <w:r>
        <w:rPr>
          <w:rFonts w:hint="eastAsia"/>
          <w:highlight w:val="none"/>
        </w:rPr>
        <w:t>【创新活动载体】</w:t>
      </w:r>
    </w:p>
    <w:p w14:paraId="0D432BEA">
      <w:pPr>
        <w:rPr>
          <w:rFonts w:hint="eastAsia" w:hAnsi="宋体" w:cs="宋体"/>
          <w:highlight w:val="none"/>
        </w:rPr>
      </w:pPr>
      <w:r>
        <w:rPr>
          <w:rFonts w:hint="eastAsia" w:hAnsi="宋体" w:cs="宋体"/>
          <w:highlight w:val="none"/>
        </w:rPr>
        <w:t>创新活动载体，让“有意义的事儿”变得“有意思”。在“五四”期间，该委举办唱响苏区精神共享美丽家园——“我是共青好声音”暨共建共享卫生文明南雄宣传音乐汇活动。本次“我是共青好声音”歌手大赛通过前期深入的宣传，在邻县、韶关学院与南雄遴选优秀歌手。最终，经过层层选拔，加上网络推荐的10名优秀选手站到决赛舞台上。在当晚的比赛，由通过“南雄团委”微信公众平台报名的大众评审及学生代表300人组成大众评审团进行现场打分</w:t>
      </w:r>
      <w:r>
        <w:rPr>
          <w:rFonts w:hint="eastAsia" w:hAnsi="宋体" w:cs="宋体"/>
          <w:highlight w:val="none"/>
          <w:lang w:eastAsia="zh-CN"/>
        </w:rPr>
        <w:t>，</w:t>
      </w:r>
      <w:r>
        <w:rPr>
          <w:rFonts w:hint="eastAsia" w:hAnsi="宋体" w:cs="宋体"/>
          <w:highlight w:val="none"/>
        </w:rPr>
        <w:t>决定选手名次。此外，晚会播放卫生文明城市宣传片，宣读创建卫生城市倡议书，穿插进行巩卫知识有奖问答环节，让更多人了解南雄巩卫工作，更好地维护环境卫生，养成良好卫生习惯。</w:t>
      </w:r>
    </w:p>
    <w:p w14:paraId="163F9C33">
      <w:pPr>
        <w:rPr>
          <w:rFonts w:hint="eastAsia" w:hAnsi="宋体" w:cs="宋体"/>
          <w:highlight w:val="none"/>
        </w:rPr>
      </w:pPr>
      <w:r>
        <w:rPr>
          <w:rFonts w:hint="eastAsia" w:hAnsi="宋体" w:cs="宋体"/>
          <w:highlight w:val="none"/>
        </w:rPr>
        <w:t>开展知识竞赛、演讲比赛活动。南雄团委举办“珍爱国土青年担当”和“党纪政纪法纪”2个主题的知识竞赛活动。</w:t>
      </w:r>
    </w:p>
    <w:p w14:paraId="06B09421">
      <w:pPr>
        <w:rPr>
          <w:rFonts w:hint="eastAsia" w:hAnsi="宋体" w:cs="宋体"/>
          <w:highlight w:val="none"/>
        </w:rPr>
      </w:pPr>
      <w:r>
        <w:rPr>
          <w:rFonts w:hint="eastAsia" w:hAnsi="宋体" w:cs="宋体"/>
          <w:highlight w:val="none"/>
        </w:rPr>
        <w:t>为增强广大基层干部群众，特别是青年团员珍惜爱护国土资源的责任意识和依法依规合理开发土地科学意识，南雄团委联合南雄市国土资源局共同举办第二届“珍爱国土青年担当”知识竞赛活动。此次知识竞赛是由南雄市18个镇、街的干部职工组成的18支代表队参赛，每队有两名选手参加。各镇（街）的镇长或分管国土的镇领导也参与答题，为参赛选手加分，现场气氛热烈。</w:t>
      </w:r>
    </w:p>
    <w:p w14:paraId="341AC836">
      <w:pPr>
        <w:rPr>
          <w:rFonts w:hint="eastAsia" w:hAnsi="宋体" w:cs="宋体"/>
          <w:highlight w:val="none"/>
        </w:rPr>
      </w:pPr>
      <w:r>
        <w:rPr>
          <w:rFonts w:hint="eastAsia" w:hAnsi="宋体" w:cs="宋体"/>
          <w:highlight w:val="none"/>
        </w:rPr>
        <w:t>为加强党纪政纪法纪教育，推动全市广大党员干部、青年干部增强法纪观念和廉洁意识，8月，市纪委、共青团南雄市委共同举办南雄市党纪政纪法纪知识竞赛，来自18个镇（街道）和各战线的党员干部组成23支队伍参加比赛</w:t>
      </w:r>
      <w:r>
        <w:rPr>
          <w:rFonts w:hint="eastAsia" w:hAnsi="宋体" w:cs="宋体"/>
          <w:highlight w:val="none"/>
          <w:lang w:eastAsia="zh-CN"/>
        </w:rPr>
        <w:t>，</w:t>
      </w:r>
      <w:r>
        <w:rPr>
          <w:rFonts w:hint="eastAsia" w:hAnsi="宋体" w:cs="宋体"/>
          <w:highlight w:val="none"/>
        </w:rPr>
        <w:t>23支队伍经过激烈的角逐，最终有6支代表队成功突围晋级决赛；并从所有参赛队员中选拔优秀队员代表韶关市参加广东省首届“廉洁火炬杯”知识竞赛，并获得第二名的优异成绩。</w:t>
      </w:r>
    </w:p>
    <w:p w14:paraId="61A33CE5">
      <w:pPr>
        <w:rPr>
          <w:rFonts w:hint="eastAsia" w:hAnsi="宋体" w:cs="宋体"/>
          <w:highlight w:val="none"/>
        </w:rPr>
      </w:pPr>
      <w:r>
        <w:rPr>
          <w:rFonts w:hint="eastAsia" w:hAnsi="宋体" w:cs="宋体"/>
          <w:highlight w:val="none"/>
        </w:rPr>
        <w:t>为巩固和拓展党的群众路线教育实践活动成果，在全市上下形成比、学、赶、超的良好氛围，市委组织部与该委共同举行“双学双比”演讲比赛，展示南雄市干部职工积极向上、激情干事的精神风貌。</w:t>
      </w:r>
    </w:p>
    <w:p w14:paraId="18DCDD01">
      <w:pPr>
        <w:rPr>
          <w:rFonts w:hint="eastAsia" w:hAnsi="宋体" w:cs="宋体"/>
          <w:highlight w:val="none"/>
        </w:rPr>
      </w:pPr>
      <w:r>
        <w:rPr>
          <w:rFonts w:hint="eastAsia" w:hAnsi="宋体" w:cs="宋体"/>
          <w:highlight w:val="none"/>
        </w:rPr>
        <w:t>举办30多场“姓氏名都风雅颂之青春风采”系列主题晚会。为弘扬南雄优秀传统文化，传播现代文明理念，丰富群众文化生活，展现姓氏名都风采，活跃南雄青年的音乐氛围，引领青年时尚娱乐方式，该委于每周五晚上在广州会馆举办“姓氏名都风雅颂之青春风采”主题晚会。目前，该委举办“大学生回来了”“不愿说再见”“异乡情歌夜”等青春风采主题晚会30多期，主题晚会的持续举办，不仅活跃南雄市青年的文化艺术氛围，也为该市为青年音乐爱好者提供一个交流的平台，集中展示新时期南雄团员青年朝气蓬勃、奋发有为的精神风貌。</w:t>
      </w:r>
    </w:p>
    <w:p w14:paraId="3BEFE4DF">
      <w:pPr>
        <w:pStyle w:val="4"/>
        <w:bidi w:val="0"/>
        <w:rPr>
          <w:rFonts w:hint="eastAsia"/>
          <w:highlight w:val="none"/>
        </w:rPr>
      </w:pPr>
      <w:r>
        <w:rPr>
          <w:rFonts w:hint="eastAsia"/>
          <w:highlight w:val="none"/>
        </w:rPr>
        <w:t>【志愿活动】</w:t>
      </w:r>
    </w:p>
    <w:p w14:paraId="267E0C63">
      <w:pPr>
        <w:rPr>
          <w:rFonts w:hint="eastAsia" w:hAnsi="宋体" w:cs="宋体"/>
          <w:highlight w:val="none"/>
        </w:rPr>
      </w:pPr>
      <w:r>
        <w:rPr>
          <w:rFonts w:hint="eastAsia" w:hAnsi="宋体" w:cs="宋体"/>
          <w:highlight w:val="none"/>
        </w:rPr>
        <w:t>坚持在志愿服务事业上“做功课”，用志愿者的微笑擦亮“中央苏区县”这块“金字招牌”。</w:t>
      </w:r>
    </w:p>
    <w:p w14:paraId="09548ADB">
      <w:pPr>
        <w:rPr>
          <w:rFonts w:hint="eastAsia" w:hAnsi="宋体" w:cs="宋体"/>
          <w:highlight w:val="none"/>
        </w:rPr>
      </w:pPr>
      <w:r>
        <w:rPr>
          <w:rFonts w:hint="eastAsia" w:hAnsi="宋体" w:cs="宋体"/>
          <w:highlight w:val="none"/>
        </w:rPr>
        <w:t>开展关爱留守儿童和农民工子女活动，为青少年送上“幸福大礼包”。通过开展“温暖小手情暖南雄”微公益骑行、“朝阳行动——关爱农民工子女行动”和希望家园“爱心小鸟巢”、“青春情暖”、“大手牵小手”系列活动，深入开展关爱留守儿童活动。同时，在团省委、团韶关市委的关心支持下，新建1间幸福厨房与3间希望家园，全市目前共建立11所希望家园和3家幸福厨房。</w:t>
      </w:r>
    </w:p>
    <w:p w14:paraId="0FC02BF4">
      <w:pPr>
        <w:rPr>
          <w:rFonts w:hint="eastAsia" w:hAnsi="宋体" w:cs="宋体"/>
          <w:highlight w:val="none"/>
        </w:rPr>
      </w:pPr>
      <w:r>
        <w:rPr>
          <w:rFonts w:hint="eastAsia" w:hAnsi="宋体" w:cs="宋体"/>
          <w:highlight w:val="none"/>
        </w:rPr>
        <w:t>开展关爱活动，让弱势群体“抱团取暖”。在中秋节前夕，南雄团委整合社会资源，调动社会各界青年力量，大家慷慨解囊，筹集24桶食用油、24箱牛奶，200多盒月饼等一批物资走进湖口镇和黄坑镇，对留守儿童和孤寡老人开展慰问，让他们度过一个快乐难忘的中秋佳节。在敬老院，南雄团委组织青年志愿者为老人们包饺子、送医送药，给老人表演节目，让他们感受到来自党和政府的关怀和社会大家庭的温暖。</w:t>
      </w:r>
    </w:p>
    <w:p w14:paraId="03CA11D4">
      <w:pPr>
        <w:rPr>
          <w:rFonts w:hint="eastAsia" w:hAnsi="宋体" w:cs="宋体"/>
          <w:highlight w:val="none"/>
        </w:rPr>
      </w:pPr>
      <w:r>
        <w:rPr>
          <w:rFonts w:hint="eastAsia" w:hAnsi="宋体" w:cs="宋体"/>
          <w:highlight w:val="none"/>
        </w:rPr>
        <w:t>在“学雷锋”活动上“下功夫”。在春运期间，为帮助外出务工人员平安、顺利返乡，南雄团委联合南雄大学生联合会、南雄市青年志愿者协会组织100多名青年志愿者在南雄客运总站、南雄火车站开展为期4天的“温暖回家路”主题服务活动。</w:t>
      </w:r>
    </w:p>
    <w:p w14:paraId="5495C4F2">
      <w:pPr>
        <w:rPr>
          <w:rFonts w:hint="eastAsia" w:hAnsi="宋体" w:cs="宋体"/>
          <w:highlight w:val="none"/>
        </w:rPr>
      </w:pPr>
      <w:r>
        <w:rPr>
          <w:rFonts w:hint="eastAsia" w:hAnsi="宋体" w:cs="宋体"/>
          <w:highlight w:val="none"/>
        </w:rPr>
        <w:t>“南雄市2015年学雷锋集中服务活动”中，团市委、市青年志愿者协会组织动员全市20多个单位、公益组织，3000多名志愿者走上街头，集中开展免费理发、宣传咨询、医疗卫生、义务修理、科技传播、法律援助、城市清洁等各种便民利民服务活动。</w:t>
      </w:r>
    </w:p>
    <w:p w14:paraId="4C1A9C7C">
      <w:pPr>
        <w:rPr>
          <w:rFonts w:hint="eastAsia" w:hAnsi="宋体" w:cs="宋体"/>
          <w:highlight w:val="none"/>
        </w:rPr>
      </w:pPr>
      <w:r>
        <w:rPr>
          <w:rFonts w:hint="eastAsia" w:hAnsi="宋体" w:cs="宋体"/>
          <w:highlight w:val="none"/>
        </w:rPr>
        <w:t>国庆“黄金周”期间，志愿者们牺牲自己的休息时间，用热情和行动迎接来南雄旅游的客人。他们给游客提供旅游咨询、道路指引、环境维护等公益服务。</w:t>
      </w:r>
    </w:p>
    <w:p w14:paraId="75B150F7">
      <w:pPr>
        <w:rPr>
          <w:rFonts w:hint="eastAsia" w:hAnsi="宋体" w:cs="宋体"/>
          <w:highlight w:val="none"/>
        </w:rPr>
      </w:pPr>
      <w:r>
        <w:rPr>
          <w:rFonts w:hint="eastAsia" w:hAnsi="宋体" w:cs="宋体"/>
          <w:highlight w:val="none"/>
        </w:rPr>
        <w:t>南雄迎接省卫生城市考核，巩固创卫成果时，他们现身三影塔广场，火车、汽车站，大润发广场等人群较多的地方劝导市民不要在公共场所吸烟，注意环境卫生，爱护花草。南雄顺利通过省卫生城市考核。</w:t>
      </w:r>
    </w:p>
    <w:p w14:paraId="6BF8A153">
      <w:pPr>
        <w:rPr>
          <w:rFonts w:hint="eastAsia" w:hAnsi="宋体" w:cs="宋体"/>
          <w:highlight w:val="none"/>
        </w:rPr>
      </w:pPr>
      <w:r>
        <w:rPr>
          <w:rFonts w:hint="eastAsia" w:hAnsi="宋体" w:cs="宋体"/>
          <w:highlight w:val="none"/>
        </w:rPr>
        <w:t>南雄市第二届姓氏文化旅游节活动中，他们顶着烈日，用最美微笑为3000多名来自海内外、珠三角等地珠玑巷后裔提供线路咨询、乘车服务、介绍南雄文化、现场活动礼仪等志愿服务，展现南雄文明新形象。</w:t>
      </w:r>
    </w:p>
    <w:p w14:paraId="713FB9C8">
      <w:pPr>
        <w:pStyle w:val="4"/>
        <w:bidi w:val="0"/>
        <w:rPr>
          <w:rFonts w:hint="eastAsia"/>
          <w:highlight w:val="none"/>
        </w:rPr>
      </w:pPr>
      <w:r>
        <w:rPr>
          <w:rFonts w:hint="eastAsia"/>
          <w:highlight w:val="none"/>
        </w:rPr>
        <w:t>【维护青少年权益】</w:t>
      </w:r>
    </w:p>
    <w:p w14:paraId="33432137">
      <w:pPr>
        <w:rPr>
          <w:rFonts w:hint="eastAsia" w:hAnsi="宋体" w:cs="宋体"/>
          <w:highlight w:val="none"/>
        </w:rPr>
      </w:pPr>
      <w:r>
        <w:rPr>
          <w:rFonts w:hint="eastAsia" w:hAnsi="宋体" w:cs="宋体"/>
          <w:highlight w:val="none"/>
        </w:rPr>
        <w:t>始终把维护青少年合法权益放在心上，让青年成长成才“更给力”。</w:t>
      </w:r>
    </w:p>
    <w:p w14:paraId="234B2F8C">
      <w:pPr>
        <w:rPr>
          <w:rFonts w:hint="eastAsia" w:hAnsi="宋体" w:cs="宋体"/>
          <w:highlight w:val="none"/>
        </w:rPr>
      </w:pPr>
      <w:r>
        <w:rPr>
          <w:rFonts w:hint="eastAsia" w:hAnsi="宋体" w:cs="宋体"/>
          <w:highlight w:val="none"/>
        </w:rPr>
        <w:t>在未成年人保护和预防青少年犯罪上“花心思”。6月，为增强青少年的法治意识，推动青少年法制教育工作扎实开展，结合广东省强力推进“一村（社区）一法律顾问”和南雄市建设“法治南雄”等战略工作部署，围绕建设社会主义法治国家的目标任务，南雄团委联合市司法局、市人民检察院、市人民法院乌迳法庭、黄坑镇团委等单位在黄坑中学开展“送法进校园”系列活动。</w:t>
      </w:r>
    </w:p>
    <w:p w14:paraId="12C59BD6">
      <w:pPr>
        <w:rPr>
          <w:rFonts w:hint="eastAsia" w:hAnsi="宋体" w:cs="宋体"/>
          <w:highlight w:val="none"/>
        </w:rPr>
      </w:pPr>
      <w:r>
        <w:rPr>
          <w:rFonts w:hint="eastAsia" w:hAnsi="宋体" w:cs="宋体"/>
          <w:highlight w:val="none"/>
        </w:rPr>
        <w:t>活动第一场通过开展题为“社会稳定主要靠德治还是法治”的辩论赛，让学生在思辨的过程中，明理；在交锋中，提升。第二场是开展“模拟法庭”活动，模拟审判一起因偷吃具有科研价值的葡萄而被检察院提起公诉的案例，以直观生动的表演，将学生们带入到法庭严肃庄重的审判中。第三场邀请到驻村律师开设法律大讲堂。在“6·26国际禁毒日”到来之际，围绕“珍爱生命，远离毒品”用真实的数据和鲜活的案例给学生们详细阐述毒品的来源和危害。</w:t>
      </w:r>
    </w:p>
    <w:p w14:paraId="484889A3">
      <w:pPr>
        <w:rPr>
          <w:rFonts w:hint="eastAsia" w:hAnsi="宋体" w:cs="宋体"/>
          <w:highlight w:val="none"/>
        </w:rPr>
      </w:pPr>
      <w:r>
        <w:rPr>
          <w:rFonts w:hint="eastAsia" w:hAnsi="宋体" w:cs="宋体"/>
          <w:highlight w:val="none"/>
        </w:rPr>
        <w:t>为优秀大学生组织“搭台”。为宣传南雄旅游文化、旅游景点，丰富大学生和高三应届毕业生暑期生活，让更多的市民了解现在大学生的激情与风采。暑假期间，南雄团委联合南雄市大学生联合会20多名在校大学生和高三毕业生走进珠玑古巷举行“奔跑在南雄之‘梦回珠玑，古巷寻根’大学生真人秀节目”。该活动主要是通过两组拥有无比青春活力的大学生参赛选手进行限时通关游戏，游戏主要包括一起来学采茶戏、水的传递、手有千千结、你画我来猜等，不同游戏在珠玑古巷不同景点中分别进行，游戏融入南雄特色民间艺术、游客互动、团队协助以及抽奖等多样化元素。</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A5F9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5A19BF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31390"/>
                  <wp:effectExtent l="0" t="0" r="8890" b="16510"/>
                  <wp:docPr id="60" name="图片 2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10" descr="5"/>
                          <pic:cNvPicPr>
                            <a:picLocks noChangeAspect="1"/>
                          </pic:cNvPicPr>
                        </pic:nvPicPr>
                        <pic:blipFill>
                          <a:blip r:embed="rId65"/>
                          <a:stretch>
                            <a:fillRect/>
                          </a:stretch>
                        </pic:blipFill>
                        <pic:spPr>
                          <a:xfrm>
                            <a:off x="0" y="0"/>
                            <a:ext cx="3420110" cy="2231390"/>
                          </a:xfrm>
                          <a:prstGeom prst="rect">
                            <a:avLst/>
                          </a:prstGeom>
                          <a:noFill/>
                          <a:ln>
                            <a:noFill/>
                          </a:ln>
                        </pic:spPr>
                      </pic:pic>
                    </a:graphicData>
                  </a:graphic>
                </wp:inline>
              </w:drawing>
            </w:r>
          </w:p>
        </w:tc>
      </w:tr>
      <w:tr w14:paraId="10251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37BB489">
            <w:pPr>
              <w:jc w:val="center"/>
              <w:rPr>
                <w:rFonts w:hint="eastAsia" w:hAnsi="宋体" w:cs="宋体"/>
                <w:highlight w:val="none"/>
                <w:vertAlign w:val="baseline"/>
              </w:rPr>
            </w:pPr>
            <w:r>
              <w:rPr>
                <w:rFonts w:hint="eastAsia" w:hAnsi="宋体" w:cs="宋体"/>
                <w:highlight w:val="none"/>
                <w:vertAlign w:val="baseline"/>
              </w:rPr>
              <w:t>唱响苏区精神共享美丽家园音乐汇</w:t>
            </w:r>
          </w:p>
        </w:tc>
      </w:tr>
    </w:tbl>
    <w:p w14:paraId="00E96EC8">
      <w:pPr>
        <w:rPr>
          <w:rFonts w:hint="eastAsia" w:hAnsi="宋体" w:cs="宋体"/>
          <w:highlight w:val="none"/>
        </w:rPr>
      </w:pPr>
      <w:r>
        <w:rPr>
          <w:rFonts w:hint="eastAsia" w:hAnsi="宋体" w:cs="宋体"/>
          <w:highlight w:val="none"/>
        </w:rPr>
        <w:t>助力青年“梦想开花”。为提高大学生村官政策理论水平和业务素质，拓宽大学生村官创业渠道，南雄市委组织部、南雄团委开设大学生村官培训班。此次培训采取课堂教学与实地考察相结合的方式进行，既安排理论水平较高的专家进行专题辅导，又安排实践经验丰富的市内有关部门领导进行业务讲座；既安排实地参观考察，又安排经验交流学习。年轻的村官们通过此次培训，提高做好农村工作的理论水平和业务能力，掌握新的创业思路，为日后的就业和创业道路打下良好基础。（王昊）</w:t>
      </w:r>
    </w:p>
    <w:p w14:paraId="70DCFE22">
      <w:pPr>
        <w:rPr>
          <w:rFonts w:hint="eastAsia" w:hAnsi="宋体" w:cs="宋体"/>
          <w:highlight w:val="none"/>
        </w:rPr>
      </w:pPr>
      <w:r>
        <w:rPr>
          <w:rFonts w:hint="eastAsia" w:hAnsi="宋体" w:cs="宋体"/>
          <w:highlight w:val="none"/>
        </w:rPr>
        <w:t>附：2015年市团委领导班子成员名单</w:t>
      </w:r>
    </w:p>
    <w:p w14:paraId="6088E8EF">
      <w:pPr>
        <w:rPr>
          <w:rFonts w:hint="eastAsia" w:hAnsi="宋体" w:cs="宋体"/>
          <w:highlight w:val="none"/>
        </w:rPr>
      </w:pPr>
      <w:r>
        <w:rPr>
          <w:rFonts w:hint="eastAsia" w:hAnsi="宋体" w:cs="宋体"/>
          <w:highlight w:val="none"/>
        </w:rPr>
        <w:t>书记：叶邱婷</w:t>
      </w:r>
    </w:p>
    <w:p w14:paraId="5A812F3F">
      <w:pPr>
        <w:rPr>
          <w:rFonts w:hint="eastAsia" w:hAnsi="宋体" w:cs="宋体"/>
          <w:highlight w:val="none"/>
        </w:rPr>
      </w:pPr>
      <w:r>
        <w:rPr>
          <w:rFonts w:hint="eastAsia" w:hAnsi="宋体" w:cs="宋体"/>
          <w:highlight w:val="none"/>
        </w:rPr>
        <w:t>副书记：朱宣华</w:t>
      </w:r>
    </w:p>
    <w:p w14:paraId="4BC80920">
      <w:pPr>
        <w:pStyle w:val="3"/>
        <w:bidi w:val="0"/>
        <w:rPr>
          <w:rFonts w:hint="eastAsia"/>
          <w:highlight w:val="none"/>
        </w:rPr>
      </w:pPr>
      <w:r>
        <w:rPr>
          <w:rFonts w:hint="eastAsia"/>
          <w:highlight w:val="none"/>
        </w:rPr>
        <w:t>妇女联合会</w:t>
      </w:r>
    </w:p>
    <w:p w14:paraId="2DD5F9CF">
      <w:pPr>
        <w:pStyle w:val="4"/>
        <w:bidi w:val="0"/>
        <w:rPr>
          <w:rFonts w:hint="eastAsia"/>
          <w:highlight w:val="none"/>
        </w:rPr>
      </w:pPr>
      <w:r>
        <w:rPr>
          <w:rFonts w:hint="eastAsia"/>
          <w:highlight w:val="none"/>
        </w:rPr>
        <w:t>【概况】</w:t>
      </w:r>
    </w:p>
    <w:p w14:paraId="75B3217D">
      <w:pPr>
        <w:rPr>
          <w:rFonts w:hint="eastAsia" w:hAnsi="宋体" w:cs="宋体"/>
          <w:highlight w:val="none"/>
        </w:rPr>
      </w:pPr>
      <w:r>
        <w:rPr>
          <w:rFonts w:hint="eastAsia" w:hAnsi="宋体" w:cs="宋体"/>
          <w:highlight w:val="none"/>
        </w:rPr>
        <w:t>市妇女联合会为正科级群众团体，内设3个部门（综合部、权益部，市妇女儿童工作委员会），人员编制5名，其中领导职数3名（1正2副），其他干部1名，工人1名。</w:t>
      </w:r>
    </w:p>
    <w:p w14:paraId="58EBDB32">
      <w:pPr>
        <w:pStyle w:val="4"/>
        <w:bidi w:val="0"/>
        <w:rPr>
          <w:rFonts w:hint="eastAsia"/>
          <w:highlight w:val="none"/>
        </w:rPr>
      </w:pPr>
      <w:r>
        <w:rPr>
          <w:rFonts w:hint="eastAsia"/>
          <w:highlight w:val="none"/>
        </w:rPr>
        <w:t>【小额信贷服务】</w:t>
      </w:r>
    </w:p>
    <w:p w14:paraId="243B3523">
      <w:pPr>
        <w:rPr>
          <w:rFonts w:hint="eastAsia" w:hAnsi="宋体" w:cs="宋体"/>
          <w:highlight w:val="none"/>
        </w:rPr>
      </w:pPr>
      <w:r>
        <w:rPr>
          <w:rFonts w:hint="eastAsia" w:hAnsi="宋体" w:cs="宋体"/>
          <w:highlight w:val="none"/>
        </w:rPr>
        <w:t>印制发放享受小额担保贴息贷款相关宣传资料10000余份；5月19日举办南雄市“小额担保贷款”业务工作培训班，培训各镇（街道）妇联主席、副主席，妇女创业代表30人。共有24户获取担保贷款，总额120万元。</w:t>
      </w:r>
    </w:p>
    <w:p w14:paraId="6305AB57">
      <w:pPr>
        <w:pStyle w:val="4"/>
        <w:bidi w:val="0"/>
        <w:rPr>
          <w:rFonts w:hint="eastAsia"/>
          <w:highlight w:val="none"/>
        </w:rPr>
      </w:pPr>
      <w:r>
        <w:rPr>
          <w:rFonts w:hint="eastAsia"/>
          <w:highlight w:val="none"/>
        </w:rPr>
        <w:t>【增强农村妇女致富本领行动】</w:t>
      </w:r>
    </w:p>
    <w:p w14:paraId="2E25FADC">
      <w:pPr>
        <w:rPr>
          <w:rFonts w:hint="eastAsia" w:hAnsi="宋体" w:cs="宋体"/>
          <w:highlight w:val="none"/>
        </w:rPr>
      </w:pPr>
      <w:r>
        <w:rPr>
          <w:rFonts w:hint="eastAsia" w:hAnsi="宋体" w:cs="宋体"/>
          <w:highlight w:val="none"/>
        </w:rPr>
        <w:t>4月，推荐南雄市优秀创业女农民刘炳作为女能手典型，并成功申报中国科协和财政部开展的科普惠农计划项目，刘炳养殖基地成为韶关市科普示范基地。6月，选送全国巾帼建功标兵周凤梅等9名“双学双比”女能手参加省妇联、省农业厅在韶关联合举办的广东省农村巾帼实用人才培训班。12月，市妇联选送该市刘炳、何彩英、郭美秀、周凤梅、周济燕、赵红妹等6名创业妇女到韶关市广播电视大学参加基层妇女创业（电子商务）培训班学习；经南雄市妇联推荐，12月，创业妇女刘炳被广东省女子职业学院录取为初创企业培训班学员。7月，利用“妇女之家”活动阵地，结合实际，联合南雄市农业局举办农技培训，重点对具有劳动能力和一定文化素质，有意愿从事二、三产业，并有脱贫致富积极性的农民进行培训。</w:t>
      </w:r>
    </w:p>
    <w:p w14:paraId="099093B9">
      <w:pPr>
        <w:pStyle w:val="4"/>
        <w:bidi w:val="0"/>
        <w:rPr>
          <w:rFonts w:hint="eastAsia"/>
          <w:highlight w:val="none"/>
        </w:rPr>
      </w:pPr>
      <w:r>
        <w:rPr>
          <w:rFonts w:hint="eastAsia"/>
          <w:highlight w:val="none"/>
        </w:rPr>
        <w:t>【妇女健康服务】</w:t>
      </w:r>
    </w:p>
    <w:p w14:paraId="07FA627B">
      <w:pPr>
        <w:rPr>
          <w:rFonts w:hint="eastAsia" w:hAnsi="宋体" w:cs="宋体"/>
          <w:highlight w:val="none"/>
        </w:rPr>
      </w:pPr>
      <w:r>
        <w:rPr>
          <w:rFonts w:hint="eastAsia" w:hAnsi="宋体" w:cs="宋体"/>
          <w:highlight w:val="none"/>
        </w:rPr>
        <w:t>关爱女性健康，南雄第二中学和黄坑中学举办以“关注青春期健康——快乐成长每一天”为主题的知识专题讲座，有600多名女生参加听课。</w:t>
      </w:r>
    </w:p>
    <w:p w14:paraId="75D3704E">
      <w:pPr>
        <w:pStyle w:val="4"/>
        <w:bidi w:val="0"/>
        <w:rPr>
          <w:rFonts w:hint="eastAsia"/>
          <w:highlight w:val="none"/>
        </w:rPr>
      </w:pPr>
      <w:r>
        <w:rPr>
          <w:rFonts w:hint="eastAsia"/>
          <w:highlight w:val="none"/>
        </w:rPr>
        <w:t>【扶贫助困服务】</w:t>
      </w:r>
    </w:p>
    <w:p w14:paraId="38834899">
      <w:pPr>
        <w:rPr>
          <w:rFonts w:hint="eastAsia" w:hAnsi="宋体" w:cs="宋体"/>
          <w:highlight w:val="none"/>
        </w:rPr>
      </w:pPr>
      <w:r>
        <w:rPr>
          <w:rFonts w:hint="eastAsia" w:hAnsi="宋体" w:cs="宋体"/>
          <w:highlight w:val="none"/>
        </w:rPr>
        <w:t>资助贫困妇女儿童治病25人，资助孤儿、纯女户、独生子女户、贫困学生以及贫困残疾家庭子女读书160余人，资助金额70余万元；争取社会资助，该市有3名“两癌”妇女患者获得省红十字会慰问，慰问金与慰问品15862元，2名“两癌”妇女患者与20名困境儿童获得韶关市妇联慰问，慰问金10000元；4名困境学生每人获得1000元韶关海纳装饰公司员工的爱心捐助；25名困境儿童得到香港爱心人士的资助，资助24000元。</w:t>
      </w:r>
    </w:p>
    <w:p w14:paraId="509647A4">
      <w:pPr>
        <w:pStyle w:val="4"/>
        <w:bidi w:val="0"/>
        <w:rPr>
          <w:rFonts w:hint="eastAsia"/>
          <w:highlight w:val="none"/>
        </w:rPr>
      </w:pPr>
      <w:r>
        <w:rPr>
          <w:rFonts w:hint="eastAsia"/>
          <w:highlight w:val="none"/>
        </w:rPr>
        <w:t>【保护妇女儿童权益】</w:t>
      </w:r>
    </w:p>
    <w:p w14:paraId="79E8281B">
      <w:pPr>
        <w:rPr>
          <w:rFonts w:hint="eastAsia" w:hAnsi="宋体" w:cs="宋体"/>
          <w:highlight w:val="none"/>
        </w:rPr>
      </w:pPr>
      <w:r>
        <w:rPr>
          <w:rFonts w:hint="eastAsia" w:hAnsi="宋体" w:cs="宋体"/>
          <w:highlight w:val="none"/>
        </w:rPr>
        <w:t>南雄市妇联及全市各镇、街妇联主席20人参加韶关市妇联举办的全市妇联系统维权干部及志愿者培训。维护妇女儿童的合法权益是妇联组织的天职，2015年接待来信来访65件，办结率100%；参与陪审案件23件，其中涉及妇女儿童合法权益案件16件。</w:t>
      </w:r>
    </w:p>
    <w:p w14:paraId="2F4EF025">
      <w:pPr>
        <w:pStyle w:val="4"/>
        <w:bidi w:val="0"/>
        <w:rPr>
          <w:rFonts w:hint="eastAsia"/>
          <w:highlight w:val="none"/>
        </w:rPr>
      </w:pPr>
      <w:r>
        <w:rPr>
          <w:rFonts w:hint="eastAsia"/>
          <w:highlight w:val="none"/>
        </w:rPr>
        <w:t>【开展“平安家庭”创建活动】</w:t>
      </w:r>
    </w:p>
    <w:p w14:paraId="1B53C4A0">
      <w:pPr>
        <w:rPr>
          <w:rFonts w:hint="eastAsia" w:hAnsi="宋体" w:cs="宋体"/>
          <w:highlight w:val="none"/>
        </w:rPr>
      </w:pPr>
      <w:r>
        <w:rPr>
          <w:rFonts w:hint="eastAsia" w:hAnsi="宋体" w:cs="宋体"/>
          <w:highlight w:val="none"/>
        </w:rPr>
        <w:t>5月29日，开展以“共同创建和谐家园，携手打造平安南雄”为主题的宣传活动，活动派发相关宣传资料近1500份，宣传环保小礼包200个。向全市广大家庭发出争创“平安家庭”的承诺书。</w:t>
      </w:r>
    </w:p>
    <w:p w14:paraId="065CA194">
      <w:pPr>
        <w:pStyle w:val="4"/>
        <w:bidi w:val="0"/>
        <w:rPr>
          <w:rFonts w:hint="eastAsia"/>
          <w:highlight w:val="none"/>
        </w:rPr>
      </w:pPr>
      <w:r>
        <w:rPr>
          <w:rFonts w:hint="eastAsia"/>
          <w:highlight w:val="none"/>
        </w:rPr>
        <w:t>【举行“三八”主题活动】</w:t>
      </w:r>
    </w:p>
    <w:p w14:paraId="4A86D462">
      <w:pPr>
        <w:rPr>
          <w:rFonts w:hint="eastAsia" w:hAnsi="宋体" w:cs="宋体"/>
          <w:highlight w:val="none"/>
        </w:rPr>
      </w:pPr>
      <w:r>
        <w:rPr>
          <w:rFonts w:hint="eastAsia" w:hAnsi="宋体" w:cs="宋体"/>
          <w:highlight w:val="none"/>
        </w:rPr>
        <w:t>组织室外宣传活动。3月6日，南雄市妇联联合市妇幼保健院、司法局等相关单位开展“建设法治南雄巾帼在行动”庆“三八”国际劳动妇女节105周年活动暨妇女法律宣传、咨询服务、义诊等活动。活动现场共为过往群众发放各类有关女性维权的宣传资料，包括《宪法知识》《法律援助》《公证知识简介》等宣传资料1500余份，“反对家庭暴力共建和谐家庭”宣传环保袋500个、宣传围裙300个，前来咨询的妇女群众达500多人次；开展“双学双比”“巾帼建功”评选表彰活动。“三八”期间，表彰2014年度“巾帼建功”先进个人18名、“双学双比”女能手48名。开展巾帼志愿服务活动。3月10日，市妇联配合团市委开展志愿者集中服务日活动，向群众宣传《婚姻法》《妇女权益保障法》《妇女劳动权益须知》《反对家庭暴力法》以及《宪法》等法律法规知识，并为前来咨询的群众进行法律知识答疑解惑。此次活动发放各类宣传资料600多份。</w:t>
      </w:r>
    </w:p>
    <w:p w14:paraId="177258C2">
      <w:pPr>
        <w:pStyle w:val="4"/>
        <w:bidi w:val="0"/>
        <w:rPr>
          <w:rFonts w:hint="eastAsia"/>
          <w:highlight w:val="none"/>
        </w:rPr>
      </w:pPr>
      <w:r>
        <w:rPr>
          <w:rFonts w:hint="eastAsia"/>
          <w:highlight w:val="none"/>
        </w:rPr>
        <w:t>【开展“六一”送健康、送温暖活动】</w:t>
      </w:r>
    </w:p>
    <w:p w14:paraId="238538D6">
      <w:pPr>
        <w:rPr>
          <w:rFonts w:hint="eastAsia" w:hAnsi="宋体" w:cs="宋体"/>
          <w:highlight w:val="none"/>
        </w:rPr>
      </w:pPr>
      <w:r>
        <w:rPr>
          <w:rFonts w:hint="eastAsia" w:hAnsi="宋体" w:cs="宋体"/>
          <w:highlight w:val="none"/>
        </w:rPr>
        <w:t>开展庆“六一”文艺活动。5月29日下午，南雄市教育局、妇联联合举办庆“六一”文艺汇演。活动中，20个表演节目，评选出一等奖2名，二等奖5名，三等奖10名。开展关爱留守儿童慰问活动。5月29日，市妇联到南雄市实验小学开展庆“六一”关爱农村贫困留守儿童慰问活动，市妇儿工委办主任、副市长马细妹及全安镇有关领导参加活动。此次活动市妇联为该校送去慰问金5000元，并给30名留守儿童代表每人赠送一套学习资料和学习用品。关心下一代健康成长慰问活动。6月1日，南雄市妇联、妇儿工委到南雄市机关幼儿园开展庆“六一”慰问活动，副市长马细妹参加活动，此次活动市妇儿工委送去慰问金5000元。各镇（街）妇联、学校组织召开留守儿童座谈会。5月28日全安镇组织镇妇联、团委及全安镇关心下一代工作委员会协同韶关市乐华陶瓷洁具有限公司总经理金波到全安中学和南雄市实验小学捐资助学，为这两所学校20名贫困学生送去一万元助学金，这是连续第三年由全安镇牵头有关企业为学校学生送关怀。5月29日上午，邓坊镇中心幼儿园举办欢度“六一”团体操表演活动。珠玑镇妇联依托罗田村儿童友好社区开展讲故事、慰问等活动。罗田村儿童友好家园为辖区留守流动儿童请来老师上一节特殊的课——唱红歌、听红色经典故事。5月29日，湖口镇妇联组织部分留守儿童到三角村委会开展“整治农村垃圾，共建整洁湖口”的清洁活动。</w:t>
      </w:r>
    </w:p>
    <w:p w14:paraId="4CDF3E45">
      <w:pPr>
        <w:pStyle w:val="4"/>
        <w:bidi w:val="0"/>
        <w:rPr>
          <w:rFonts w:hint="eastAsia"/>
          <w:highlight w:val="none"/>
        </w:rPr>
      </w:pPr>
      <w:r>
        <w:rPr>
          <w:rFonts w:hint="eastAsia"/>
          <w:highlight w:val="none"/>
        </w:rPr>
        <w:t>【妇女之家】</w:t>
      </w:r>
    </w:p>
    <w:p w14:paraId="54355958">
      <w:pPr>
        <w:rPr>
          <w:rFonts w:hint="eastAsia" w:hAnsi="宋体" w:cs="宋体"/>
          <w:highlight w:val="none"/>
        </w:rPr>
      </w:pPr>
      <w:r>
        <w:rPr>
          <w:rFonts w:hint="eastAsia" w:hAnsi="宋体" w:cs="宋体"/>
          <w:highlight w:val="none"/>
        </w:rPr>
        <w:t>2015年创建省级“妇女之家”示范点2个（荆岗村和泷头村）；韶关市级“妇女之家”示范点2个（沙头村和罗田村和水口村）；市级“儿童友好示范社区（村）”4个（水口村、珠玑居委会、罗田村和澜河居委会）；3韶关个市级“巾帼种养示范基地”（珠玑镇罗田黄金岭茶油基地、水口镇弱过村巾帼示范林基地、帽子峰镇江远娇蔬菜制种基地）。11月19日，韶关市妇联在南雄市水口镇水口村召开儿童友好社区工作现场交流会。</w:t>
      </w:r>
    </w:p>
    <w:p w14:paraId="74A35B28">
      <w:pPr>
        <w:pStyle w:val="4"/>
        <w:bidi w:val="0"/>
        <w:rPr>
          <w:rFonts w:hint="eastAsia"/>
          <w:highlight w:val="none"/>
        </w:rPr>
      </w:pPr>
      <w:r>
        <w:rPr>
          <w:rFonts w:hint="eastAsia"/>
          <w:highlight w:val="none"/>
        </w:rPr>
        <w:t>【法治宣传行动】</w:t>
      </w:r>
    </w:p>
    <w:p w14:paraId="55E72E9F">
      <w:pPr>
        <w:rPr>
          <w:rFonts w:hint="eastAsia" w:hAnsi="宋体" w:cs="宋体"/>
          <w:highlight w:val="none"/>
        </w:rPr>
      </w:pPr>
      <w:r>
        <w:rPr>
          <w:rFonts w:hint="eastAsia" w:hAnsi="宋体" w:cs="宋体"/>
          <w:highlight w:val="none"/>
        </w:rPr>
        <w:t>1月30日，举办“反对家庭暴力，构建平安家园”法律知识专题讲座，全市各镇妇联干部和雄州街道全体镇村干部300余人参加。5月21日，开展《推进平安南雄建设暨法治宣传活动》《创建平安人人参与，构建和谐处处包容》外展宣传活动，发放宣传资料1000余份。“三八”维权周，全市18个乡镇（街道）妇联、12个机关战线单位开展各具特色的纪念活动。12月11日，市妇联联合南雄市综治办举办以“反对家庭暴力、共建幸福家园”为主题法律知识专题讲座，发放多种反对家庭暴力的法律知识宣传资料及宣传品1000余份。据统计，全市悬挂过街横幅19条，开展户外宣传活动17场，普法宣传活动1场，举办专题讲座1场，派发宣传资料约10000多份，参加人数达14000多人次。</w:t>
      </w:r>
    </w:p>
    <w:p w14:paraId="4ABA1DA1">
      <w:pPr>
        <w:pStyle w:val="4"/>
        <w:bidi w:val="0"/>
        <w:rPr>
          <w:rFonts w:hint="eastAsia"/>
          <w:highlight w:val="none"/>
        </w:rPr>
      </w:pPr>
      <w:r>
        <w:rPr>
          <w:rFonts w:hint="eastAsia"/>
          <w:highlight w:val="none"/>
        </w:rPr>
        <w:t>【争先创优】</w:t>
      </w:r>
    </w:p>
    <w:p w14:paraId="413095DA">
      <w:pPr>
        <w:rPr>
          <w:rFonts w:hint="eastAsia" w:hAnsi="宋体" w:cs="宋体"/>
          <w:highlight w:val="none"/>
        </w:rPr>
      </w:pPr>
      <w:r>
        <w:rPr>
          <w:rFonts w:hint="eastAsia" w:hAnsi="宋体" w:cs="宋体"/>
          <w:highlight w:val="none"/>
        </w:rPr>
        <w:t>珠玑镇羊湖村创业青年周凤梅在全国城乡妇女岗位建功活动中被授予“全国巾帼建功标兵”荣誉称号；坪田镇创业妇女刘炳被评为“广东省最美家庭”；南雄供电局林荫路营业厅被评为“广东省巾帼文明岗”</w:t>
      </w:r>
      <w:r>
        <w:rPr>
          <w:rFonts w:hint="eastAsia" w:hAnsi="宋体" w:cs="宋体"/>
          <w:highlight w:val="none"/>
          <w:lang w:eastAsia="zh-CN"/>
        </w:rPr>
        <w:t>；</w:t>
      </w:r>
      <w:r>
        <w:rPr>
          <w:rFonts w:hint="eastAsia" w:hAnsi="宋体" w:cs="宋体"/>
          <w:highlight w:val="none"/>
        </w:rPr>
        <w:t>南雄市妇联联合被授予广东省2015度妇女报刊宣传推广工作三等奖。</w:t>
      </w:r>
    </w:p>
    <w:p w14:paraId="357BC8DC">
      <w:pPr>
        <w:pStyle w:val="4"/>
        <w:bidi w:val="0"/>
        <w:rPr>
          <w:rFonts w:hint="eastAsia"/>
          <w:highlight w:val="none"/>
        </w:rPr>
      </w:pPr>
      <w:r>
        <w:rPr>
          <w:rFonts w:hint="eastAsia"/>
          <w:highlight w:val="none"/>
        </w:rPr>
        <w:t>【学刊用刊】</w:t>
      </w:r>
    </w:p>
    <w:p w14:paraId="54090727">
      <w:pPr>
        <w:rPr>
          <w:rFonts w:hint="eastAsia" w:hAnsi="宋体" w:cs="宋体"/>
          <w:highlight w:val="none"/>
        </w:rPr>
      </w:pPr>
      <w:r>
        <w:rPr>
          <w:rFonts w:hint="eastAsia" w:hAnsi="宋体" w:cs="宋体"/>
          <w:highlight w:val="none"/>
        </w:rPr>
        <w:t>南雄市妇联联合被评为广东省2015度妇女报刊宣传推广工作三等奖。</w:t>
      </w:r>
    </w:p>
    <w:p w14:paraId="20EA3EB1">
      <w:pPr>
        <w:pStyle w:val="4"/>
        <w:bidi w:val="0"/>
        <w:rPr>
          <w:rFonts w:hint="eastAsia"/>
          <w:highlight w:val="none"/>
        </w:rPr>
      </w:pPr>
      <w:r>
        <w:rPr>
          <w:rFonts w:hint="eastAsia"/>
          <w:highlight w:val="none"/>
        </w:rPr>
        <w:t>【新两纲年度监测统计】</w:t>
      </w:r>
    </w:p>
    <w:p w14:paraId="615E686A">
      <w:pPr>
        <w:rPr>
          <w:rFonts w:hint="eastAsia" w:hAnsi="宋体" w:cs="宋体"/>
          <w:highlight w:val="none"/>
        </w:rPr>
      </w:pPr>
      <w:r>
        <w:rPr>
          <w:rFonts w:hint="eastAsia" w:hAnsi="宋体" w:cs="宋体"/>
          <w:highlight w:val="none"/>
        </w:rPr>
        <w:t>南雄市于4月份开展2014年妇女儿童发展规划监测数据的收集整理工作。全市总人口47</w:t>
      </w:r>
      <w:r>
        <w:rPr>
          <w:rFonts w:hint="eastAsia" w:ascii="MingLiU_HKSCS" w:hAnsi="MingLiU_HKSCS" w:eastAsia="MingLiU_HKSCS" w:cs="MingLiU_HKSCS"/>
          <w:highlight w:val="none"/>
        </w:rPr>
        <w:t>.</w:t>
      </w:r>
      <w:r>
        <w:rPr>
          <w:rFonts w:hint="eastAsia" w:hAnsi="宋体" w:cs="宋体"/>
          <w:highlight w:val="none"/>
        </w:rPr>
        <w:t>89万人，比上年增加0</w:t>
      </w:r>
      <w:r>
        <w:rPr>
          <w:rFonts w:hint="eastAsia" w:ascii="MingLiU_HKSCS" w:hAnsi="MingLiU_HKSCS" w:eastAsia="MingLiU_HKSCS" w:cs="MingLiU_HKSCS"/>
          <w:highlight w:val="none"/>
        </w:rPr>
        <w:t>.</w:t>
      </w:r>
      <w:r>
        <w:rPr>
          <w:rFonts w:hint="eastAsia" w:hAnsi="宋体" w:cs="宋体"/>
          <w:highlight w:val="none"/>
        </w:rPr>
        <w:t>1万人，同比上年增长0</w:t>
      </w:r>
      <w:r>
        <w:rPr>
          <w:rFonts w:hint="eastAsia" w:ascii="MingLiU_HKSCS" w:hAnsi="MingLiU_HKSCS" w:eastAsia="MingLiU_HKSCS" w:cs="MingLiU_HKSCS"/>
          <w:highlight w:val="none"/>
        </w:rPr>
        <w:t>.</w:t>
      </w:r>
      <w:r>
        <w:rPr>
          <w:rFonts w:hint="eastAsia" w:hAnsi="宋体" w:cs="宋体"/>
          <w:highlight w:val="none"/>
        </w:rPr>
        <w:t>2%。总人口中，女性23</w:t>
      </w:r>
      <w:r>
        <w:rPr>
          <w:rFonts w:hint="eastAsia" w:ascii="MingLiU_HKSCS" w:hAnsi="MingLiU_HKSCS" w:eastAsia="MingLiU_HKSCS" w:cs="MingLiU_HKSCS"/>
          <w:highlight w:val="none"/>
        </w:rPr>
        <w:t>.</w:t>
      </w:r>
      <w:r>
        <w:rPr>
          <w:rFonts w:hint="eastAsia" w:hAnsi="宋体" w:cs="宋体"/>
          <w:highlight w:val="none"/>
        </w:rPr>
        <w:t>23万人，占总人口比例48</w:t>
      </w:r>
      <w:r>
        <w:rPr>
          <w:rFonts w:hint="eastAsia" w:ascii="MingLiU_HKSCS" w:hAnsi="MingLiU_HKSCS" w:eastAsia="MingLiU_HKSCS" w:cs="MingLiU_HKSCS"/>
          <w:highlight w:val="none"/>
        </w:rPr>
        <w:t>.</w:t>
      </w:r>
      <w:r>
        <w:rPr>
          <w:rFonts w:hint="eastAsia" w:hAnsi="宋体" w:cs="宋体"/>
          <w:highlight w:val="none"/>
        </w:rPr>
        <w:t>5%；全年出生人口6401人，人口出生率为13</w:t>
      </w:r>
      <w:r>
        <w:rPr>
          <w:rFonts w:hint="eastAsia" w:ascii="MingLiU_HKSCS" w:hAnsi="MingLiU_HKSCS" w:eastAsia="MingLiU_HKSCS" w:cs="MingLiU_HKSCS"/>
          <w:highlight w:val="none"/>
        </w:rPr>
        <w:t>.</w:t>
      </w:r>
      <w:r>
        <w:rPr>
          <w:rFonts w:hint="eastAsia" w:hAnsi="宋体" w:cs="宋体"/>
          <w:highlight w:val="none"/>
        </w:rPr>
        <w:t>02‰，人口死亡率为5</w:t>
      </w:r>
      <w:r>
        <w:rPr>
          <w:rFonts w:hint="eastAsia" w:ascii="MingLiU_HKSCS" w:hAnsi="MingLiU_HKSCS" w:eastAsia="MingLiU_HKSCS" w:cs="MingLiU_HKSCS"/>
          <w:highlight w:val="none"/>
        </w:rPr>
        <w:t>.</w:t>
      </w:r>
      <w:r>
        <w:rPr>
          <w:rFonts w:hint="eastAsia" w:hAnsi="宋体" w:cs="宋体"/>
          <w:highlight w:val="none"/>
        </w:rPr>
        <w:t>62‰，人口自然增长率为7</w:t>
      </w:r>
      <w:r>
        <w:rPr>
          <w:rFonts w:hint="eastAsia" w:ascii="MingLiU_HKSCS" w:hAnsi="MingLiU_HKSCS" w:eastAsia="MingLiU_HKSCS" w:cs="MingLiU_HKSCS"/>
          <w:highlight w:val="none"/>
        </w:rPr>
        <w:t>.</w:t>
      </w:r>
      <w:r>
        <w:rPr>
          <w:rFonts w:hint="eastAsia" w:hAnsi="宋体" w:cs="宋体"/>
          <w:highlight w:val="none"/>
        </w:rPr>
        <w:t>4‰；出生人口男女性别比106</w:t>
      </w:r>
      <w:r>
        <w:rPr>
          <w:rFonts w:hint="eastAsia" w:ascii="MingLiU_HKSCS" w:hAnsi="MingLiU_HKSCS" w:eastAsia="MingLiU_HKSCS" w:cs="MingLiU_HKSCS"/>
          <w:highlight w:val="none"/>
        </w:rPr>
        <w:t>.</w:t>
      </w:r>
      <w:r>
        <w:rPr>
          <w:rFonts w:hint="eastAsia" w:hAnsi="宋体" w:cs="宋体"/>
          <w:highlight w:val="none"/>
        </w:rPr>
        <w:t>62 ∶100，人口平稳增长，人口质量有提高。（王丽平）</w:t>
      </w:r>
    </w:p>
    <w:p w14:paraId="12CF2FB9">
      <w:pPr>
        <w:rPr>
          <w:rFonts w:hint="eastAsia" w:hAnsi="宋体" w:cs="宋体"/>
          <w:highlight w:val="none"/>
        </w:rPr>
      </w:pPr>
      <w:r>
        <w:rPr>
          <w:rFonts w:hint="eastAsia" w:hAnsi="宋体" w:cs="宋体"/>
          <w:highlight w:val="none"/>
        </w:rPr>
        <w:t>附：2015年市妇联领导班子成员名单</w:t>
      </w:r>
    </w:p>
    <w:p w14:paraId="10F90846">
      <w:pPr>
        <w:rPr>
          <w:rFonts w:hint="eastAsia" w:hAnsi="宋体" w:cs="宋体"/>
          <w:highlight w:val="none"/>
        </w:rPr>
      </w:pPr>
      <w:r>
        <w:rPr>
          <w:rFonts w:hint="eastAsia" w:hAnsi="宋体" w:cs="宋体"/>
          <w:highlight w:val="none"/>
        </w:rPr>
        <w:t>主席：林彩虹</w:t>
      </w:r>
    </w:p>
    <w:p w14:paraId="41DBF8F3">
      <w:pPr>
        <w:rPr>
          <w:rFonts w:hint="eastAsia" w:hAnsi="宋体" w:cs="宋体"/>
          <w:highlight w:val="none"/>
        </w:rPr>
      </w:pPr>
      <w:r>
        <w:rPr>
          <w:rFonts w:hint="eastAsia" w:hAnsi="宋体" w:cs="宋体"/>
          <w:highlight w:val="none"/>
        </w:rPr>
        <w:t>副主席：谢祥英 冯志霞</w:t>
      </w:r>
    </w:p>
    <w:p w14:paraId="725DCD62">
      <w:pPr>
        <w:pStyle w:val="3"/>
        <w:bidi w:val="0"/>
        <w:rPr>
          <w:rFonts w:hint="eastAsia"/>
          <w:highlight w:val="none"/>
        </w:rPr>
      </w:pPr>
      <w:r>
        <w:rPr>
          <w:rFonts w:hint="eastAsia"/>
          <w:highlight w:val="none"/>
        </w:rPr>
        <w:t>残疾人联合会</w:t>
      </w:r>
    </w:p>
    <w:p w14:paraId="44761E7C">
      <w:pPr>
        <w:pStyle w:val="4"/>
        <w:bidi w:val="0"/>
        <w:rPr>
          <w:rFonts w:hint="eastAsia"/>
          <w:highlight w:val="none"/>
        </w:rPr>
      </w:pPr>
      <w:r>
        <w:rPr>
          <w:rFonts w:hint="eastAsia"/>
          <w:highlight w:val="none"/>
        </w:rPr>
        <w:t>【概况】</w:t>
      </w:r>
    </w:p>
    <w:p w14:paraId="1729E726">
      <w:pPr>
        <w:rPr>
          <w:rFonts w:hint="eastAsia" w:hAnsi="宋体" w:cs="宋体"/>
          <w:highlight w:val="none"/>
        </w:rPr>
      </w:pPr>
      <w:r>
        <w:rPr>
          <w:rFonts w:hint="eastAsia" w:hAnsi="宋体" w:cs="宋体"/>
          <w:highlight w:val="none"/>
        </w:rPr>
        <w:t>南雄市残疾人联合会经市政府批准，于1996年6月正式成立，是将残疾人自身代表组织、社会福利团体和事业管理机构融为一体的残疾人事业单位，是中国残疾人联合会的地方组织。具有代表、服务、管理三种职能。南雄市残疾人联合会为正科级单位。现有理事长1人，副理事长1人，其他股室工作人员3人。设有办公室、康复教育就业股。</w:t>
      </w:r>
    </w:p>
    <w:p w14:paraId="07E353F8">
      <w:pPr>
        <w:pStyle w:val="4"/>
        <w:bidi w:val="0"/>
        <w:rPr>
          <w:rFonts w:hint="eastAsia"/>
          <w:highlight w:val="none"/>
        </w:rPr>
      </w:pPr>
      <w:r>
        <w:rPr>
          <w:rFonts w:hint="eastAsia"/>
          <w:highlight w:val="none"/>
        </w:rPr>
        <w:t>【残疾人康复中心大楼】</w:t>
      </w:r>
    </w:p>
    <w:p w14:paraId="39F82021">
      <w:pPr>
        <w:rPr>
          <w:rFonts w:hint="eastAsia" w:hAnsi="宋体" w:cs="宋体"/>
          <w:highlight w:val="none"/>
        </w:rPr>
      </w:pPr>
      <w:r>
        <w:rPr>
          <w:rFonts w:hint="eastAsia" w:hAnsi="宋体" w:cs="宋体"/>
          <w:highlight w:val="none"/>
        </w:rPr>
        <w:t>原南雄市残疾人康复中心大楼是20世纪90年代末，在雄中路113号购买住宅楼（二至四层）改造建成。新建的南雄市残疾人康复中心大楼于2012年12月18日举行开工典礼，于2014年10月交付使用，能同时康复0—6岁残疾儿童25人，培训家长25人。并能为成年残疾人免费提供康复训练。新建的残疾人康复中心大楼为独立的框架六层大楼，占地面积489平方米，建筑面积2505</w:t>
      </w:r>
      <w:r>
        <w:rPr>
          <w:rFonts w:hint="eastAsia" w:ascii="MingLiU_HKSCS" w:hAnsi="MingLiU_HKSCS" w:eastAsia="MingLiU_HKSCS" w:cs="MingLiU_HKSCS"/>
          <w:highlight w:val="none"/>
        </w:rPr>
        <w:t>.</w:t>
      </w:r>
      <w:r>
        <w:rPr>
          <w:rFonts w:hint="eastAsia" w:hAnsi="宋体" w:cs="宋体"/>
          <w:highlight w:val="none"/>
        </w:rPr>
        <w:t>5平方米，总投资600万元，其中本市财政安排250万元，社会自筹资金50万元，省拨专项资金300万元。残疾人康复中心大楼按省级残疾人康复中心三类等级标准设计，配备电梯及先进康复设备，集康复训练、文化教育、家长培训于一体。2015年康复中心引进各类先进康复设备156，3685元。</w:t>
      </w:r>
    </w:p>
    <w:p w14:paraId="491B07DD">
      <w:pPr>
        <w:pStyle w:val="4"/>
        <w:bidi w:val="0"/>
        <w:rPr>
          <w:rFonts w:hint="eastAsia"/>
          <w:highlight w:val="none"/>
        </w:rPr>
      </w:pPr>
      <w:r>
        <w:rPr>
          <w:rFonts w:hint="eastAsia"/>
          <w:highlight w:val="none"/>
        </w:rPr>
        <w:t>【扶贫助残】</w:t>
      </w:r>
    </w:p>
    <w:p w14:paraId="326324A1">
      <w:pPr>
        <w:rPr>
          <w:rFonts w:hint="eastAsia" w:hAnsi="宋体" w:cs="宋体"/>
          <w:highlight w:val="none"/>
        </w:rPr>
      </w:pPr>
      <w:r>
        <w:rPr>
          <w:rFonts w:hint="eastAsia" w:hAnsi="宋体" w:cs="宋体"/>
          <w:highlight w:val="none"/>
        </w:rPr>
        <w:t>为城乡重度残疾人2419人办理新型医保，惠及资金290280元；为城乡重度残疾人1725人办理新型社保，惠及资金207000元；落实“两项补贴”提高重度残疾人民生保障水平，将3406个重度残疾人、低保残疾人2625人，涉及资金9289200元的护理补贴及生活津贴全面落实到位；贫困残疾人危房改造74房，涉及资金45万元；免费发放残疾人需求辅助具器35人。</w:t>
      </w:r>
    </w:p>
    <w:p w14:paraId="0E263B2A">
      <w:pPr>
        <w:pStyle w:val="4"/>
        <w:bidi w:val="0"/>
        <w:rPr>
          <w:rFonts w:hint="eastAsia"/>
          <w:highlight w:val="none"/>
        </w:rPr>
      </w:pPr>
      <w:r>
        <w:rPr>
          <w:rFonts w:hint="eastAsia"/>
          <w:highlight w:val="none"/>
        </w:rPr>
        <w:t>【残疾人宣传文体】</w:t>
      </w:r>
    </w:p>
    <w:p w14:paraId="04E21941">
      <w:pPr>
        <w:rPr>
          <w:rFonts w:hint="eastAsia" w:hAnsi="宋体" w:cs="宋体"/>
          <w:highlight w:val="none"/>
        </w:rPr>
      </w:pPr>
      <w:r>
        <w:rPr>
          <w:rFonts w:hint="eastAsia" w:hAnsi="宋体" w:cs="宋体"/>
          <w:highlight w:val="none"/>
        </w:rPr>
        <w:t>开展助残扶残宣传活动，营造扶残助残的社会氛围，在“助残日”“爱耳日”“爱眼日”“国际残疾人日”等活动期间，各类新闻宣传报道20篇。在国际残疾人节日的2015年12月3日下午，以“情牵你我，放歌雄州”为主题内容的大型庆祝活动在雄州三影塔广场举行，旨在全市残疾人，歌唱祖国、热爱生活，以饱满的热情，健康的心态，走出家庭，融入社会各类活动，情牵你我，放歌人生。</w:t>
      </w:r>
    </w:p>
    <w:p w14:paraId="246A4456">
      <w:pPr>
        <w:pStyle w:val="4"/>
        <w:bidi w:val="0"/>
        <w:rPr>
          <w:rFonts w:hint="eastAsia"/>
          <w:highlight w:val="none"/>
        </w:rPr>
      </w:pPr>
      <w:r>
        <w:rPr>
          <w:rFonts w:hint="eastAsia"/>
          <w:highlight w:val="none"/>
        </w:rPr>
        <w:t>【双联双促】</w:t>
      </w:r>
    </w:p>
    <w:p w14:paraId="1A85B267">
      <w:pPr>
        <w:rPr>
          <w:rFonts w:hint="eastAsia" w:hAnsi="宋体" w:cs="宋体"/>
          <w:highlight w:val="none"/>
        </w:rPr>
      </w:pPr>
      <w:r>
        <w:rPr>
          <w:rFonts w:hint="eastAsia" w:hAnsi="宋体" w:cs="宋体"/>
          <w:highlight w:val="none"/>
        </w:rPr>
        <w:t>“双联双促”活动，挂点珠玑镇珠玑村委会，主要针对残疾人弱势群体，在推进“创先争优”活动中，共投入扶贫资金75000元，其中：用于改造村道路亮化工程配套设施建设50000元；动员全体干部5人，献爱心捐款1000元；争取上级残疾人危房改造4户共计24000元。2015年，扶贫工作11户贫困户中，人均纯收入达到9348元以上，比上年增收1100元，增长11</w:t>
      </w:r>
      <w:r>
        <w:rPr>
          <w:rFonts w:hint="eastAsia" w:ascii="MingLiU_HKSCS" w:hAnsi="MingLiU_HKSCS" w:eastAsia="MingLiU_HKSCS" w:cs="MingLiU_HKSCS"/>
          <w:highlight w:val="none"/>
        </w:rPr>
        <w:t>.</w:t>
      </w:r>
      <w:r>
        <w:rPr>
          <w:rFonts w:hint="eastAsia" w:hAnsi="宋体" w:cs="宋体"/>
          <w:highlight w:val="none"/>
        </w:rPr>
        <w:t>76%。制定帮扶措施3条，为民办好事实事3件，培养致富带头人2个，党员致富典型2个，干部结对帮扶联系12户。</w:t>
      </w:r>
    </w:p>
    <w:p w14:paraId="535FFAB7">
      <w:pPr>
        <w:pStyle w:val="4"/>
        <w:bidi w:val="0"/>
        <w:rPr>
          <w:rFonts w:hint="eastAsia"/>
          <w:highlight w:val="none"/>
        </w:rPr>
      </w:pPr>
      <w:r>
        <w:rPr>
          <w:rFonts w:hint="eastAsia"/>
          <w:highlight w:val="none"/>
        </w:rPr>
        <w:t>【公益活动】</w:t>
      </w:r>
    </w:p>
    <w:p w14:paraId="0F668ABA">
      <w:pPr>
        <w:rPr>
          <w:rFonts w:hint="eastAsia" w:hAnsi="宋体" w:eastAsia="宋体" w:cs="宋体"/>
          <w:highlight w:val="none"/>
          <w:lang w:eastAsia="zh-CN"/>
        </w:rPr>
      </w:pPr>
      <w:r>
        <w:rPr>
          <w:rFonts w:hint="eastAsia" w:hAnsi="宋体" w:cs="宋体"/>
          <w:highlight w:val="none"/>
        </w:rPr>
        <w:t>爱心人士深圳市盛世厚德LP3公司，在关爱“广东省南雄市特殊儿童”公益活动中，有739人捐款148828元，为特殊残疾儿童33人购买奶粉、取暖器、棉被、食用油、大米等，并为康复中心每个残疾儿童发放慰问金800元，对特困8户残疾儿童家庭发放1500元至2000元不等的慰问金。</w:t>
      </w:r>
      <w:r>
        <w:rPr>
          <w:rFonts w:hint="eastAsia" w:hAnsi="宋体" w:cs="宋体"/>
          <w:highlight w:val="none"/>
          <w:lang w:eastAsia="zh-CN"/>
        </w:rPr>
        <w:t>（</w:t>
      </w:r>
      <w:r>
        <w:rPr>
          <w:rFonts w:hint="eastAsia" w:hAnsi="宋体" w:cs="宋体"/>
          <w:highlight w:val="none"/>
        </w:rPr>
        <w:t>赖传文</w:t>
      </w:r>
      <w:r>
        <w:rPr>
          <w:rFonts w:hint="eastAsia" w:hAnsi="宋体" w:cs="宋体"/>
          <w:highlight w:val="none"/>
          <w:lang w:eastAsia="zh-CN"/>
        </w:rPr>
        <w:t>）</w:t>
      </w:r>
    </w:p>
    <w:p w14:paraId="1B21CAEF">
      <w:pPr>
        <w:rPr>
          <w:rFonts w:hint="eastAsia" w:hAnsi="宋体" w:cs="宋体"/>
          <w:highlight w:val="none"/>
        </w:rPr>
      </w:pPr>
      <w:r>
        <w:rPr>
          <w:rFonts w:hint="eastAsia" w:hAnsi="宋体" w:cs="宋体"/>
          <w:highlight w:val="none"/>
        </w:rPr>
        <w:t>附：2015年市残联领导班子成员名单</w:t>
      </w:r>
    </w:p>
    <w:p w14:paraId="161B5AC5">
      <w:pPr>
        <w:rPr>
          <w:rFonts w:hint="eastAsia" w:hAnsi="宋体" w:cs="宋体"/>
          <w:highlight w:val="none"/>
        </w:rPr>
      </w:pPr>
      <w:r>
        <w:rPr>
          <w:rFonts w:hint="eastAsia" w:hAnsi="宋体" w:cs="宋体"/>
          <w:highlight w:val="none"/>
        </w:rPr>
        <w:t>理事长：李吉祥</w:t>
      </w:r>
    </w:p>
    <w:p w14:paraId="7E4E4C9D">
      <w:pPr>
        <w:rPr>
          <w:rFonts w:hint="eastAsia" w:hAnsi="宋体" w:cs="宋体"/>
          <w:highlight w:val="none"/>
        </w:rPr>
      </w:pPr>
      <w:r>
        <w:rPr>
          <w:rFonts w:hint="eastAsia" w:hAnsi="宋体" w:cs="宋体"/>
          <w:highlight w:val="none"/>
        </w:rPr>
        <w:t>副理事长：钟爱兰</w:t>
      </w:r>
    </w:p>
    <w:p w14:paraId="644342E4">
      <w:pPr>
        <w:pStyle w:val="3"/>
        <w:bidi w:val="0"/>
        <w:rPr>
          <w:rFonts w:hint="eastAsia"/>
          <w:highlight w:val="none"/>
        </w:rPr>
      </w:pPr>
      <w:r>
        <w:rPr>
          <w:rFonts w:hint="eastAsia"/>
          <w:highlight w:val="none"/>
        </w:rPr>
        <w:t>工商业联合会</w:t>
      </w:r>
    </w:p>
    <w:p w14:paraId="392AD220">
      <w:pPr>
        <w:pStyle w:val="4"/>
        <w:bidi w:val="0"/>
        <w:rPr>
          <w:rFonts w:hint="eastAsia"/>
          <w:highlight w:val="none"/>
        </w:rPr>
      </w:pPr>
      <w:r>
        <w:rPr>
          <w:rFonts w:hint="eastAsia"/>
          <w:highlight w:val="none"/>
        </w:rPr>
        <w:t>【概况】</w:t>
      </w:r>
    </w:p>
    <w:p w14:paraId="569BB0A9">
      <w:pPr>
        <w:rPr>
          <w:rFonts w:hint="eastAsia" w:hAnsi="宋体" w:cs="宋体"/>
          <w:highlight w:val="none"/>
        </w:rPr>
      </w:pPr>
      <w:r>
        <w:rPr>
          <w:rFonts w:hint="eastAsia" w:hAnsi="宋体" w:cs="宋体"/>
          <w:highlight w:val="none"/>
        </w:rPr>
        <w:t>南雄市工商业联合会又称南雄市总商会，与统战部合署办公。是中国共产党领导下的由工商界组成的人民团体和民间商会，是党和政府联系非公有制经济人士的桥梁和纽带，是政府管理非公有制经济的助手，是中国共产党统一战线工作和经济工作的重要内容，具有统战性、经济性、民间性的特点。履行统一战线人民团体和民间商会职能，提高参政议政水平，完善商会服务职能，大胆维护会员合法权益，加强代表人士队伍的建设，介入经济建设的主战场，搭建平台提高非公企业家的综合素质，引导非公企业依靠科技创新做大做强，为促进非公有制经济的快速健康发展作出应有的贡献。</w:t>
      </w:r>
    </w:p>
    <w:p w14:paraId="076CC410">
      <w:pPr>
        <w:pStyle w:val="4"/>
        <w:bidi w:val="0"/>
        <w:rPr>
          <w:rFonts w:hint="eastAsia"/>
          <w:highlight w:val="none"/>
        </w:rPr>
      </w:pPr>
      <w:r>
        <w:rPr>
          <w:rFonts w:hint="eastAsia"/>
          <w:highlight w:val="none"/>
        </w:rPr>
        <w:t>【参政议政】</w:t>
      </w:r>
    </w:p>
    <w:p w14:paraId="32C38A5A">
      <w:pPr>
        <w:rPr>
          <w:rFonts w:hint="eastAsia" w:hAnsi="宋体" w:cs="宋体"/>
          <w:highlight w:val="none"/>
        </w:rPr>
      </w:pPr>
      <w:r>
        <w:rPr>
          <w:rFonts w:hint="eastAsia" w:hAnsi="宋体" w:cs="宋体"/>
          <w:highlight w:val="none"/>
        </w:rPr>
        <w:t>2015年，以参政议政为切入点，按照“经济上有发展、政治上有地位、社会上有形象”的目标，围绕构建和谐南雄、幸福南雄，参政议政，履行职能，全面提升工商联以及非公有制经济代表人士的政治地位，突出体现工商联在促进非公有制经济健康发展过程中的引导作用。多次组织工商联界别的部分人大代表、政协委员和工商联会员，深入了解民情，反映社情民意，广泛集中民智。</w:t>
      </w:r>
    </w:p>
    <w:p w14:paraId="5C61A55E">
      <w:pPr>
        <w:pStyle w:val="4"/>
        <w:bidi w:val="0"/>
        <w:rPr>
          <w:rFonts w:hint="eastAsia"/>
          <w:highlight w:val="none"/>
        </w:rPr>
      </w:pPr>
      <w:r>
        <w:rPr>
          <w:rFonts w:hint="eastAsia"/>
          <w:highlight w:val="none"/>
        </w:rPr>
        <w:t>【促进非公经济发展】</w:t>
      </w:r>
    </w:p>
    <w:p w14:paraId="1931F0B5">
      <w:pPr>
        <w:rPr>
          <w:rFonts w:hint="eastAsia" w:hAnsi="宋体" w:cs="宋体"/>
          <w:highlight w:val="none"/>
        </w:rPr>
      </w:pPr>
      <w:r>
        <w:rPr>
          <w:rFonts w:hint="eastAsia" w:hAnsi="宋体" w:cs="宋体"/>
          <w:highlight w:val="none"/>
        </w:rPr>
        <w:t>引导非公经济人士增强创新意识，引导民营企业朝着自主品牌发展之路，引导和帮助民营企业实施技术创新和技术进步，大胆创新，开拓进取，提高企业的竞争力，把企业做大做强，促进民营经济大发展、快发展。广东金友集团有限公司，以现代农业综合开发为主，依托本地的优越的农业资源，在绿色农业、有机农业等方面扩大农业产业基地来提高企业的竞争力和树立央视上榜品牌。目前，有机农业基地已上万亩，并逐步向万亩基地发展，同时，扩展到邻县、邻省，为实现国内中小企业板块上市迈上坚实的步伐。承办一期广东省光彩会举办《广东光彩农村电商（南雄）培训班》，培训学员100人。</w:t>
      </w:r>
    </w:p>
    <w:p w14:paraId="2C1FA1AC">
      <w:pPr>
        <w:pStyle w:val="4"/>
        <w:bidi w:val="0"/>
        <w:rPr>
          <w:rFonts w:hint="eastAsia"/>
          <w:highlight w:val="none"/>
        </w:rPr>
      </w:pPr>
      <w:r>
        <w:rPr>
          <w:rFonts w:hint="eastAsia"/>
          <w:highlight w:val="none"/>
        </w:rPr>
        <w:t>【做好非公有制经济人士政治安排】</w:t>
      </w:r>
    </w:p>
    <w:p w14:paraId="201185BE">
      <w:pPr>
        <w:rPr>
          <w:rFonts w:hint="eastAsia" w:hAnsi="宋体" w:cs="宋体"/>
          <w:highlight w:val="none"/>
        </w:rPr>
      </w:pPr>
      <w:r>
        <w:rPr>
          <w:rFonts w:hint="eastAsia" w:hAnsi="宋体" w:cs="宋体"/>
          <w:highlight w:val="none"/>
        </w:rPr>
        <w:t>根据中央统战部、全国工商联的指示精神，加强领导，精心组织，做好非公有制经济人士教育引导工作，教育他们要诚信，守法，争做社会主义建设合格建设者，不做有损诚信形象和违法经营的事。对一些社会影响好的企业（公司），给予表扬鼓励，并将这些企业（公司）的负责人推荐到人大、政协、工商联担任人大代表、政协委员、工商联执委等政治职务。</w:t>
      </w:r>
    </w:p>
    <w:p w14:paraId="3A297328">
      <w:pPr>
        <w:pStyle w:val="4"/>
        <w:bidi w:val="0"/>
        <w:rPr>
          <w:rFonts w:hint="eastAsia"/>
          <w:highlight w:val="none"/>
        </w:rPr>
      </w:pPr>
      <w:r>
        <w:rPr>
          <w:rFonts w:hint="eastAsia"/>
          <w:highlight w:val="none"/>
        </w:rPr>
        <w:t>【壮大工商联会员队伍】</w:t>
      </w:r>
    </w:p>
    <w:p w14:paraId="51240C2A">
      <w:pPr>
        <w:rPr>
          <w:rFonts w:hint="eastAsia" w:hAnsi="宋体" w:cs="宋体"/>
          <w:highlight w:val="none"/>
        </w:rPr>
      </w:pPr>
      <w:r>
        <w:rPr>
          <w:rFonts w:hint="eastAsia" w:hAnsi="宋体" w:cs="宋体"/>
          <w:highlight w:val="none"/>
        </w:rPr>
        <w:t>该市工商联深入企业调研，开展工作，把热心于服务社会、有社会责任感、有一定实力的企业员工和个体工商户发展为会员。发展66名会员，新成立南雄市浙商商会，在全市已形成一支充满生机与影响力的非公有制经济代表人士队伍。为抓好组织建设，该联多次到南雄市福建（南雄）商会与会长李辉祥商讨解协会发展的情况，指导他们发挥协会优势，搞好会务活动，扩大协会影响力。</w:t>
      </w:r>
    </w:p>
    <w:p w14:paraId="5CDB57C6">
      <w:pPr>
        <w:pStyle w:val="4"/>
        <w:bidi w:val="0"/>
        <w:rPr>
          <w:rFonts w:hint="eastAsia"/>
          <w:highlight w:val="none"/>
        </w:rPr>
      </w:pPr>
      <w:r>
        <w:rPr>
          <w:rFonts w:hint="eastAsia"/>
          <w:highlight w:val="none"/>
        </w:rPr>
        <w:t>【非公有制企业关工工作】</w:t>
      </w:r>
    </w:p>
    <w:p w14:paraId="3C5A2510">
      <w:pPr>
        <w:rPr>
          <w:rFonts w:hint="eastAsia" w:hAnsi="宋体" w:cs="宋体"/>
          <w:highlight w:val="none"/>
        </w:rPr>
      </w:pPr>
      <w:r>
        <w:rPr>
          <w:rFonts w:hint="eastAsia" w:hAnsi="宋体" w:cs="宋体"/>
          <w:highlight w:val="none"/>
        </w:rPr>
        <w:t>2015年发展非公有制企业关工组织26个单位，并坚持成熟一个建立一个，巩固一个发展一个，有计划、有步骤地推进组建工作。结合该市企业实际，灵活选取独建、合建或联建模式。已建立党组织和有一定规模、有意愿、有条件的企业，单独建立关工组织；同行业零散分布、规模较小的企业，依托商会或行业协会建立关工组织；企业相对集中的工业园区，依托管理机构或党组织建立关工组织，主动开展关工工作。</w:t>
      </w:r>
    </w:p>
    <w:p w14:paraId="7A997962">
      <w:pPr>
        <w:pStyle w:val="4"/>
        <w:bidi w:val="0"/>
        <w:rPr>
          <w:rFonts w:hint="eastAsia"/>
          <w:highlight w:val="none"/>
        </w:rPr>
      </w:pPr>
      <w:r>
        <w:rPr>
          <w:rFonts w:hint="eastAsia"/>
          <w:highlight w:val="none"/>
        </w:rPr>
        <w:t>【助困助学活动】</w:t>
      </w:r>
    </w:p>
    <w:p w14:paraId="00820184">
      <w:pPr>
        <w:rPr>
          <w:rFonts w:hint="eastAsia" w:hAnsi="宋体" w:cs="宋体"/>
          <w:highlight w:val="none"/>
        </w:rPr>
      </w:pPr>
      <w:r>
        <w:rPr>
          <w:rFonts w:hint="eastAsia" w:hAnsi="宋体" w:cs="宋体"/>
          <w:highlight w:val="none"/>
        </w:rPr>
        <w:t>引导参加就业、扶贫、爱心三大光彩工程，在敬老、助困、助学、助残活动中</w:t>
      </w:r>
      <w:r>
        <w:rPr>
          <w:rFonts w:hint="eastAsia" w:hAnsi="宋体" w:cs="宋体"/>
          <w:highlight w:val="none"/>
          <w:lang w:eastAsia="zh-CN"/>
        </w:rPr>
        <w:t>多做贡献</w:t>
      </w:r>
      <w:r>
        <w:rPr>
          <w:rFonts w:hint="eastAsia" w:hAnsi="宋体" w:cs="宋体"/>
          <w:highlight w:val="none"/>
        </w:rPr>
        <w:t>，为社会造福、为政府分忧、为群众解难，树立商会良好形象。拓展“四同步”党群一体化内容，推动非公有制企业关工组织与党、工、青、妇组织实现“组织同步设置、工作同步谋划、制度同步完善、活动同步结合”。引导非公有制企业关工组织向企业主和党组织争取支持、主动作为，与工、青、妇组织加强沟通、协调合作，与企业行政部门密切联系、资源共享。8月22日和10月18日，南雄市工商联关工委开展理想信念教育实践活动，在国税局和电信局专门召开“慈善文化座谈会”。南雄市非公有制经济人士代表参与，会员企业家与26名贫困优秀学生现场结对帮扶。</w:t>
      </w:r>
    </w:p>
    <w:p w14:paraId="452755F2">
      <w:pPr>
        <w:rPr>
          <w:rFonts w:hint="eastAsia" w:hAnsi="宋体" w:cs="宋体"/>
          <w:highlight w:val="none"/>
        </w:rPr>
      </w:pPr>
      <w:r>
        <w:rPr>
          <w:rFonts w:hint="eastAsia" w:hAnsi="宋体" w:cs="宋体"/>
          <w:highlight w:val="none"/>
        </w:rPr>
        <w:t>附：2015年市工商联（总商会）领导班子成员名单</w:t>
      </w:r>
    </w:p>
    <w:p w14:paraId="672CEC19">
      <w:pPr>
        <w:rPr>
          <w:rFonts w:hint="eastAsia" w:hAnsi="宋体" w:cs="宋体"/>
          <w:highlight w:val="none"/>
        </w:rPr>
      </w:pPr>
      <w:r>
        <w:rPr>
          <w:rFonts w:hint="eastAsia" w:hAnsi="宋体" w:cs="宋体"/>
          <w:highlight w:val="none"/>
        </w:rPr>
        <w:t>主席：丁礼金</w:t>
      </w:r>
    </w:p>
    <w:p w14:paraId="02DCCAA2">
      <w:pPr>
        <w:rPr>
          <w:rFonts w:hint="eastAsia" w:hAnsi="宋体" w:cs="宋体"/>
          <w:highlight w:val="none"/>
        </w:rPr>
      </w:pPr>
      <w:r>
        <w:rPr>
          <w:rFonts w:hint="eastAsia" w:hAnsi="宋体" w:cs="宋体"/>
          <w:highlight w:val="none"/>
        </w:rPr>
        <w:t>党组书记：董祖明</w:t>
      </w:r>
    </w:p>
    <w:p w14:paraId="31D701CE">
      <w:pPr>
        <w:rPr>
          <w:rFonts w:hint="eastAsia" w:hAnsi="宋体" w:cs="宋体"/>
          <w:highlight w:val="none"/>
        </w:rPr>
      </w:pPr>
      <w:r>
        <w:rPr>
          <w:rFonts w:hint="eastAsia" w:hAnsi="宋体" w:cs="宋体"/>
          <w:highlight w:val="none"/>
        </w:rPr>
        <w:t>副主席：董祖明 熊文荣 康小松 敖卓海 王伟雄 王才生 霍振辉 胡文甦 古广超</w:t>
      </w:r>
    </w:p>
    <w:p w14:paraId="00C67151">
      <w:pPr>
        <w:rPr>
          <w:rFonts w:hint="eastAsia" w:hAnsi="宋体" w:cs="宋体"/>
          <w:highlight w:val="none"/>
        </w:rPr>
      </w:pPr>
      <w:r>
        <w:rPr>
          <w:rFonts w:hint="eastAsia" w:hAnsi="宋体" w:cs="宋体"/>
          <w:highlight w:val="none"/>
        </w:rPr>
        <w:t>黄履华 吴远剑 陈德生 张周 林日辉 卢隆全 李庚骝</w:t>
      </w:r>
    </w:p>
    <w:p w14:paraId="1BD76029">
      <w:pPr>
        <w:rPr>
          <w:rFonts w:hint="eastAsia" w:hAnsi="宋体" w:cs="宋体"/>
          <w:highlight w:val="none"/>
        </w:rPr>
      </w:pPr>
      <w:r>
        <w:rPr>
          <w:rFonts w:hint="eastAsia" w:hAnsi="宋体" w:cs="宋体"/>
          <w:highlight w:val="none"/>
        </w:rPr>
        <w:t>秘书长：黄奕雄</w:t>
      </w:r>
    </w:p>
    <w:p w14:paraId="76980C1D">
      <w:pPr>
        <w:pStyle w:val="3"/>
        <w:bidi w:val="0"/>
        <w:rPr>
          <w:rFonts w:hint="eastAsia"/>
          <w:highlight w:val="none"/>
        </w:rPr>
      </w:pPr>
      <w:r>
        <w:rPr>
          <w:rFonts w:hint="eastAsia"/>
          <w:highlight w:val="none"/>
        </w:rPr>
        <w:t>科学协会</w:t>
      </w:r>
    </w:p>
    <w:p w14:paraId="2EC2B833">
      <w:pPr>
        <w:pStyle w:val="4"/>
        <w:bidi w:val="0"/>
        <w:rPr>
          <w:rFonts w:hint="eastAsia"/>
          <w:highlight w:val="none"/>
        </w:rPr>
      </w:pPr>
      <w:r>
        <w:rPr>
          <w:rFonts w:hint="eastAsia"/>
          <w:highlight w:val="none"/>
        </w:rPr>
        <w:t>【概况】</w:t>
      </w:r>
    </w:p>
    <w:p w14:paraId="003999F0">
      <w:pPr>
        <w:rPr>
          <w:rFonts w:hint="eastAsia" w:hAnsi="宋体" w:cs="宋体"/>
          <w:highlight w:val="none"/>
        </w:rPr>
      </w:pPr>
      <w:r>
        <w:rPr>
          <w:rFonts w:hint="eastAsia" w:hAnsi="宋体" w:cs="宋体"/>
          <w:highlight w:val="none"/>
        </w:rPr>
        <w:t>1956年，南雄县科学普及协会成立，附属县委宣传部。1969年，科普协会撤销。1980年9月，南雄县科学技术协会成立，属正科级单位，群众团体，财政全额拨款。2002年机构改革行政编制3人，其中主席、副主席各1人。内设办公室、科普部、学会部。下属协会21个，有会员2506人。</w:t>
      </w:r>
    </w:p>
    <w:p w14:paraId="6688E8F7">
      <w:pPr>
        <w:pStyle w:val="4"/>
        <w:bidi w:val="0"/>
        <w:rPr>
          <w:rFonts w:hint="eastAsia"/>
          <w:highlight w:val="none"/>
        </w:rPr>
      </w:pPr>
      <w:r>
        <w:rPr>
          <w:rFonts w:hint="eastAsia"/>
          <w:highlight w:val="none"/>
        </w:rPr>
        <w:t>【干部队伍自身建设】</w:t>
      </w:r>
    </w:p>
    <w:p w14:paraId="3585877F">
      <w:pPr>
        <w:rPr>
          <w:rFonts w:hint="eastAsia" w:hAnsi="宋体" w:cs="宋体"/>
          <w:highlight w:val="none"/>
        </w:rPr>
      </w:pPr>
      <w:r>
        <w:rPr>
          <w:rFonts w:hint="eastAsia" w:hAnsi="宋体" w:cs="宋体"/>
          <w:highlight w:val="none"/>
        </w:rPr>
        <w:t>南雄市科协始终注重加强科协组织建设，全体干部均参加南雄市举办的信息技术应用能力培训班和各类政治理论学习班，通过各种渠道提高干部队伍素质。以“三严三实”专题教育活动为契机，通过各种渠道教育、培训干部，提高干部队伍素质。完善制度，夯实党建工作基础。科协党组加强党组组织建设，为发挥党组战斗堡垒作用打下坚实的基础；在工作中发挥班子带头作用；注重做好党员干部学习培训工作。为调动和发挥知识分子、党员和干部职工的积极性、创造性，不仅完成上级部门下达的培训任务。同时采取请进来与走出去相结合的方式，并请韶关市科协领导莅临南雄检查指导工作。通过广泛学习交流，启发创新观念和工作方法思维，提高干部队伍政治理论水平和业务水平，推进科协工作顺利开展。为调动和发挥知识分子、党员和干部职工积极性、创造性，不仅完成上级部门下达培训任务。科协机关把每周一作为学习活动日，与“三严三实”专题教育活动结合起来，组织全体干部职工开展学习活动，提高思想认识，立足本职岗位。通过广泛学习交流，启发创新观念和工作方法的思维。组织开展党员干部集中理论学习7次，深入基层现场为农服务8次，走访和关爱贫困党员、群众10人，提高干部职工的服务意识。同时采取请进来与走出去相结合的方式，学习兄弟市〔县〕科协的先进经验和做法。组织全体干部到新丰县科协参观学习，学习他们在科普基地建设、科普宣传以及学术交流方面的先进经验。</w:t>
      </w:r>
    </w:p>
    <w:p w14:paraId="2F7B16CE">
      <w:pPr>
        <w:pStyle w:val="4"/>
        <w:bidi w:val="0"/>
        <w:rPr>
          <w:rFonts w:hint="eastAsia"/>
          <w:highlight w:val="none"/>
        </w:rPr>
      </w:pPr>
      <w:r>
        <w:rPr>
          <w:rFonts w:hint="eastAsia"/>
          <w:highlight w:val="none"/>
        </w:rPr>
        <w:t>【科普活动】</w:t>
      </w:r>
    </w:p>
    <w:p w14:paraId="4F91C8B4">
      <w:pPr>
        <w:rPr>
          <w:rFonts w:hint="eastAsia" w:hAnsi="宋体" w:cs="宋体"/>
          <w:highlight w:val="none"/>
        </w:rPr>
      </w:pPr>
      <w:r>
        <w:rPr>
          <w:rFonts w:hint="eastAsia" w:hAnsi="宋体" w:cs="宋体"/>
          <w:highlight w:val="none"/>
        </w:rPr>
        <w:t>为提高该市全民科学文化素，市科协利用“全国科普日、科技活动周、科技进步活动月”活动为契机，面向全市开展广泛的科普活动；主动与市直有关单位及乡镇等有关部门、协会，面向全市开展广泛的科普活动，为提高全民科学文化素质作出不懈的努力。开展《我们珍贵大地球》专题科普巡展大型宣传活动。6月16日上午，科协联合市农业局、林业局、科技局、食品安全监督局、公安局等单位在三影塔广场举行“5·12国家防灾减灾日”宣传咨询服务活动、《我们珍贵大地球》专题科普巡展等科普宣传现场咨询活动，副市长马细妹出席此次活动并作重要讲话。6月17日，南雄市教育局、科协、在黄坑、乌迳等镇举行《我们珍贵大地球》专题科普巡展大型宣传活动，活动吸引2000多名群众到场参与。教育、科技、科协等部门的工作人员早早地在各所在镇广场布置内容新颖、视角独特的宣传画报，并设置咨询台、便民服务台等，摆摊设点开展咨询活动，工作人员一边接受群众咨询，一边派发宣传资料，派发科普资料3000多份、接受群众咨询1500多人次；开展文化科技卫生“三下乡”活动。9月，南雄市科协举办“全国科普活动日—科技下乡”活动。市科协组织市医学会、市预防医学会的中医、西医、妇科、儿科等方面医科专家科普志愿者53人参与下乡，在市区、珠玑等地举办“预防疾病，科学生活”科普活动。为群众做安全用药、假劣药品鉴别、疾病预防咨询活动；在乌迳、湖口、黄坑、帽子峰等镇免费为300多名群众做健康检查，免费为群众用药，并举办科普图片展览，向群众发放医药科普资料1000份，受到群众欢迎。全市组织科技工作者、科技专家200多人次参与科普宣传活动，分别到各乡镇组织科普集市6场次</w:t>
      </w:r>
      <w:r>
        <w:rPr>
          <w:rFonts w:hint="eastAsia" w:hAnsi="宋体" w:cs="宋体"/>
          <w:highlight w:val="none"/>
          <w:lang w:eastAsia="zh-CN"/>
        </w:rPr>
        <w:t>；</w:t>
      </w:r>
      <w:r>
        <w:rPr>
          <w:rFonts w:hint="eastAsia" w:hAnsi="宋体" w:cs="宋体"/>
          <w:highlight w:val="none"/>
        </w:rPr>
        <w:t>播放科普电影3场，观看人数6000多人次</w:t>
      </w:r>
      <w:r>
        <w:rPr>
          <w:rFonts w:hint="eastAsia" w:hAnsi="宋体" w:cs="宋体"/>
          <w:highlight w:val="none"/>
          <w:lang w:eastAsia="zh-CN"/>
        </w:rPr>
        <w:t>；</w:t>
      </w:r>
      <w:r>
        <w:rPr>
          <w:rFonts w:hint="eastAsia" w:hAnsi="宋体" w:cs="宋体"/>
          <w:highlight w:val="none"/>
        </w:rPr>
        <w:t>向群众发放科普资料1万多份（册），向群众普及科学知识，使群众得到实惠；在全国科普日、科技活动周、科技进步活动月活动期间，市科协动员和组织科技工作者、科技专家做科普报告，撰写科普文章，深入农村、基层普及先进的实用技术，发挥表率作用。</w:t>
      </w:r>
    </w:p>
    <w:p w14:paraId="561E349A">
      <w:pPr>
        <w:pStyle w:val="4"/>
        <w:bidi w:val="0"/>
        <w:rPr>
          <w:rFonts w:hint="eastAsia"/>
          <w:highlight w:val="none"/>
        </w:rPr>
      </w:pPr>
      <w:r>
        <w:rPr>
          <w:rFonts w:hint="eastAsia"/>
          <w:highlight w:val="none"/>
        </w:rPr>
        <w:t>【科普宣传】</w:t>
      </w:r>
    </w:p>
    <w:p w14:paraId="3AA97FA3">
      <w:pPr>
        <w:rPr>
          <w:rFonts w:hint="eastAsia" w:hAnsi="宋体" w:cs="宋体"/>
          <w:highlight w:val="none"/>
        </w:rPr>
      </w:pPr>
      <w:r>
        <w:rPr>
          <w:rFonts w:hint="eastAsia" w:hAnsi="宋体" w:cs="宋体"/>
          <w:highlight w:val="none"/>
        </w:rPr>
        <w:t>推进广播电视媒体科普宣传工作。为更好地发挥广播电视媒体在科普宣传中的作用，市科协加强广播电视媒体科普工作。利用电视专题栏目《科普大篷车》向观众展播节能环保科普节目，2015年科协与南雄电视台协商，从5月10日起，利用电视专题栏目《科普大篷车》向观众展播“5·12国家防灾减灾日”宣传咨询服务活动、农村党员骨干实用技术培训科普节目，让观众在寓教于乐的电视节目中增加相关知识。在这期间，南雄电视台选取多年来曾在电视专题栏目《科普大篷车》播放的节能环保科普节目，进行重播。如：《天气的变化对人类的影响》《科技探索——汽车的绿能源》等，这些节能环保科普电视片，从科学知识的角度，从节约能源的角度，从保护人类生态环境的角度，用科学的思维方法，用生动的画面和语言，从正反两方面告诉人们，节约能源、保护人类生态环境刻不容缓。节目重播至6月25日，历时一个半月，节目重播获得良好的社会反响。利用科普画廊进行科普知识宣传。在科技进步月活动期间，南雄市科协利用现有科普画廊张贴挂图进行节约能源资源、“5·12国家防灾减灾日”宣传咨询服务活动、农村党员骨干实用技术培训、保护人类生态环境、安全健康等科普宣传，如《低碳生活在身边》《节约用电小窍门》《野外逃生技能》《儿童口手足病预防》《泥石流等自然灾害预防基本知识》。通过张贴挂图，让市民在直观浅显的图例中学到科普知识。</w:t>
      </w:r>
    </w:p>
    <w:p w14:paraId="20A6BC53">
      <w:pPr>
        <w:pStyle w:val="4"/>
        <w:bidi w:val="0"/>
        <w:rPr>
          <w:rFonts w:hint="eastAsia"/>
          <w:highlight w:val="none"/>
        </w:rPr>
      </w:pPr>
      <w:r>
        <w:rPr>
          <w:rFonts w:hint="eastAsia"/>
          <w:highlight w:val="none"/>
        </w:rPr>
        <w:t>【科普惠农行动】</w:t>
      </w:r>
    </w:p>
    <w:p w14:paraId="73FCE36A">
      <w:pPr>
        <w:rPr>
          <w:rFonts w:hint="eastAsia" w:hAnsi="宋体" w:cs="宋体"/>
          <w:highlight w:val="none"/>
        </w:rPr>
      </w:pPr>
      <w:r>
        <w:rPr>
          <w:rFonts w:hint="eastAsia" w:hAnsi="宋体" w:cs="宋体"/>
          <w:highlight w:val="none"/>
        </w:rPr>
        <w:t>南雄市科协以农业增效、农民增收为中心，以提高农民科技素质为切入点，以普及推广农业新技术为重点内容，开展科普惠农行动，为社会主义新农村建设服务。农技科普知识进村入户方便广大农民。科普宣传活动启动式颇具特色。启动“全国科普日”系列活动，进行病虫害预防、大棚反季节蔬菜种植、果树种植与嫁接、意蜂养殖专业技术知识讲座。市农业局、林业局、农科所、果业协会等单位和学会工作负责人，18个乡镇（街道）的部分村支部书记、村长、当地种养户300多人参加会议，取得良好宣传教育和培训效果；科普宣传极具影响力。9月16日上午，市科协、卫生、农机、畜牧、农业、林业等10个市直部门单位学会联合在黄坑镇启动开展科普日活动仪式。活动中分别发放饮食与健康、节能知识宣传资料、种、养、加工实用技术书籍</w:t>
      </w:r>
      <w:r>
        <w:rPr>
          <w:rFonts w:hint="eastAsia" w:hAnsi="宋体" w:cs="宋体"/>
          <w:highlight w:val="none"/>
          <w:lang w:eastAsia="zh-CN"/>
        </w:rPr>
        <w:t>；</w:t>
      </w:r>
      <w:r>
        <w:rPr>
          <w:rFonts w:hint="eastAsia" w:hAnsi="宋体" w:cs="宋体"/>
          <w:highlight w:val="none"/>
        </w:rPr>
        <w:t>展示建设节约型社会图片，禽流感图片，机用机器，节能产品和各种生活知识、节能知识的挂图，开展各类科普知识咨询服务，吸引数千名群众参与，并观看图片和展板，各个层次的群众纷纷等候咨询和领取宣传资料，取得良好的宣传效果。</w:t>
      </w:r>
    </w:p>
    <w:p w14:paraId="6CDB3B9D">
      <w:pPr>
        <w:rPr>
          <w:rFonts w:hint="eastAsia" w:hAnsi="宋体" w:cs="宋体"/>
          <w:highlight w:val="none"/>
        </w:rPr>
      </w:pPr>
      <w:r>
        <w:rPr>
          <w:rFonts w:hint="eastAsia" w:hAnsi="宋体" w:cs="宋体"/>
          <w:highlight w:val="none"/>
        </w:rPr>
        <w:t>举办各类农业技术知识培训班。南雄市科协以科学发展观为指导，以科普惠农为出发点，结合本地实际，组织科技人员深入果树、蔬菜种植面积较大的镇开展培训，对种植户们进行指导，解决技术难题。9月28日，邀请广东省昆虫研究所蜜蜂研究中心罗垂雄教授到该市湖口镇关于“中华蜂蜜养殖技术和蜂产品质量与安全生产技术”专业知识作专题讲座，参加培训人员有120多人。2015年，分别在市农业局、湖口、珠玑、黄坑等镇举办“果树种植实用技术培训班”，邀请省农科院教授作讲座，100多名果树种植专业户参加培训。并通过到实地有针对性地讲授果树病虫害的防治、老果树的改造等问题，解答在生产中遇到的实际问题，使农民收获很大，许多农民把在培训中学到的本领迅速应用于生产实践，真正实现学以致用，为发展农业生产，增加农民收入，起到一定作用。全市举办各类农技培训班7次，参加培训人数1300多人次。</w:t>
      </w:r>
    </w:p>
    <w:p w14:paraId="5AB002CB">
      <w:pPr>
        <w:rPr>
          <w:rFonts w:hint="eastAsia" w:hAnsi="宋体" w:cs="宋体"/>
          <w:highlight w:val="none"/>
        </w:rPr>
      </w:pPr>
      <w:r>
        <w:rPr>
          <w:rFonts w:hint="eastAsia" w:hAnsi="宋体" w:cs="宋体"/>
          <w:highlight w:val="none"/>
        </w:rPr>
        <w:t>实施“科普惠农兴村计划”，服务“三农”。开展经常性的送科技下乡活动。全市开展以“科普惠农兴村服务站、宣传栏、技术员”为内容的“站、栏、员”建设活动。为更直接有效地向广大农民宣传普及科学知识，市科协坚持开展经常性的送科技下乡活动。2015年，开展送科技下乡活动2次，组织科技工作者、科技专家50人次参与活动，向农民发放科普资料5种，3000份（册），使群众面对面与专家交流，更加接受、支持科普活动，并主动地参与到科普活动中来；结合挂钩帮扶工作出谋献策。组织科技人员深入到挂钩帮扶村，举行种养知识、农产品加工等实用技术讲座，以及解答农户们的难题来指导农村如何选择发展项目，推动当地的农业产业化发展，为今后一段时期帮扶工作打下基础；重点开展中国科协、财政部科普惠农兴村计划项目调研和申报工作，推荐上报1个农技协并已获得省科协的通过。2015年该科协将坪田镇刘炳推荐为省“基层科普行动计划”农村专业技术个人申报项目，并获得通过，同时也得到省科协5万元的奖补资金。通过实施“科普惠农兴村计划”工作，对促进农民增收致富、助推社会主义新农村建设起到推动作用。</w:t>
      </w:r>
    </w:p>
    <w:p w14:paraId="6B88632D">
      <w:pPr>
        <w:pStyle w:val="4"/>
        <w:bidi w:val="0"/>
        <w:rPr>
          <w:rFonts w:hint="eastAsia"/>
          <w:highlight w:val="none"/>
        </w:rPr>
      </w:pPr>
      <w:r>
        <w:rPr>
          <w:rFonts w:hint="eastAsia"/>
          <w:highlight w:val="none"/>
        </w:rPr>
        <w:t>【科普进校园活动】</w:t>
      </w:r>
    </w:p>
    <w:p w14:paraId="48C32A4D">
      <w:pPr>
        <w:rPr>
          <w:rFonts w:hint="eastAsia" w:hAnsi="宋体" w:cs="宋体"/>
          <w:highlight w:val="none"/>
        </w:rPr>
      </w:pPr>
      <w:r>
        <w:rPr>
          <w:rFonts w:hint="eastAsia" w:hAnsi="宋体" w:cs="宋体"/>
          <w:highlight w:val="none"/>
        </w:rPr>
        <w:t>在韶关市科协、科技馆以及南雄市教育局的支持和配合下组织开展一系列规模大、影响力强的“科普进校园活动”。涉及飞机模型、电力、声学、生命科、技防灾减灾等多个领域，具有科学性、趣味性、互动性强等特点，其中，2015年4月，由韶关市科学技术协会举办、韶关市科技馆、南雄市科协承办的“科技馆进百校”活动，分别在南雄市一小、黎灿小学等学校举行。此次“科技馆进百校”活动内容丰富，形式多样，有科普图片展、飞机模型、益智玩具体验、科普秀表演、科普知识有奖问答和励志课等，该两所学校四、五年级分别组织1000多名师生参加现场活动。整个活动，孩子们在欢声笑语中愉快地过上一把“校园科技瘾”，既开阔他们的视野，更点燃他们向往科学、热爱科学的信念。韶关市科协主席郑适、南雄市科协主席吴美华、科协副主席董书祥及南雄市教育局有关领导等参加活动。（杨小凤）</w:t>
      </w:r>
    </w:p>
    <w:p w14:paraId="6F11B358">
      <w:pPr>
        <w:rPr>
          <w:rFonts w:hint="eastAsia" w:hAnsi="宋体" w:cs="宋体"/>
          <w:highlight w:val="none"/>
        </w:rPr>
      </w:pPr>
      <w:r>
        <w:rPr>
          <w:rFonts w:hint="eastAsia" w:hAnsi="宋体" w:cs="宋体"/>
          <w:highlight w:val="none"/>
        </w:rPr>
        <w:t>附：2015年市科协领导班子成员名单</w:t>
      </w:r>
    </w:p>
    <w:p w14:paraId="15AEB79D">
      <w:pPr>
        <w:rPr>
          <w:rFonts w:hint="eastAsia" w:hAnsi="宋体" w:cs="宋体"/>
          <w:highlight w:val="none"/>
        </w:rPr>
      </w:pPr>
      <w:r>
        <w:rPr>
          <w:rFonts w:hint="eastAsia" w:hAnsi="宋体" w:cs="宋体"/>
          <w:highlight w:val="none"/>
        </w:rPr>
        <w:t>主席：吴美华</w:t>
      </w:r>
    </w:p>
    <w:p w14:paraId="4F0D4180">
      <w:pPr>
        <w:rPr>
          <w:rFonts w:hint="eastAsia" w:hAnsi="宋体" w:cs="宋体"/>
          <w:highlight w:val="none"/>
        </w:rPr>
      </w:pPr>
      <w:r>
        <w:rPr>
          <w:rFonts w:hint="eastAsia" w:hAnsi="宋体" w:cs="宋体"/>
          <w:highlight w:val="none"/>
        </w:rPr>
        <w:t>副主席：董书祥</w:t>
      </w:r>
    </w:p>
    <w:p w14:paraId="7A8C60D8">
      <w:pPr>
        <w:pStyle w:val="3"/>
        <w:bidi w:val="0"/>
        <w:rPr>
          <w:rFonts w:hint="eastAsia"/>
          <w:highlight w:val="none"/>
        </w:rPr>
      </w:pPr>
      <w:r>
        <w:rPr>
          <w:rFonts w:hint="eastAsia"/>
          <w:highlight w:val="none"/>
        </w:rPr>
        <w:t>华侨联合会</w:t>
      </w:r>
    </w:p>
    <w:p w14:paraId="44260E06">
      <w:pPr>
        <w:pStyle w:val="4"/>
        <w:bidi w:val="0"/>
        <w:rPr>
          <w:rFonts w:hint="eastAsia"/>
          <w:highlight w:val="none"/>
        </w:rPr>
      </w:pPr>
      <w:r>
        <w:rPr>
          <w:rFonts w:hint="eastAsia"/>
          <w:highlight w:val="none"/>
        </w:rPr>
        <w:t>【概况】</w:t>
      </w:r>
    </w:p>
    <w:p w14:paraId="5DF225AF">
      <w:pPr>
        <w:rPr>
          <w:rFonts w:hint="eastAsia" w:hAnsi="宋体" w:cs="宋体"/>
          <w:highlight w:val="none"/>
        </w:rPr>
      </w:pPr>
      <w:r>
        <w:rPr>
          <w:rFonts w:hint="eastAsia" w:hAnsi="宋体" w:cs="宋体"/>
          <w:highlight w:val="none"/>
        </w:rPr>
        <w:t>南雄市归国华侨联合会（简称侨联），与统战部合署办公，是在市委领导下，由归侨侨眷组成的人民团体，是党和政府联系广大归侨侨眷的桥梁和纽带。南雄市侨联的基本职能是引导和组织归侨、侨眷贯彻执行以经济建设为中心，坚持四项基本原则，坚持改革开放的基本路线，围绕经济建设这一中心，广泛团结和动员归侨侨眷兴办企事业和海外侨胞投身改革开放和现代化建设，促进海外侨胞与祖国进行经济合作和科技交流；为归侨、侨眷兴办企事业和海外侨胞来华投资服务，办好侨联所属企事业；参与国家政治、经济、文化和社会事务活动，反映归侨、侨眷和海外侨胞的意见和要求；参与政治协商，发挥民主监督作用；参与协商和推荐人民代表大会和政治协商会议的归侨侨眷代表、委员人选；参与起草有关法律法规草案，促进社会主义民主与法制建设；弘扬中华优秀传统文化，开展海内外学术交流，协助归侨侨眷和海外侨胞在国内兴办文教卫生和其他社会公益事业；密切与海外侨胞及社团的联系，促进乡谊亲情，鼓励他们同居住地人民和睦相处，为居住地的繁荣和发展作出贡献。</w:t>
      </w:r>
    </w:p>
    <w:p w14:paraId="57763975">
      <w:pPr>
        <w:pStyle w:val="4"/>
        <w:bidi w:val="0"/>
        <w:rPr>
          <w:rFonts w:hint="eastAsia"/>
          <w:highlight w:val="none"/>
        </w:rPr>
      </w:pPr>
      <w:r>
        <w:rPr>
          <w:rFonts w:hint="eastAsia"/>
          <w:highlight w:val="none"/>
        </w:rPr>
        <w:t>【落实《关于加强和改进新形势下侨联工作的意见》】</w:t>
      </w:r>
    </w:p>
    <w:p w14:paraId="7E81F629">
      <w:pPr>
        <w:rPr>
          <w:rFonts w:hint="eastAsia" w:hAnsi="宋体" w:cs="宋体"/>
          <w:highlight w:val="none"/>
        </w:rPr>
      </w:pPr>
      <w:r>
        <w:rPr>
          <w:rFonts w:hint="eastAsia" w:hAnsi="宋体" w:cs="宋体"/>
          <w:highlight w:val="none"/>
        </w:rPr>
        <w:t>中共中央办公厅下发《关于加强和改进新形势下侨联工作的意见》，这是首次以中央红头文件的方式，为新时期侨联工作做好定位、指明方向、明确任务，在侨联工作历史上具有里程碑意义。该市侨联迅速传达学习，领会其精神并贯彻、宣传、落实好。在组织建设方面，与市领导沟通，原市领导兼任的侨联主席现调整为单独设置，该市侨联干部队伍提升战斗力。</w:t>
      </w:r>
    </w:p>
    <w:p w14:paraId="7A71C425">
      <w:pPr>
        <w:pStyle w:val="4"/>
        <w:bidi w:val="0"/>
        <w:rPr>
          <w:rFonts w:hint="eastAsia"/>
          <w:highlight w:val="none"/>
        </w:rPr>
      </w:pPr>
      <w:r>
        <w:rPr>
          <w:rFonts w:hint="eastAsia"/>
          <w:highlight w:val="none"/>
        </w:rPr>
        <w:t>【完善侨情普查工作】</w:t>
      </w:r>
    </w:p>
    <w:p w14:paraId="31822A0B">
      <w:pPr>
        <w:rPr>
          <w:rFonts w:hint="eastAsia" w:hAnsi="宋体" w:cs="宋体"/>
          <w:highlight w:val="none"/>
        </w:rPr>
      </w:pPr>
      <w:r>
        <w:rPr>
          <w:rFonts w:hint="eastAsia" w:hAnsi="宋体" w:cs="宋体"/>
          <w:highlight w:val="none"/>
        </w:rPr>
        <w:t>侨情是做好侨联工作的基础，也是体现党和政府对海外侨胞和国内归侨侨眷的关心和重视。该市下发《关于南雄市侨联侨情调查实施方案》，通过各部门、各单位进行归侨侨眷调查摸底，级级宣传、上报形成侨情档案资料。做好侨情资料建立电子档案。把调查了解到的新增加的华侨华人和港澳同胞的家庭人员、从事职业和联系电话等基本情况建档，并提供给市有关领导，为该市做好海外及港澳侨联工作奠定基础。通过深入到各部门、各单位进行归侨侨眷调查，完善侨情情况。</w:t>
      </w:r>
    </w:p>
    <w:p w14:paraId="2F606FE1">
      <w:pPr>
        <w:pStyle w:val="4"/>
        <w:bidi w:val="0"/>
        <w:rPr>
          <w:rFonts w:hint="eastAsia"/>
          <w:highlight w:val="none"/>
        </w:rPr>
      </w:pPr>
      <w:r>
        <w:rPr>
          <w:rFonts w:hint="eastAsia"/>
          <w:highlight w:val="none"/>
        </w:rPr>
        <w:t>【发挥侨联组织新作用】</w:t>
      </w:r>
    </w:p>
    <w:p w14:paraId="3EA3CF94">
      <w:pPr>
        <w:rPr>
          <w:rFonts w:hint="eastAsia" w:hAnsi="宋体" w:cs="宋体"/>
          <w:highlight w:val="none"/>
        </w:rPr>
      </w:pPr>
      <w:r>
        <w:rPr>
          <w:rFonts w:hint="eastAsia" w:hAnsi="宋体" w:cs="宋体"/>
          <w:highlight w:val="none"/>
        </w:rPr>
        <w:t>发挥侨联桥梁和纽带作用，加强对侨界群众的宣传和引导，通过为侨服务举措努力把侨联组织建设成为“可依靠的侨界之家”。维护他们的合法权益，为他们排忧解难，是侨联义不容辞的职责。做好政协委员议案、提案的答复工作，维护侨胞的合法权益，向人大、政协推荐列席会议的侨界代表。争取侨资企业支持筹集扶贫款项，帮扶贫困地区。组织该市侨眷代表参加韶关市第十一次归侨侨眷代表大会，该市苏里南归侨伍贵林被评为韶关市归侨侨眷先进个人。并将旅美华人作家招思虹捐赠的《广源轮案》5套捐赠给南雄图书馆收藏。</w:t>
      </w:r>
    </w:p>
    <w:p w14:paraId="00E8C683">
      <w:pPr>
        <w:pStyle w:val="4"/>
        <w:bidi w:val="0"/>
        <w:rPr>
          <w:rFonts w:hint="eastAsia"/>
          <w:highlight w:val="none"/>
        </w:rPr>
      </w:pPr>
      <w:r>
        <w:rPr>
          <w:rFonts w:hint="eastAsia"/>
          <w:highlight w:val="none"/>
        </w:rPr>
        <w:t>【对外联谊】</w:t>
      </w:r>
    </w:p>
    <w:p w14:paraId="177095B9">
      <w:pPr>
        <w:rPr>
          <w:rFonts w:hint="eastAsia" w:hAnsi="宋体" w:cs="宋体"/>
          <w:highlight w:val="none"/>
        </w:rPr>
      </w:pPr>
      <w:r>
        <w:rPr>
          <w:rFonts w:hint="eastAsia" w:hAnsi="宋体" w:cs="宋体"/>
          <w:highlight w:val="none"/>
        </w:rPr>
        <w:t>侨联组织与华侨华人，港澳同胞及侨团、社团组织联系面广，在开展对外联谊活动中，有着其他部门和单位不可代替的作用。2015年，该会配合市有关部门，通过“走出去”，以港澳为基地，开展对外联谊工作。应邀到港澳参加有关侨团和社团举办的庆典和会务等活动。在港期间，先后拜访香港金城营造集团主席王锦辉先生、广高（香港）有限公司董事总经理、香港开联工业中心管委会主席黄慧琼女士等。该市侨联克服人员少、接待任务繁重等困难，做好接待工作，做到热情周到接待好每位来南雄的客人。7月，澳门年记运输有限公司董事长陈万年先生率领澳门工商人士一行20多人到南雄进行商务考察；协助做好南雄市珠玑联谊会成立大会及南雄市第二届姓氏文化节工作。密切配合有关部，做好对外联谊和接待工作，加强与有关侨团、社团组织和华侨华人、港澳同胞的联系，增进彼此间的友好情谊，扩大共识，增强相互间的交流与合作，激发他们“爱国爱乡”之情。</w:t>
      </w:r>
    </w:p>
    <w:p w14:paraId="1793F182">
      <w:pPr>
        <w:rPr>
          <w:rFonts w:hint="eastAsia" w:hAnsi="宋体" w:cs="宋体"/>
          <w:highlight w:val="none"/>
        </w:rPr>
      </w:pPr>
      <w:r>
        <w:rPr>
          <w:rFonts w:hint="eastAsia" w:hAnsi="宋体" w:cs="宋体"/>
          <w:highlight w:val="none"/>
        </w:rPr>
        <w:t>附：2015年市侨联领导班子成员名单</w:t>
      </w:r>
    </w:p>
    <w:p w14:paraId="4055813D">
      <w:pPr>
        <w:rPr>
          <w:rFonts w:hint="eastAsia" w:hAnsi="宋体" w:cs="宋体"/>
          <w:highlight w:val="none"/>
        </w:rPr>
      </w:pPr>
      <w:r>
        <w:rPr>
          <w:rFonts w:hint="eastAsia" w:hAnsi="宋体" w:cs="宋体"/>
          <w:highlight w:val="none"/>
        </w:rPr>
        <w:t>主席：刘志梅</w:t>
      </w:r>
    </w:p>
    <w:p w14:paraId="288035F5">
      <w:pPr>
        <w:rPr>
          <w:rFonts w:hint="eastAsia" w:hAnsi="宋体" w:cs="宋体"/>
          <w:highlight w:val="none"/>
        </w:rPr>
      </w:pPr>
      <w:r>
        <w:rPr>
          <w:rFonts w:hint="eastAsia" w:hAnsi="宋体" w:cs="宋体"/>
          <w:highlight w:val="none"/>
        </w:rPr>
        <w:t>副主席：华春君</w:t>
      </w:r>
    </w:p>
    <w:p w14:paraId="6712FF74">
      <w:pPr>
        <w:pStyle w:val="3"/>
        <w:bidi w:val="0"/>
        <w:rPr>
          <w:rFonts w:hint="eastAsia"/>
          <w:highlight w:val="none"/>
        </w:rPr>
      </w:pPr>
      <w:r>
        <w:rPr>
          <w:rFonts w:hint="eastAsia"/>
          <w:highlight w:val="none"/>
        </w:rPr>
        <w:t>民族宗教事务</w:t>
      </w:r>
    </w:p>
    <w:p w14:paraId="58D8D642">
      <w:pPr>
        <w:pStyle w:val="4"/>
        <w:bidi w:val="0"/>
        <w:rPr>
          <w:rFonts w:hint="eastAsia"/>
          <w:highlight w:val="none"/>
        </w:rPr>
      </w:pPr>
      <w:r>
        <w:rPr>
          <w:rFonts w:hint="eastAsia"/>
          <w:highlight w:val="none"/>
        </w:rPr>
        <w:t>【概况】</w:t>
      </w:r>
    </w:p>
    <w:p w14:paraId="05750DB8">
      <w:pPr>
        <w:rPr>
          <w:rFonts w:hint="eastAsia" w:hAnsi="宋体" w:cs="宋体"/>
          <w:highlight w:val="none"/>
        </w:rPr>
      </w:pPr>
      <w:r>
        <w:rPr>
          <w:rFonts w:hint="eastAsia" w:hAnsi="宋体" w:cs="宋体"/>
          <w:highlight w:val="none"/>
        </w:rPr>
        <w:t>根据《中共南雄市委、南雄市人民政府关于印发〈南雄市人民政府机构改革方案〉的通知》设立南雄市民族宗教事务局，为市人民政府工作部门，与中共南雄市委统一战线工作部合署办公。其职责是：（一）贯彻执行上级有关民族、宗教工作的方针政策和法律法规。（二）负责协调推动有关部门履行民族、宗教工作相关职责，促进民族政策在经济发展和社会事业有关领域的实施，防范利用宗教进行非法、违法活动，抵御境外利用宗教进行渗透活动。（三）提出协调民族、宗教关系的工作建议，协调处理民族、宗教关系中的重大事项，促进民族间的平等团结、互助合作，保障少数民族和宗教界的合法权益，维护民族、宗教领域的和谐稳定。（四）负责组织指导民族、宗教政策和法律法规的宣传教育工作，协调涉及民族因素的重大庆典活动，依法履行宗教事务管理职责，依法保护公民宗教信仰自由和正常的宗教活动。（五）指导宗教团体依法依章开展活动，支持宗教团体加强自身建设，推动宗教团体开展爱国主义、社会主义、维护祖国统一和民族团结教育，办理宗教团体需由政府帮助解决或协调的有关事务。</w:t>
      </w:r>
    </w:p>
    <w:p w14:paraId="63F80566">
      <w:pPr>
        <w:pStyle w:val="4"/>
        <w:bidi w:val="0"/>
        <w:rPr>
          <w:rFonts w:hint="eastAsia"/>
          <w:highlight w:val="none"/>
        </w:rPr>
      </w:pPr>
      <w:r>
        <w:rPr>
          <w:rFonts w:hint="eastAsia"/>
          <w:highlight w:val="none"/>
        </w:rPr>
        <w:t>【民族宗教法规宣传】</w:t>
      </w:r>
    </w:p>
    <w:p w14:paraId="7B3CFF77">
      <w:pPr>
        <w:rPr>
          <w:rFonts w:hint="eastAsia" w:hAnsi="宋体" w:cs="宋体"/>
          <w:highlight w:val="none"/>
        </w:rPr>
      </w:pPr>
      <w:r>
        <w:rPr>
          <w:rFonts w:hint="eastAsia" w:hAnsi="宋体" w:cs="宋体"/>
          <w:highlight w:val="none"/>
        </w:rPr>
        <w:t>广泛深入地开展《宗教事务条例》学习，转发《省民宗厅关于在全省宗教界开展以“学习贯彻党的十八大精神”为主题的宗教政策法规学习月活动的通知》《关于开展创建和谐“寺观教堂”活动的意见》《宗教活动场所财务监督管理办法（试行）的通知》等，发放至各基层单位及团体、场所组织开展学习。做到学法、懂法、用法、依法，提高依法管理水平。让他们认识到“创建和谐寺观教堂活动”的重要意义，善始善终搞好创建活动。通过“创建和谐寺观教堂活动”促进宗教和睦，社会和谐。</w:t>
      </w:r>
    </w:p>
    <w:p w14:paraId="1C4F2C3F">
      <w:pPr>
        <w:pStyle w:val="4"/>
        <w:bidi w:val="0"/>
        <w:rPr>
          <w:rFonts w:hint="eastAsia"/>
          <w:highlight w:val="none"/>
        </w:rPr>
      </w:pPr>
      <w:r>
        <w:rPr>
          <w:rFonts w:hint="eastAsia"/>
          <w:highlight w:val="none"/>
        </w:rPr>
        <w:t>【少数民族基本情况调查】</w:t>
      </w:r>
    </w:p>
    <w:p w14:paraId="060C36CB">
      <w:pPr>
        <w:rPr>
          <w:rFonts w:hint="eastAsia" w:hAnsi="宋体" w:cs="宋体"/>
          <w:highlight w:val="none"/>
        </w:rPr>
      </w:pPr>
      <w:r>
        <w:rPr>
          <w:rFonts w:hint="eastAsia" w:hAnsi="宋体" w:cs="宋体"/>
          <w:highlight w:val="none"/>
        </w:rPr>
        <w:t>确认南雄市少数民族分布在16个镇1个街道的47个行政村内，有1833户6575人，主要姓氏是畲族的蓝姓和雷姓。较全面掌握全市少数民族村民迫切需要解决的通水、通电、通路和子女入学困难的问题，健全少数民族村民生问题信息资料库。</w:t>
      </w:r>
    </w:p>
    <w:p w14:paraId="6B6D64DE">
      <w:pPr>
        <w:pStyle w:val="4"/>
        <w:bidi w:val="0"/>
        <w:rPr>
          <w:rFonts w:hint="eastAsia"/>
          <w:highlight w:val="none"/>
        </w:rPr>
      </w:pPr>
      <w:r>
        <w:rPr>
          <w:rFonts w:hint="eastAsia"/>
          <w:highlight w:val="none"/>
        </w:rPr>
        <w:t>【落实民族政策】</w:t>
      </w:r>
    </w:p>
    <w:p w14:paraId="7ACF0378">
      <w:pPr>
        <w:rPr>
          <w:rFonts w:hint="eastAsia" w:hAnsi="宋体" w:cs="宋体"/>
          <w:highlight w:val="none"/>
        </w:rPr>
      </w:pPr>
      <w:r>
        <w:rPr>
          <w:rFonts w:hint="eastAsia" w:hAnsi="宋体" w:cs="宋体"/>
          <w:highlight w:val="none"/>
        </w:rPr>
        <w:t>促进民族村经济社会事业发展。3月，民宗局深入到各少数民族聚居村进行调研，汇合调研的情况，该局2015年规划帮扶的少数民族发展资金项目2个，为少数民族群众脱贫奔康创造条件。深入贯彻落实党和国家的民族政策，做好该市少数民族考生的报考工作，使更多的畲族和汉族考生享受到“粤民族生高考优惠政策”。帮助办理好少数民族高考生45名和中考生38名有关审核工作。</w:t>
      </w:r>
    </w:p>
    <w:p w14:paraId="54ECB5FD">
      <w:pPr>
        <w:pStyle w:val="4"/>
        <w:bidi w:val="0"/>
        <w:rPr>
          <w:rFonts w:hint="eastAsia"/>
          <w:highlight w:val="none"/>
        </w:rPr>
      </w:pPr>
      <w:r>
        <w:rPr>
          <w:rFonts w:hint="eastAsia"/>
          <w:highlight w:val="none"/>
        </w:rPr>
        <w:t>【宗教场所建设】</w:t>
      </w:r>
    </w:p>
    <w:p w14:paraId="3B23550E">
      <w:pPr>
        <w:rPr>
          <w:rFonts w:hint="eastAsia" w:hAnsi="宋体" w:cs="宋体"/>
          <w:highlight w:val="none"/>
        </w:rPr>
      </w:pPr>
      <w:r>
        <w:rPr>
          <w:rFonts w:hint="eastAsia" w:hAnsi="宋体" w:cs="宋体"/>
          <w:highlight w:val="none"/>
        </w:rPr>
        <w:t>帮助大雄禅寺基本完善工程建设；做好洞真古观（道教）的开发利用工作；协助莲开净寺做好牌坊建设，丰富宗教文化内涵；协助万善庵做好客房修建工作，完善寺院布局。</w:t>
      </w:r>
    </w:p>
    <w:p w14:paraId="4B4FBEFA">
      <w:pPr>
        <w:rPr>
          <w:rFonts w:hint="eastAsia" w:hAnsi="宋体" w:cs="宋体"/>
          <w:b/>
          <w:highlight w:val="none"/>
        </w:rPr>
      </w:pPr>
      <w:r>
        <w:rPr>
          <w:rFonts w:hint="eastAsia" w:hAnsi="宋体" w:cs="宋体"/>
          <w:highlight w:val="none"/>
        </w:rPr>
        <w:t>附：2015年市民宗局领导班子成</w:t>
      </w:r>
      <w:r>
        <w:rPr>
          <w:rFonts w:hint="eastAsia" w:hAnsi="宋体" w:cs="宋体"/>
          <w:b/>
          <w:highlight w:val="none"/>
        </w:rPr>
        <w:t>员名单</w:t>
      </w:r>
    </w:p>
    <w:p w14:paraId="040A47F7">
      <w:pPr>
        <w:rPr>
          <w:rFonts w:hint="eastAsia" w:hAnsi="宋体" w:cs="宋体"/>
          <w:highlight w:val="none"/>
        </w:rPr>
      </w:pPr>
      <w:r>
        <w:rPr>
          <w:rFonts w:hint="eastAsia" w:hAnsi="宋体" w:cs="宋体"/>
          <w:b/>
          <w:highlight w:val="none"/>
        </w:rPr>
        <w:t>局</w:t>
      </w:r>
      <w:r>
        <w:rPr>
          <w:rFonts w:hint="eastAsia" w:hAnsi="宋体" w:cs="宋体"/>
          <w:b/>
          <w:highlight w:val="none"/>
          <w:lang w:val="en-US" w:eastAsia="zh-CN"/>
        </w:rPr>
        <w:t xml:space="preserve">  </w:t>
      </w:r>
      <w:r>
        <w:rPr>
          <w:rFonts w:hint="eastAsia" w:hAnsi="宋体" w:cs="宋体"/>
          <w:highlight w:val="none"/>
        </w:rPr>
        <w:t>长：刘光胜</w:t>
      </w:r>
    </w:p>
    <w:p w14:paraId="0A2D3BEE">
      <w:pPr>
        <w:pStyle w:val="3"/>
        <w:bidi w:val="0"/>
        <w:rPr>
          <w:rFonts w:hint="eastAsia"/>
          <w:highlight w:val="none"/>
        </w:rPr>
      </w:pPr>
      <w:r>
        <w:rPr>
          <w:rFonts w:hint="eastAsia"/>
          <w:highlight w:val="none"/>
        </w:rPr>
        <w:t>社科联</w:t>
      </w:r>
    </w:p>
    <w:p w14:paraId="6A1E5C26">
      <w:pPr>
        <w:pStyle w:val="4"/>
        <w:bidi w:val="0"/>
        <w:rPr>
          <w:rFonts w:hint="eastAsia"/>
          <w:highlight w:val="none"/>
        </w:rPr>
      </w:pPr>
      <w:r>
        <w:rPr>
          <w:rFonts w:hint="eastAsia"/>
          <w:highlight w:val="none"/>
        </w:rPr>
        <w:t>【概况】</w:t>
      </w:r>
    </w:p>
    <w:p w14:paraId="28B277E8">
      <w:pPr>
        <w:rPr>
          <w:rFonts w:hint="eastAsia" w:hAnsi="宋体" w:cs="宋体"/>
          <w:highlight w:val="none"/>
        </w:rPr>
      </w:pPr>
      <w:r>
        <w:rPr>
          <w:rFonts w:hint="eastAsia" w:hAnsi="宋体" w:cs="宋体"/>
          <w:highlight w:val="none"/>
        </w:rPr>
        <w:t>南雄市社会科学联合会（简称社科联），属市委管辖正科级单位，在职干部2名。该联围绕市委、市政府中心工作，解放思想、开拓创新，以党的十八大精神为指南，深入学习中央五中全会精神，贯彻落实省、市社科工作会议部署，面向基层社科界，整顿工作作风，理清南雄社科工作新思路，发现新情况，探索新问题，走出新路子，开创新局面，开展社科普及工作，推动该市社科工作全面发展，发展南雄的哲学社会科学事业，为市委、市政府决策和建设服务。</w:t>
      </w:r>
    </w:p>
    <w:p w14:paraId="051DE297">
      <w:pPr>
        <w:pStyle w:val="4"/>
        <w:bidi w:val="0"/>
        <w:rPr>
          <w:rFonts w:hint="eastAsia"/>
          <w:highlight w:val="none"/>
        </w:rPr>
      </w:pPr>
      <w:r>
        <w:rPr>
          <w:rFonts w:hint="eastAsia"/>
          <w:highlight w:val="none"/>
        </w:rPr>
        <w:t>【转变作风，服务基层】</w:t>
      </w:r>
    </w:p>
    <w:p w14:paraId="237B894A">
      <w:pPr>
        <w:rPr>
          <w:rFonts w:hint="eastAsia" w:hAnsi="宋体" w:cs="宋体"/>
          <w:highlight w:val="none"/>
        </w:rPr>
      </w:pPr>
      <w:r>
        <w:rPr>
          <w:rFonts w:hint="eastAsia" w:hAnsi="宋体" w:cs="宋体"/>
          <w:highlight w:val="none"/>
        </w:rPr>
        <w:t>该联以雄州街道河南村被评为“广东省优质社科基地”这个金字招牌为契机，年初制定出河南村社科普及活动规划、实施方案，精心组织专题大型社科普及活动，争取韶关市社科联、南雄市委、市政府支持，投入资金2万多元完善该基地硬件设施，做好宣传橱窗、功能阅览室等，为开展丰富多彩、形式多样的社科知识普及搭好服务平台，提升群众社科素质，促进南雄各项事业的发展服务。</w:t>
      </w:r>
    </w:p>
    <w:p w14:paraId="13D6649D">
      <w:pPr>
        <w:pStyle w:val="4"/>
        <w:bidi w:val="0"/>
        <w:rPr>
          <w:rFonts w:hint="eastAsia"/>
          <w:highlight w:val="none"/>
        </w:rPr>
      </w:pPr>
      <w:r>
        <w:rPr>
          <w:rFonts w:hint="eastAsia"/>
          <w:highlight w:val="none"/>
        </w:rPr>
        <w:t>【社科课题研究和项目申报】</w:t>
      </w:r>
    </w:p>
    <w:p w14:paraId="4A3E7F6C">
      <w:pPr>
        <w:rPr>
          <w:rFonts w:hint="eastAsia" w:hAnsi="宋体" w:cs="宋体"/>
          <w:highlight w:val="none"/>
        </w:rPr>
      </w:pPr>
      <w:r>
        <w:rPr>
          <w:rFonts w:hint="eastAsia" w:hAnsi="宋体" w:cs="宋体"/>
          <w:highlight w:val="none"/>
        </w:rPr>
        <w:t>发挥社科职能，开展重点课题立项申报、学术调研年会征文等工作。按照省、市社科联要求，市社科联及时组织各学会、协会及相关单位开展“省社科普及规划项目申报立项”、“省社科研究‘十三五’规划、2015年度项目申报”和市社科联年度重点研究课题立项、申报、课题评比等工作。配合韶关社科联开展社科学术名人录报送，上送南雄哲学社会科学参评书籍8本。立足市情，关注热点难点问题，组织有关学会、协会开展社科学术调研、主题研讨。该联围绕市委中心工作，组织省、市专家学者，开展《关于南雄文化旅游产业融合发展的思考》学习，并提交1万多字研讨文章，对南雄文化建设和旅游业发展进行更深层次的研究探讨，为领导科学决策提供参考。同时，为加强对市社科联所属学会、协会管理。</w:t>
      </w:r>
    </w:p>
    <w:p w14:paraId="37EF533B">
      <w:pPr>
        <w:pStyle w:val="4"/>
        <w:bidi w:val="0"/>
        <w:rPr>
          <w:rFonts w:hint="eastAsia"/>
          <w:highlight w:val="none"/>
        </w:rPr>
      </w:pPr>
      <w:r>
        <w:rPr>
          <w:rFonts w:hint="eastAsia"/>
          <w:highlight w:val="none"/>
        </w:rPr>
        <w:t>【开展《广东省社会科学普及条例》宣传】</w:t>
      </w:r>
    </w:p>
    <w:p w14:paraId="14178550">
      <w:pPr>
        <w:rPr>
          <w:rFonts w:hint="eastAsia" w:hAnsi="宋体" w:cs="宋体"/>
          <w:highlight w:val="none"/>
        </w:rPr>
      </w:pPr>
      <w:r>
        <w:rPr>
          <w:rFonts w:hint="eastAsia" w:hAnsi="宋体" w:cs="宋体"/>
          <w:highlight w:val="none"/>
        </w:rPr>
        <w:t>2014年9月1日，广东省人大常委会颁布实施《广东省社会科学普及条例》，这是社科界的一件大事，社会科学普及工件通过法律形式进行规划，社科人才、经费将有保障。该联进行广泛宣传，让广大党员干部、群众了解社科工作、投身于社会科学普及、传播科学思想、倡导科学方法、弘扬科学精神和人文精神。（郭泊铄）</w:t>
      </w:r>
    </w:p>
    <w:p w14:paraId="2B86940C">
      <w:pPr>
        <w:rPr>
          <w:rFonts w:hint="eastAsia" w:hAnsi="宋体" w:cs="宋体"/>
          <w:b w:val="0"/>
          <w:bCs w:val="0"/>
          <w:highlight w:val="none"/>
        </w:rPr>
      </w:pPr>
      <w:r>
        <w:rPr>
          <w:rFonts w:hint="eastAsia" w:hAnsi="宋体" w:cs="宋体"/>
          <w:b w:val="0"/>
          <w:bCs w:val="0"/>
          <w:highlight w:val="none"/>
        </w:rPr>
        <w:t>附：2015年市社科联领导班子成员名单</w:t>
      </w:r>
    </w:p>
    <w:p w14:paraId="0287B85C">
      <w:pPr>
        <w:rPr>
          <w:rFonts w:hint="eastAsia" w:hAnsi="宋体" w:cs="宋体"/>
          <w:b w:val="0"/>
          <w:bCs w:val="0"/>
          <w:highlight w:val="none"/>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席：沈学安（2月任）</w:t>
      </w:r>
    </w:p>
    <w:p w14:paraId="65A3244A">
      <w:pPr>
        <w:pStyle w:val="3"/>
        <w:bidi w:val="0"/>
        <w:rPr>
          <w:rFonts w:hint="eastAsia"/>
          <w:highlight w:val="none"/>
        </w:rPr>
      </w:pPr>
      <w:r>
        <w:rPr>
          <w:rFonts w:hint="eastAsia"/>
          <w:highlight w:val="none"/>
        </w:rPr>
        <w:t>文联</w:t>
      </w:r>
    </w:p>
    <w:p w14:paraId="267744A9">
      <w:pPr>
        <w:pStyle w:val="4"/>
        <w:bidi w:val="0"/>
        <w:rPr>
          <w:rFonts w:hint="eastAsia"/>
          <w:highlight w:val="none"/>
        </w:rPr>
      </w:pPr>
      <w:r>
        <w:rPr>
          <w:rFonts w:hint="eastAsia"/>
          <w:highlight w:val="none"/>
        </w:rPr>
        <w:t>【概况】</w:t>
      </w:r>
    </w:p>
    <w:p w14:paraId="44341345">
      <w:pPr>
        <w:rPr>
          <w:rFonts w:hint="eastAsia" w:hAnsi="宋体" w:cs="宋体"/>
          <w:highlight w:val="none"/>
        </w:rPr>
      </w:pPr>
      <w:r>
        <w:rPr>
          <w:rFonts w:hint="eastAsia" w:hAnsi="宋体" w:cs="宋体"/>
          <w:highlight w:val="none"/>
        </w:rPr>
        <w:t>南雄市文学艺术界联合会为正科级事业编制单位，编制为2人。2015年属下的美术协会、书法协会、老年书法协会、音乐舞蹈戏剧协会、摄影家协会、珠玑书画院、珠玑诗社、观赏石协会、演讲与口才协会、南雄市硬笔书法协会、南雄作家协会和南雄市民间文艺家协会等12个协会，出版《珠玑文艺》4期</w:t>
      </w:r>
      <w:r>
        <w:rPr>
          <w:rFonts w:hint="eastAsia" w:hAnsi="宋体" w:cs="宋体"/>
          <w:highlight w:val="none"/>
          <w:lang w:eastAsia="zh-CN"/>
        </w:rPr>
        <w:t>（</w:t>
      </w:r>
      <w:r>
        <w:rPr>
          <w:rFonts w:hint="eastAsia" w:hAnsi="宋体" w:cs="宋体"/>
          <w:highlight w:val="none"/>
        </w:rPr>
        <w:t>其中“第二届姓氏文化旅游节特刊和卫计文化刊”各一期）《南雄书法报》3期，开展大型文艺活动8场，各种展览8期。</w:t>
      </w:r>
    </w:p>
    <w:p w14:paraId="4E4D0523">
      <w:pPr>
        <w:pStyle w:val="4"/>
        <w:bidi w:val="0"/>
        <w:rPr>
          <w:rFonts w:hint="eastAsia"/>
          <w:highlight w:val="none"/>
        </w:rPr>
      </w:pPr>
      <w:r>
        <w:rPr>
          <w:rFonts w:hint="eastAsia"/>
          <w:highlight w:val="none"/>
        </w:rPr>
        <w:t>【文艺协会】</w:t>
      </w:r>
    </w:p>
    <w:p w14:paraId="215BCA06">
      <w:pPr>
        <w:rPr>
          <w:rFonts w:hint="eastAsia" w:hAnsi="宋体" w:cs="宋体"/>
          <w:highlight w:val="none"/>
        </w:rPr>
      </w:pPr>
      <w:r>
        <w:rPr>
          <w:rFonts w:hint="eastAsia" w:hAnsi="宋体" w:cs="宋体"/>
          <w:highlight w:val="none"/>
        </w:rPr>
        <w:t>文联组织协调美术协会、书法协会、老年书法协会、音乐舞蹈戏剧协会、摄影协会、珠玑书画院、珠玑诗社、观赏石协会、演讲与口才协会、硬笔书法协会、南雄作家协会和南雄市民间文艺家协会等12个协会在遵守宪法和法律法规的前提下，按照各自的章程，开展各类文艺活动，繁荣文学艺术。2015年，南雄市作家协会主席杨长乐同志因工作原因提出辞职申请，并选举陈至明同志担任作家协会主席；观赏石协会会长李光利因工作原因提出辞职申请，选举温道荣为会长；演讲与口才协会会长张堂耀因工作原因提出辞职申请，选举张帼英为会长。12月成立硬笔书法协会，由曾凡辉担任会长。</w:t>
      </w:r>
    </w:p>
    <w:p w14:paraId="0CC722E0">
      <w:pPr>
        <w:pStyle w:val="4"/>
        <w:bidi w:val="0"/>
        <w:rPr>
          <w:rFonts w:hint="eastAsia"/>
          <w:highlight w:val="none"/>
        </w:rPr>
      </w:pPr>
      <w:r>
        <w:rPr>
          <w:rFonts w:hint="eastAsia"/>
          <w:highlight w:val="none"/>
        </w:rPr>
        <w:t>【文学艺术活动】</w:t>
      </w:r>
    </w:p>
    <w:p w14:paraId="3BE3106E">
      <w:pPr>
        <w:rPr>
          <w:rFonts w:hint="eastAsia" w:hAnsi="宋体" w:cs="宋体"/>
          <w:highlight w:val="none"/>
        </w:rPr>
      </w:pPr>
      <w:r>
        <w:rPr>
          <w:rFonts w:hint="eastAsia" w:hAnsi="宋体" w:cs="宋体"/>
          <w:highlight w:val="none"/>
        </w:rPr>
        <w:t>文联围绕市委、市政府的中心工作开展各种文学艺术活动，做好文化服务。1月，举办的“美丽南雄我的家”摄影大赛，共收集到摄影作品178幅，经过省市专家评委多次筛选打分评比，评选出一等奖作品3幅，二等奖作品5幅，三等奖作品10幅，优秀奖作品20幅，并进行颁奖和展览活动；同月，举办百花迎春联欢晚会及“琴与声”音乐沙龙活动。2月，在三影塔广场举行践行社会主义核心价值观春联送万家和赴水口沙头村开展“情系乡村”送文化活动；春节期间，举办“饶又铭、孔德生、杨博、胡元安迎春美术作品联展”和协助灵潭村恒丰村小组“2015年恒丰春节联欢会”。3月，开展义务免费赠送“好家风”书法及便民服务活动，举办“美丽南雄我的梦”胡元安书画作品展。5月，在广州会馆向市民开展“种”文化风雅颂活动，市文联负责“墨香琴韵”活动，并到澜河陈经纶学校，开展书画艺术进校园活动。6月，举办“铭记历史、圆梦中华”赵来贵书画作品展；举办“走在阳光路上”扶贫“双到”专题文艺晚会。7月，举办“沈家传钢笔写生作品展”。8月，在检察院展览大厅举办勤廉书法展，展出优秀书法作品58幅；在黄坑镇文化广场举办“树规矩强法治，抓落实比贡献，增活力共圆梦”群众文艺汇演；举办主题为“铭记历史，缅怀先烈，珍视和平、开创未来”的书画作品展。9月，开展全国百名作家走进中央苏区南雄采风活动和“广东省作家协会南雄帽子峰林场创作基地”挂牌；同月，韶关书画院写生创作基地和南雄市美术协会在广州会馆挂牌；举办“贺中秋迎国庆”赏石艺术展。10月，举行庆国庆文艺活动；在珠玑古巷开展“家风家训书法进万家活动”；邀请广东省作协副主席、省文学院院长熊育群举办文学讲座，举办第二批全国百名作家采风团活动。11月，广东省书法院的专家在南雄举办书法研修班，广东省硬笔书法协会在珠玑工业园瑞晟公司设立创作基地。11—12月，举办“大美孔江、生态南雄”系列主题创作大赛，收到的150位作者各类艺术作品200多件，评出摄影、书法、诗词、美术各类获奖作品</w:t>
      </w:r>
      <w:r>
        <w:rPr>
          <w:rFonts w:hint="eastAsia" w:hAnsi="宋体" w:cs="宋体"/>
          <w:highlight w:val="none"/>
          <w:lang w:eastAsia="zh-CN"/>
        </w:rPr>
        <w:t>，</w:t>
      </w:r>
      <w:r>
        <w:rPr>
          <w:rFonts w:hint="eastAsia" w:hAnsi="宋体" w:cs="宋体"/>
          <w:highlight w:val="none"/>
        </w:rPr>
        <w:t>其中：一等奖各1名，二等奖各2名，三等奖各3名，优秀奖各5名，获奖作品在三影塔广场展出。12月，在广州会馆风雅颂大厅举办“楹联艺术讲座”。</w:t>
      </w:r>
    </w:p>
    <w:p w14:paraId="3C40851B">
      <w:pPr>
        <w:pStyle w:val="4"/>
        <w:bidi w:val="0"/>
        <w:rPr>
          <w:rFonts w:hint="eastAsia"/>
          <w:highlight w:val="none"/>
        </w:rPr>
      </w:pPr>
      <w:r>
        <w:rPr>
          <w:rFonts w:hint="eastAsia"/>
          <w:highlight w:val="none"/>
        </w:rPr>
        <w:t>【文化建设】</w:t>
      </w:r>
    </w:p>
    <w:p w14:paraId="0242BDFF">
      <w:pPr>
        <w:rPr>
          <w:rFonts w:hint="eastAsia" w:hAnsi="宋体" w:cs="宋体"/>
          <w:highlight w:val="none"/>
        </w:rPr>
      </w:pPr>
      <w:r>
        <w:rPr>
          <w:rFonts w:hint="eastAsia" w:hAnsi="宋体" w:cs="宋体"/>
          <w:highlight w:val="none"/>
        </w:rPr>
        <w:t>5月，出版发行陈至明的长篇小说《烽火珠玑巷》和杨长乐编著的《赣粤边的红色记忆》、赵过房编著的《悠悠散文心》和吴中永编著的《绿叶》。10月17日，出版“南雄市第二届届姓氏文化旅游节”《珠玑文艺》特刊。</w:t>
      </w:r>
    </w:p>
    <w:p w14:paraId="5148FD62">
      <w:pPr>
        <w:pStyle w:val="4"/>
        <w:bidi w:val="0"/>
        <w:rPr>
          <w:rFonts w:hint="eastAsia"/>
          <w:highlight w:val="none"/>
        </w:rPr>
      </w:pPr>
      <w:r>
        <w:rPr>
          <w:rFonts w:hint="eastAsia"/>
          <w:highlight w:val="none"/>
        </w:rPr>
        <w:t>【阵地建设】</w:t>
      </w:r>
    </w:p>
    <w:p w14:paraId="7ABB96C7">
      <w:pPr>
        <w:rPr>
          <w:rFonts w:hint="eastAsia" w:hAnsi="宋体" w:cs="宋体"/>
          <w:highlight w:val="none"/>
        </w:rPr>
      </w:pPr>
      <w:r>
        <w:rPr>
          <w:rFonts w:hint="eastAsia" w:hAnsi="宋体" w:cs="宋体"/>
          <w:highlight w:val="none"/>
        </w:rPr>
        <w:t>《珠玑文艺》和《南雄文联网》文化建设阵地建设，期期有新颖，月月有更新，更新文稿3000多篇。</w:t>
      </w:r>
    </w:p>
    <w:p w14:paraId="575C3BC7">
      <w:pPr>
        <w:pStyle w:val="4"/>
        <w:bidi w:val="0"/>
        <w:rPr>
          <w:rFonts w:hint="eastAsia"/>
          <w:highlight w:val="none"/>
        </w:rPr>
      </w:pPr>
      <w:r>
        <w:rPr>
          <w:rFonts w:hint="eastAsia"/>
          <w:highlight w:val="none"/>
        </w:rPr>
        <w:t>【古村落】</w:t>
      </w:r>
    </w:p>
    <w:p w14:paraId="2FF53553">
      <w:pPr>
        <w:rPr>
          <w:rFonts w:hint="eastAsia" w:hAnsi="宋体" w:cs="宋体"/>
          <w:highlight w:val="none"/>
        </w:rPr>
      </w:pPr>
      <w:r>
        <w:rPr>
          <w:rFonts w:hint="eastAsia" w:hAnsi="宋体" w:cs="宋体"/>
          <w:highlight w:val="none"/>
        </w:rPr>
        <w:t>市文联注重挖掘民间文化以及对古村落历史文化的宣传引导，对古建筑物的古装饰、灰雕、木雕等艺术及建筑技巧进行搜集整理，提升软文化实力，2015年，加强对南亩镇鱼鲜村、乌迳镇新田村、黄坑镇溪塘村、百顺镇黄屋城村、水口镇篛过村等四批省级“古村落”的宣传保护。</w:t>
      </w:r>
    </w:p>
    <w:p w14:paraId="0A76C86C">
      <w:pPr>
        <w:pStyle w:val="4"/>
        <w:bidi w:val="0"/>
        <w:rPr>
          <w:rFonts w:hint="eastAsia"/>
          <w:highlight w:val="none"/>
        </w:rPr>
      </w:pPr>
      <w:r>
        <w:rPr>
          <w:rFonts w:hint="eastAsia"/>
          <w:highlight w:val="none"/>
        </w:rPr>
        <w:t>【文艺交流】</w:t>
      </w:r>
    </w:p>
    <w:p w14:paraId="5AFF34E2">
      <w:pPr>
        <w:rPr>
          <w:rFonts w:hint="eastAsia" w:hAnsi="宋体" w:cs="宋体"/>
          <w:highlight w:val="none"/>
        </w:rPr>
      </w:pPr>
      <w:r>
        <w:rPr>
          <w:rFonts w:hint="eastAsia" w:hAnsi="宋体" w:cs="宋体"/>
          <w:highlight w:val="none"/>
        </w:rPr>
        <w:t>5月23日，韶关、南雄两地演讲与口才协会会员60多人联合举行艺术交流活动；9月19日，文艺界应邀观看许绍奔书法作品展，学习许绍奔深研书法创作精神；2015年9月至11月，邀请两批全国百名作家走进中央苏区南雄采风活动，加强文学艺术的学习交流。</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7130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BCDFA6D">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16935" cy="2063750"/>
                  <wp:effectExtent l="0" t="0" r="12065" b="12700"/>
                  <wp:docPr id="61" name="图片 211" descr="孔江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1" descr="孔江40"/>
                          <pic:cNvPicPr>
                            <a:picLocks noChangeAspect="1"/>
                          </pic:cNvPicPr>
                        </pic:nvPicPr>
                        <pic:blipFill>
                          <a:blip r:embed="rId66"/>
                          <a:stretch>
                            <a:fillRect/>
                          </a:stretch>
                        </pic:blipFill>
                        <pic:spPr>
                          <a:xfrm>
                            <a:off x="0" y="0"/>
                            <a:ext cx="3416935" cy="2063750"/>
                          </a:xfrm>
                          <a:prstGeom prst="rect">
                            <a:avLst/>
                          </a:prstGeom>
                          <a:noFill/>
                          <a:ln>
                            <a:noFill/>
                          </a:ln>
                        </pic:spPr>
                      </pic:pic>
                    </a:graphicData>
                  </a:graphic>
                </wp:inline>
              </w:drawing>
            </w:r>
          </w:p>
        </w:tc>
      </w:tr>
      <w:tr w14:paraId="3A943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DECB9E2">
            <w:pPr>
              <w:jc w:val="center"/>
              <w:rPr>
                <w:rFonts w:hint="eastAsia" w:hAnsi="宋体" w:cs="宋体"/>
                <w:highlight w:val="none"/>
                <w:vertAlign w:val="baseline"/>
              </w:rPr>
            </w:pPr>
            <w:r>
              <w:rPr>
                <w:rFonts w:hint="eastAsia" w:hAnsi="宋体" w:cs="宋体"/>
                <w:highlight w:val="none"/>
                <w:vertAlign w:val="baseline"/>
              </w:rPr>
              <w:t>“大美孔江·生态南雄”主题创作赛评选</w:t>
            </w:r>
          </w:p>
        </w:tc>
      </w:tr>
    </w:tbl>
    <w:p w14:paraId="41E711F6">
      <w:pPr>
        <w:pStyle w:val="4"/>
        <w:bidi w:val="0"/>
        <w:rPr>
          <w:rFonts w:hint="eastAsia"/>
          <w:highlight w:val="none"/>
        </w:rPr>
      </w:pPr>
      <w:r>
        <w:rPr>
          <w:rFonts w:hint="eastAsia"/>
          <w:highlight w:val="none"/>
        </w:rPr>
        <w:t>【文艺宣传】</w:t>
      </w:r>
    </w:p>
    <w:p w14:paraId="0C91C9D3">
      <w:pPr>
        <w:rPr>
          <w:rFonts w:hint="eastAsia" w:hAnsi="宋体" w:cs="宋体"/>
          <w:highlight w:val="none"/>
        </w:rPr>
      </w:pPr>
      <w:r>
        <w:rPr>
          <w:rFonts w:hint="eastAsia" w:hAnsi="宋体" w:cs="宋体"/>
          <w:highlight w:val="none"/>
        </w:rPr>
        <w:t>抓好文艺宣传，为群众文艺营造良好氛围。2015年，韶关日报刊载南雄文艺作者的文章25篇，宣传报道2篇，《韶关调研》刊载文联《关于加强原中央苏区古村落文化抢救保护和建设的思考》的调研文章，《南方网》和《源流》各报道了南雄文艺动态5篇，出版《珠玑文艺》4期，《南雄文联网》更新文章80多篇。（赵才文）</w:t>
      </w:r>
    </w:p>
    <w:p w14:paraId="47AD14DA">
      <w:pPr>
        <w:rPr>
          <w:rFonts w:hint="eastAsia" w:hAnsi="宋体" w:cs="宋体"/>
          <w:highlight w:val="none"/>
        </w:rPr>
      </w:pPr>
      <w:r>
        <w:rPr>
          <w:rFonts w:hint="eastAsia" w:hAnsi="宋体" w:cs="宋体"/>
          <w:highlight w:val="none"/>
        </w:rPr>
        <w:t>附：2015年市文联领导班子成员名单</w:t>
      </w:r>
    </w:p>
    <w:p w14:paraId="4BA516A6">
      <w:pPr>
        <w:rPr>
          <w:rFonts w:hint="eastAsia" w:hAnsi="宋体" w:cs="宋体"/>
          <w:highlight w:val="none"/>
        </w:rPr>
      </w:pPr>
      <w:r>
        <w:rPr>
          <w:rFonts w:hint="eastAsia" w:hAnsi="宋体" w:cs="宋体"/>
          <w:highlight w:val="none"/>
        </w:rPr>
        <w:t>主席：沈青松</w:t>
      </w:r>
    </w:p>
    <w:p w14:paraId="33A607CF">
      <w:pPr>
        <w:pStyle w:val="3"/>
        <w:bidi w:val="0"/>
        <w:rPr>
          <w:rFonts w:hint="eastAsia"/>
          <w:highlight w:val="none"/>
        </w:rPr>
      </w:pPr>
      <w:r>
        <w:rPr>
          <w:rFonts w:hint="eastAsia"/>
          <w:highlight w:val="none"/>
        </w:rPr>
        <w:t>广东南雄珠玑书画院</w:t>
      </w:r>
    </w:p>
    <w:p w14:paraId="1B59B1EE">
      <w:pPr>
        <w:rPr>
          <w:rFonts w:hint="eastAsia" w:hAnsi="宋体" w:cs="宋体"/>
          <w:highlight w:val="none"/>
        </w:rPr>
      </w:pPr>
      <w:r>
        <w:rPr>
          <w:rFonts w:hint="eastAsia" w:hAnsi="宋体" w:cs="宋体"/>
          <w:highlight w:val="none"/>
        </w:rPr>
        <w:t>广东南雄珠玑书画院成立于2012年1月1日，是经南雄市民政局批准备案一个群众团体组织，隶属于南雄市文联，现有会员35人，院长刘烈章。</w:t>
      </w:r>
    </w:p>
    <w:p w14:paraId="4E3AF985">
      <w:pPr>
        <w:rPr>
          <w:rFonts w:hint="eastAsia" w:hAnsi="宋体" w:cs="宋体"/>
          <w:highlight w:val="none"/>
        </w:rPr>
      </w:pPr>
      <w:r>
        <w:rPr>
          <w:rFonts w:hint="eastAsia" w:hAnsi="宋体" w:cs="宋体"/>
          <w:highlight w:val="none"/>
        </w:rPr>
        <w:t>2015年，广东南雄珠玑书画院坚持为人民服务，为社会主义服务，大力发展当地文化事业，开展一系列书法进军营、送春联下乡活动、组织开展“七一”、“八一”、国庆等节日开展大型书法展览活动，为广大群众提供丰富文化食粮。</w:t>
      </w:r>
    </w:p>
    <w:p w14:paraId="5C61723D">
      <w:pPr>
        <w:rPr>
          <w:rFonts w:hint="eastAsia" w:hAnsi="宋体" w:cs="宋体"/>
          <w:highlight w:val="none"/>
        </w:rPr>
      </w:pPr>
      <w:r>
        <w:rPr>
          <w:rFonts w:hint="eastAsia" w:hAnsi="宋体" w:cs="宋体"/>
          <w:highlight w:val="none"/>
        </w:rPr>
        <w:t>2016年7月17日至22日在北京国艺美术馆举行“中国梦苏区情”广东百名书家古雄州诗词书法展览活动。此次展览由广东省南雄市文广新局、南雄市文联、广东南雄珠玑书画院主办。广东省书法家协会主席张桂光亲自为此次书法进京展题字。开幕式由中央电视台主持人石军主持，中</w:t>
      </w:r>
      <w:r>
        <w:rPr>
          <w:rFonts w:hint="eastAsia" w:cs="宋体"/>
          <w:highlight w:val="none"/>
          <w:lang w:val="en-US" w:eastAsia="zh-CN"/>
        </w:rPr>
        <w:t>共</w:t>
      </w:r>
      <w:r>
        <w:rPr>
          <w:rFonts w:hint="eastAsia" w:hAnsi="宋体" w:cs="宋体"/>
          <w:highlight w:val="none"/>
        </w:rPr>
        <w:t>中央办公厅原副主任、秘书局局长傅西路，广东南雄珠玑书画院院长刘烈章，中国教育电视台风云评论员、模特春晚总制片、总导演、文交天下文化传媒（北京）有限公司董事长刘宏伟在开幕式上致辞。国务院新闻办原副局长陈东辉，北京市文联副主席、中国书协理事彭利铭，中央国家机关书法家协会副主席李少青等领导嘉宾和书法界人士200多人出席开幕式。</w:t>
      </w:r>
    </w:p>
    <w:p w14:paraId="06C0AC40">
      <w:pPr>
        <w:rPr>
          <w:rFonts w:hint="eastAsia" w:hAnsi="宋体" w:cs="宋体"/>
          <w:highlight w:val="none"/>
        </w:rPr>
      </w:pPr>
      <w:r>
        <w:rPr>
          <w:rFonts w:hint="eastAsia" w:hAnsi="宋体" w:cs="宋体"/>
          <w:highlight w:val="none"/>
        </w:rPr>
        <w:t>广东南雄珠玑书画院挖掘本土文化资源，以南雄古诗词为主题，大力发展当地文化事业，特举办该次展览。此次展览以广东省书法家协会以及部分兄弟市书协名家为邀约对象，收到并展出作品101件。所展作品风格各异，既展现对传统书法继承，又发扬岭南特色，令人耳目一新。书法家们以饱满的热情表达对苏区人民关心和情感创作出的书法佳作，是南雄文化建设的一个亮点。（南雄珠玑书画院）</w:t>
      </w:r>
    </w:p>
    <w:p w14:paraId="38EFA7C7">
      <w:pPr>
        <w:pStyle w:val="2"/>
        <w:rPr>
          <w:rFonts w:hint="eastAsia"/>
          <w:highlight w:val="none"/>
        </w:rPr>
      </w:pPr>
      <w:r>
        <w:rPr>
          <w:highlight w:val="none"/>
        </w:rPr>
        <w:br w:type="page"/>
      </w:r>
      <w:r>
        <w:rPr>
          <w:rFonts w:hint="eastAsia"/>
          <w:highlight w:val="none"/>
        </w:rPr>
        <w:t>法治</w:t>
      </w:r>
    </w:p>
    <w:p w14:paraId="58F71060">
      <w:pPr>
        <w:pStyle w:val="3"/>
        <w:bidi w:val="0"/>
        <w:rPr>
          <w:rFonts w:hint="eastAsia"/>
          <w:highlight w:val="none"/>
        </w:rPr>
      </w:pPr>
      <w:r>
        <w:rPr>
          <w:rFonts w:hint="eastAsia"/>
          <w:highlight w:val="none"/>
        </w:rPr>
        <w:t>政法委</w:t>
      </w:r>
    </w:p>
    <w:p w14:paraId="0AC27260">
      <w:pPr>
        <w:pStyle w:val="4"/>
        <w:bidi w:val="0"/>
        <w:rPr>
          <w:rFonts w:hint="eastAsia"/>
          <w:highlight w:val="none"/>
        </w:rPr>
      </w:pPr>
      <w:r>
        <w:rPr>
          <w:rFonts w:hint="eastAsia"/>
          <w:highlight w:val="none"/>
        </w:rPr>
        <w:t>【概况】</w:t>
      </w:r>
    </w:p>
    <w:p w14:paraId="768D5349">
      <w:pPr>
        <w:rPr>
          <w:rFonts w:hint="eastAsia" w:hAnsi="宋体" w:cs="宋体"/>
          <w:highlight w:val="none"/>
        </w:rPr>
      </w:pPr>
      <w:r>
        <w:rPr>
          <w:rFonts w:hint="eastAsia" w:hAnsi="宋体" w:cs="宋体"/>
          <w:highlight w:val="none"/>
        </w:rPr>
        <w:t>市委政法委员会是党委领导和管理政法工作职能部门。其主要任务是指导、协调、监督政法及国家安全等部门开展工作，维护社会稳定。</w:t>
      </w:r>
    </w:p>
    <w:p w14:paraId="4FEEF7C0">
      <w:pPr>
        <w:pStyle w:val="4"/>
        <w:bidi w:val="0"/>
        <w:rPr>
          <w:rFonts w:hint="eastAsia"/>
          <w:highlight w:val="none"/>
        </w:rPr>
      </w:pPr>
      <w:r>
        <w:rPr>
          <w:rFonts w:hint="eastAsia"/>
          <w:highlight w:val="none"/>
        </w:rPr>
        <w:t>【组成机构】</w:t>
      </w:r>
    </w:p>
    <w:p w14:paraId="0DBFE200">
      <w:pPr>
        <w:rPr>
          <w:rFonts w:hint="eastAsia" w:hAnsi="宋体" w:cs="宋体"/>
          <w:highlight w:val="none"/>
        </w:rPr>
      </w:pPr>
      <w:r>
        <w:rPr>
          <w:rFonts w:hint="eastAsia" w:hAnsi="宋体" w:cs="宋体"/>
          <w:highlight w:val="none"/>
        </w:rPr>
        <w:t>市委政法委员会（含综治办、社工办、610办公室）行政编制16名，后勤编制2名。</w:t>
      </w:r>
    </w:p>
    <w:p w14:paraId="62F1D46B">
      <w:pPr>
        <w:pStyle w:val="4"/>
        <w:bidi w:val="0"/>
        <w:rPr>
          <w:rFonts w:hint="eastAsia"/>
          <w:highlight w:val="none"/>
        </w:rPr>
      </w:pPr>
      <w:r>
        <w:rPr>
          <w:rFonts w:hint="eastAsia"/>
          <w:highlight w:val="none"/>
        </w:rPr>
        <w:t>【综治维稳】</w:t>
      </w:r>
    </w:p>
    <w:p w14:paraId="29A6D6B0">
      <w:pPr>
        <w:rPr>
          <w:rFonts w:hint="eastAsia" w:hAnsi="宋体" w:cs="宋体"/>
          <w:highlight w:val="none"/>
        </w:rPr>
      </w:pPr>
      <w:r>
        <w:rPr>
          <w:rFonts w:hint="eastAsia" w:hAnsi="宋体" w:cs="宋体"/>
          <w:highlight w:val="none"/>
        </w:rPr>
        <w:t>着重抓好平安村居、平安校园、平安文化市场、平安医院、平安家庭、平安交通、平安边界的建设，“平安细胞”基本实现全覆盖。并在全安镇苏屋村和雄州街道瑶坑村作为市平安村（居）的示范点基础上，增加水口镇沙头村、珠玑镇高基头村作为市平安村居试点，按照“有组织领导、有技防设施、有人防队伍、有村（居）文化、有服务窗口”的“五有”标准开展创建工作；选取邓坊镇作为“平安墟镇”示范点，开展包括“五小”惠民项目、环境卫生整治、道路交通建设、LED路灯改造等一系列民生项目建设，打造平安墟镇高标准示范点。</w:t>
      </w:r>
    </w:p>
    <w:p w14:paraId="3D979909">
      <w:pPr>
        <w:rPr>
          <w:rFonts w:hint="eastAsia" w:hAnsi="宋体" w:cs="宋体"/>
          <w:highlight w:val="none"/>
        </w:rPr>
      </w:pPr>
      <w:r>
        <w:rPr>
          <w:rFonts w:hint="eastAsia" w:hAnsi="宋体" w:cs="宋体"/>
          <w:highlight w:val="none"/>
        </w:rPr>
        <w:t>2015年，南雄市继续保持严打整治高压态势，重点打击涉毒、涉黑恶、涉“两抢一盗”、涉赌、涉非法集资等突出犯罪活动。2015年全市接警3593起，受理和查处治安案件598起，查结328起，查结率55%，查处违法人员506人次；发生刑事案件312宗，破64宗。</w:t>
      </w:r>
    </w:p>
    <w:p w14:paraId="76B40EAC">
      <w:pPr>
        <w:rPr>
          <w:rFonts w:hint="eastAsia" w:hAnsi="宋体" w:cs="宋体"/>
          <w:highlight w:val="none"/>
        </w:rPr>
      </w:pPr>
      <w:r>
        <w:rPr>
          <w:rFonts w:hint="eastAsia" w:hAnsi="宋体" w:cs="宋体"/>
          <w:highlight w:val="none"/>
        </w:rPr>
        <w:t>深入开展“社会矛盾化解年”活动，强化“属地管理”“谁主管、谁负责”和“领导包案”责任，大力化解社会矛盾纠纷。2015年全市化解各类社会矛盾纠纷1156件，成功1148件，成功率99</w:t>
      </w:r>
      <w:r>
        <w:rPr>
          <w:rFonts w:hint="eastAsia" w:ascii="MingLiU_HKSCS" w:hAnsi="MingLiU_HKSCS" w:eastAsia="MingLiU_HKSCS" w:cs="MingLiU_HKSCS"/>
          <w:highlight w:val="none"/>
        </w:rPr>
        <w:t>.</w:t>
      </w:r>
      <w:r>
        <w:rPr>
          <w:rFonts w:hint="eastAsia" w:hAnsi="宋体" w:cs="宋体"/>
          <w:highlight w:val="none"/>
        </w:rPr>
        <w:t>3%。2015年，按照省、市统一部署，将社会矛盾纠纷调处的工作重心放到了涉农、涉劳资纠纷、涉环保、涉房地产、涉金融等“五大领域”。2015年排查并上报韶关市级的较大“五类”矛盾纠纷有6宗，全部是劳资纠纷且100%成功化解，在县级层面，自排“五类”矛盾纠纷有33宗，其中，涉农9宗，涉劳资纠纷11宗，涉环保10宗，涉房地产2宗，涉金融1宗，也都100%成功化解，有效维护了社会大局和谐稳定。还充分利用“民间纠纷调处</w:t>
      </w:r>
      <w:r>
        <w:rPr>
          <w:rFonts w:hint="eastAsia" w:hAnsi="宋体" w:cs="宋体"/>
          <w:highlight w:val="none"/>
          <w:lang w:eastAsia="zh-CN"/>
        </w:rPr>
        <w:t>董事会</w:t>
      </w:r>
      <w:r>
        <w:rPr>
          <w:rFonts w:hint="eastAsia" w:hAnsi="宋体" w:cs="宋体"/>
          <w:highlight w:val="none"/>
        </w:rPr>
        <w:t>”平台化解一些行政调解和司法调解途径难以解决的问题，通过灵活运用民间调解方式，民间调处组织共化解涉农、涉林以及邻里等纠纷250件，调解成功率达93%。</w:t>
      </w:r>
    </w:p>
    <w:p w14:paraId="290D9C9F">
      <w:pPr>
        <w:pStyle w:val="4"/>
        <w:bidi w:val="0"/>
        <w:rPr>
          <w:rFonts w:hint="eastAsia"/>
          <w:highlight w:val="none"/>
        </w:rPr>
      </w:pPr>
      <w:r>
        <w:rPr>
          <w:rFonts w:hint="eastAsia"/>
          <w:highlight w:val="none"/>
        </w:rPr>
        <w:t>【社会管理】</w:t>
      </w:r>
    </w:p>
    <w:p w14:paraId="74336FCD">
      <w:pPr>
        <w:rPr>
          <w:rFonts w:hint="eastAsia" w:hAnsi="宋体" w:cs="宋体"/>
          <w:highlight w:val="none"/>
        </w:rPr>
      </w:pPr>
      <w:r>
        <w:rPr>
          <w:rFonts w:hint="eastAsia" w:hAnsi="宋体" w:cs="宋体"/>
          <w:highlight w:val="none"/>
        </w:rPr>
        <w:t>2015年，全市登记注册的社会组织已达170家，比2014年增加20家。注重引导社会组织完善内部治理结构，提高规范管理水平。重视发挥工、青、妇等群团组织特有优势，培育发展枢纽型社会组织。团市委大力加强青年社会联合会和大学生联合会建设，广泛凝聚青年力量，增强服务社会能力，充分“爱善义工联合会”等慈善公益平台，开展广东扶贫济困“一元捐”活动，募得善款3658</w:t>
      </w:r>
      <w:r>
        <w:rPr>
          <w:rFonts w:hint="eastAsia" w:ascii="MingLiU_HKSCS" w:hAnsi="MingLiU_HKSCS" w:eastAsia="MingLiU_HKSCS" w:cs="MingLiU_HKSCS"/>
          <w:highlight w:val="none"/>
        </w:rPr>
        <w:t>.</w:t>
      </w:r>
      <w:r>
        <w:rPr>
          <w:rFonts w:hint="eastAsia" w:hAnsi="宋体" w:cs="宋体"/>
          <w:highlight w:val="none"/>
        </w:rPr>
        <w:t>1元。</w:t>
      </w:r>
    </w:p>
    <w:p w14:paraId="4A83E075">
      <w:pPr>
        <w:rPr>
          <w:rFonts w:hint="eastAsia" w:hAnsi="宋体" w:cs="宋体"/>
          <w:highlight w:val="none"/>
        </w:rPr>
      </w:pPr>
      <w:r>
        <w:rPr>
          <w:rFonts w:hint="eastAsia" w:hAnsi="宋体" w:cs="宋体"/>
          <w:highlight w:val="none"/>
        </w:rPr>
        <w:t>2015年，社工委着力打造以“弘扬百姓文化，促进社会和谐”为主题的惠民文化项目。</w:t>
      </w:r>
    </w:p>
    <w:p w14:paraId="56B1841A">
      <w:pPr>
        <w:rPr>
          <w:rFonts w:hint="eastAsia" w:hAnsi="宋体" w:cs="宋体"/>
          <w:highlight w:val="none"/>
        </w:rPr>
      </w:pPr>
      <w:r>
        <w:rPr>
          <w:rFonts w:hint="eastAsia" w:hAnsi="宋体" w:cs="宋体"/>
          <w:highlight w:val="none"/>
        </w:rPr>
        <w:t>“广州会馆”惠民文化项目：市社会工作委员会联合市委宣传部、南雄市直属工委、市文广新局等单位以广州会馆西厢古戏台为平台，启动以“弘扬百姓文化·构建和谐社会”为主题的惠民试点项目。并采用一个载体加五个项目的“1+5”模式打造成常态化、长期性惠民文化项目。2015年开展汇演活动100余场，惠及群众5万余人。</w:t>
      </w:r>
    </w:p>
    <w:p w14:paraId="561F9922">
      <w:pPr>
        <w:rPr>
          <w:rFonts w:hint="eastAsia" w:hAnsi="宋体" w:cs="宋体"/>
          <w:highlight w:val="none"/>
        </w:rPr>
      </w:pPr>
      <w:r>
        <w:rPr>
          <w:rFonts w:hint="eastAsia" w:hAnsi="宋体" w:cs="宋体"/>
          <w:highlight w:val="none"/>
        </w:rPr>
        <w:t>村级老人活动中心项目：沙头村老人活动中心已经建成老人娱乐室、运动室、棋牌室、饭堂，日间照料室等，不仅给该村老人提供一个集中交流娱乐的场地，还让该村老人在该活动中心免费享用午餐和中午休息，达到既满足老人食宿、又愉悦老人身心的目的。</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C59C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BBAC57D">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563495"/>
                  <wp:effectExtent l="0" t="0" r="8890" b="8255"/>
                  <wp:docPr id="62" name="图片 213" descr="慰问老党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3" descr="慰问老党员"/>
                          <pic:cNvPicPr>
                            <a:picLocks noChangeAspect="1"/>
                          </pic:cNvPicPr>
                        </pic:nvPicPr>
                        <pic:blipFill>
                          <a:blip r:embed="rId67"/>
                          <a:stretch>
                            <a:fillRect/>
                          </a:stretch>
                        </pic:blipFill>
                        <pic:spPr>
                          <a:xfrm>
                            <a:off x="0" y="0"/>
                            <a:ext cx="3420110" cy="2563495"/>
                          </a:xfrm>
                          <a:prstGeom prst="rect">
                            <a:avLst/>
                          </a:prstGeom>
                          <a:noFill/>
                          <a:ln>
                            <a:noFill/>
                          </a:ln>
                        </pic:spPr>
                      </pic:pic>
                    </a:graphicData>
                  </a:graphic>
                </wp:inline>
              </w:drawing>
            </w:r>
          </w:p>
        </w:tc>
      </w:tr>
      <w:tr w14:paraId="3C4E4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449A4AF">
            <w:pPr>
              <w:jc w:val="center"/>
              <w:rPr>
                <w:rFonts w:hint="eastAsia" w:hAnsi="宋体" w:cs="宋体"/>
                <w:highlight w:val="none"/>
                <w:vertAlign w:val="baseline"/>
              </w:rPr>
            </w:pPr>
            <w:r>
              <w:rPr>
                <w:rFonts w:hint="eastAsia" w:hAnsi="宋体" w:cs="宋体"/>
                <w:highlight w:val="none"/>
                <w:vertAlign w:val="baseline"/>
              </w:rPr>
              <w:t>市委常委、政法委书记刘发龙（中）慰问老党员</w:t>
            </w:r>
          </w:p>
        </w:tc>
      </w:tr>
    </w:tbl>
    <w:p w14:paraId="5EDA10BE">
      <w:pPr>
        <w:pStyle w:val="4"/>
        <w:bidi w:val="0"/>
        <w:rPr>
          <w:rFonts w:hint="eastAsia"/>
          <w:highlight w:val="none"/>
        </w:rPr>
      </w:pPr>
      <w:r>
        <w:rPr>
          <w:rFonts w:hint="eastAsia"/>
          <w:highlight w:val="none"/>
        </w:rPr>
        <w:t>【防邪工作】</w:t>
      </w:r>
    </w:p>
    <w:p w14:paraId="18FBB6A1">
      <w:pPr>
        <w:rPr>
          <w:rFonts w:hint="eastAsia" w:hAnsi="宋体" w:cs="宋体"/>
          <w:highlight w:val="none"/>
        </w:rPr>
      </w:pPr>
      <w:r>
        <w:rPr>
          <w:rFonts w:hint="eastAsia" w:hAnsi="宋体" w:cs="宋体"/>
          <w:highlight w:val="none"/>
        </w:rPr>
        <w:t>加大对“法轮功”“全能神”“主神教”等邪教组织的打击力度，开展“全能神”专项整治，破获1起邪教案件，查获“全能神”人员1名，“主神教”人员1人，收缴一批反动宣传品。</w:t>
      </w:r>
    </w:p>
    <w:p w14:paraId="7330B10A">
      <w:pPr>
        <w:pStyle w:val="4"/>
        <w:bidi w:val="0"/>
        <w:rPr>
          <w:rFonts w:hint="eastAsia"/>
          <w:highlight w:val="none"/>
        </w:rPr>
      </w:pPr>
      <w:r>
        <w:rPr>
          <w:rFonts w:hint="eastAsia"/>
          <w:highlight w:val="none"/>
        </w:rPr>
        <w:t>【队伍建设】</w:t>
      </w:r>
    </w:p>
    <w:p w14:paraId="60D24FBC">
      <w:pPr>
        <w:jc w:val="right"/>
        <w:rPr>
          <w:rFonts w:hint="eastAsia" w:hAnsi="宋体" w:cs="宋体"/>
          <w:highlight w:val="none"/>
        </w:rPr>
      </w:pPr>
      <w:r>
        <w:rPr>
          <w:rFonts w:hint="eastAsia" w:hAnsi="宋体" w:cs="宋体"/>
          <w:highlight w:val="none"/>
        </w:rPr>
        <w:t>以深入开展“三严三实”主题教育实践活动这重点，开展纠正涉法涉诉信访领域侵害群众行为专项行动。开展巡回审判、送法下基层、民警大走访等多种活动，随着执法督查、案件评查等工作深入开展，行政执法案件质量明显提高，群众对政法工作满意度也随之提升。（黄时清）</w:t>
      </w:r>
    </w:p>
    <w:p w14:paraId="5D4E14E8">
      <w:pPr>
        <w:rPr>
          <w:rFonts w:hint="eastAsia" w:hAnsi="宋体" w:cs="宋体"/>
          <w:b w:val="0"/>
          <w:bCs w:val="0"/>
          <w:highlight w:val="none"/>
        </w:rPr>
      </w:pPr>
      <w:r>
        <w:rPr>
          <w:rFonts w:hint="eastAsia" w:hAnsi="宋体" w:cs="宋体"/>
          <w:b w:val="0"/>
          <w:bCs w:val="0"/>
          <w:highlight w:val="none"/>
        </w:rPr>
        <w:t>附：2015年</w:t>
      </w:r>
      <w:r>
        <w:rPr>
          <w:rFonts w:hint="eastAsia" w:cs="宋体"/>
          <w:b w:val="0"/>
          <w:bCs w:val="0"/>
          <w:highlight w:val="none"/>
          <w:lang w:eastAsia="zh-CN"/>
        </w:rPr>
        <w:t>市委政法委</w:t>
      </w:r>
      <w:r>
        <w:rPr>
          <w:rFonts w:hint="eastAsia" w:hAnsi="宋体" w:cs="宋体"/>
          <w:b w:val="0"/>
          <w:bCs w:val="0"/>
          <w:highlight w:val="none"/>
        </w:rPr>
        <w:t>领导班子成员名单</w:t>
      </w:r>
    </w:p>
    <w:p w14:paraId="42A81D30">
      <w:pPr>
        <w:rPr>
          <w:rFonts w:hint="eastAsia" w:hAnsi="宋体" w:cs="宋体"/>
          <w:b w:val="0"/>
          <w:bCs w:val="0"/>
          <w:highlight w:val="none"/>
        </w:rPr>
      </w:pPr>
      <w:r>
        <w:rPr>
          <w:rFonts w:hint="eastAsia" w:hAnsi="宋体" w:cs="宋体"/>
          <w:b w:val="0"/>
          <w:bCs w:val="0"/>
          <w:highlight w:val="none"/>
        </w:rPr>
        <w:t>书</w:t>
      </w:r>
      <w:r>
        <w:rPr>
          <w:rFonts w:hint="eastAsia" w:hAnsi="宋体" w:cs="宋体"/>
          <w:b w:val="0"/>
          <w:bCs w:val="0"/>
          <w:highlight w:val="none"/>
          <w:lang w:val="en-US" w:eastAsia="zh-CN"/>
        </w:rPr>
        <w:t xml:space="preserve">  </w:t>
      </w:r>
      <w:r>
        <w:rPr>
          <w:rFonts w:hint="eastAsia" w:hAnsi="宋体" w:cs="宋体"/>
          <w:b w:val="0"/>
          <w:bCs w:val="0"/>
          <w:highlight w:val="none"/>
        </w:rPr>
        <w:t>记：刘发龙（兼）</w:t>
      </w:r>
    </w:p>
    <w:p w14:paraId="1B866F28">
      <w:pPr>
        <w:rPr>
          <w:rFonts w:hint="eastAsia" w:hAnsi="宋体" w:cs="宋体"/>
          <w:b w:val="0"/>
          <w:bCs w:val="0"/>
          <w:highlight w:val="none"/>
        </w:rPr>
      </w:pPr>
      <w:r>
        <w:rPr>
          <w:rFonts w:hint="eastAsia" w:hAnsi="宋体" w:cs="宋体"/>
          <w:b w:val="0"/>
          <w:bCs w:val="0"/>
          <w:highlight w:val="none"/>
        </w:rPr>
        <w:t>副书记：刘悦明（兼，任至10月） 王高峰 苏德椿 杨应生</w:t>
      </w:r>
    </w:p>
    <w:p w14:paraId="3308F9EE">
      <w:pPr>
        <w:rPr>
          <w:rFonts w:hint="eastAsia" w:hAnsi="宋体" w:cs="宋体"/>
          <w:b w:val="0"/>
          <w:bCs w:val="0"/>
          <w:highlight w:val="none"/>
        </w:rPr>
      </w:pPr>
      <w:r>
        <w:rPr>
          <w:rFonts w:hint="eastAsia" w:hAnsi="宋体" w:cs="宋体"/>
          <w:b w:val="0"/>
          <w:bCs w:val="0"/>
          <w:highlight w:val="none"/>
        </w:rPr>
        <w:t>政法中心纪检组长：陈世旺</w:t>
      </w:r>
    </w:p>
    <w:p w14:paraId="674225EB">
      <w:pPr>
        <w:pStyle w:val="3"/>
        <w:bidi w:val="0"/>
        <w:rPr>
          <w:rFonts w:hint="eastAsia"/>
          <w:highlight w:val="none"/>
        </w:rPr>
      </w:pPr>
      <w:r>
        <w:rPr>
          <w:rFonts w:hint="eastAsia"/>
          <w:highlight w:val="none"/>
        </w:rPr>
        <w:t>公安</w:t>
      </w:r>
    </w:p>
    <w:p w14:paraId="0E2D869C">
      <w:pPr>
        <w:pStyle w:val="4"/>
        <w:bidi w:val="0"/>
        <w:rPr>
          <w:rFonts w:hint="eastAsia"/>
          <w:highlight w:val="none"/>
        </w:rPr>
      </w:pPr>
      <w:r>
        <w:rPr>
          <w:rFonts w:hint="eastAsia"/>
          <w:highlight w:val="none"/>
        </w:rPr>
        <w:t>【概况】</w:t>
      </w:r>
    </w:p>
    <w:p w14:paraId="7E1A0D94">
      <w:pPr>
        <w:rPr>
          <w:rFonts w:hint="eastAsia" w:hAnsi="宋体" w:cs="宋体"/>
          <w:highlight w:val="none"/>
        </w:rPr>
      </w:pPr>
      <w:r>
        <w:rPr>
          <w:rFonts w:hint="eastAsia" w:hAnsi="宋体" w:cs="宋体"/>
          <w:highlight w:val="none"/>
        </w:rPr>
        <w:t>南雄市公安局位于南雄市雄州街道雄中路338号，正科级建制，是市政府主管全市公安工作的职能机构。内设机构14个（其中副科级建制12个、正股级建制2个），副科级建制派出所23个，看守所、拘留所各1个。在职人员383人，其中民警378人、职工5人。2015年，全市公安机关紧扣中心工作，围绕创建平安南雄目标，主动适应经济发展新常态，全力推进“四项建设”</w:t>
      </w:r>
      <w:r>
        <w:rPr>
          <w:rFonts w:hint="eastAsia" w:hAnsi="宋体" w:cs="宋体"/>
          <w:highlight w:val="none"/>
          <w:lang w:eastAsia="zh-CN"/>
        </w:rPr>
        <w:t>（</w:t>
      </w:r>
      <w:r>
        <w:rPr>
          <w:rFonts w:hint="eastAsia" w:hAnsi="宋体" w:cs="宋体"/>
          <w:highlight w:val="none"/>
        </w:rPr>
        <w:t>基础信息化、警务实战化、执法规范化、队伍正规化建设</w:t>
      </w:r>
      <w:r>
        <w:rPr>
          <w:rFonts w:hint="eastAsia" w:hAnsi="宋体" w:cs="宋体"/>
          <w:highlight w:val="none"/>
          <w:lang w:eastAsia="zh-CN"/>
        </w:rPr>
        <w:t>）</w:t>
      </w:r>
      <w:r>
        <w:rPr>
          <w:rFonts w:hint="eastAsia" w:hAnsi="宋体" w:cs="宋体"/>
          <w:highlight w:val="none"/>
        </w:rPr>
        <w:t>，开展打击涉毒、涉黑恶、涉“两抢一盗”、涉赌、涉非法集资犯罪的“3+2”专项打击行动，着力提升群众安全感、满意度和公安机关公信力，为南雄经济和社会发展创造和谐稳定的社会环境。</w:t>
      </w:r>
    </w:p>
    <w:p w14:paraId="312A29E7">
      <w:pPr>
        <w:pStyle w:val="4"/>
        <w:bidi w:val="0"/>
        <w:rPr>
          <w:rFonts w:hint="eastAsia"/>
          <w:highlight w:val="none"/>
        </w:rPr>
      </w:pPr>
      <w:r>
        <w:rPr>
          <w:rFonts w:hint="eastAsia"/>
          <w:highlight w:val="none"/>
        </w:rPr>
        <w:t>【维稳处突】</w:t>
      </w:r>
    </w:p>
    <w:p w14:paraId="693F45AF">
      <w:pPr>
        <w:rPr>
          <w:rFonts w:hint="eastAsia" w:hAnsi="宋体" w:cs="宋体"/>
          <w:highlight w:val="none"/>
        </w:rPr>
      </w:pPr>
      <w:r>
        <w:rPr>
          <w:rFonts w:hint="eastAsia" w:hAnsi="宋体" w:cs="宋体"/>
          <w:highlight w:val="none"/>
        </w:rPr>
        <w:t>开展社会稳定风险预警评估和矛盾纠纷排查化解工作，各类不稳定因素预警率达100%。强化反恐应急处突，完善应急处突预案和工作指引，以及应急物资的储备和装备建设，开展防暴应急专项训练。做好节假日、各级</w:t>
      </w:r>
      <w:r>
        <w:rPr>
          <w:rFonts w:hint="eastAsia" w:cs="宋体"/>
          <w:highlight w:val="none"/>
          <w:lang w:eastAsia="zh-CN"/>
        </w:rPr>
        <w:t>两会</w:t>
      </w:r>
      <w:r>
        <w:rPr>
          <w:rFonts w:hint="eastAsia" w:hAnsi="宋体" w:cs="宋体"/>
          <w:highlight w:val="none"/>
        </w:rPr>
        <w:t>及敏感时期安保维稳工作。强化公安信访工作，加强公安信息基础建设，妥善排查化解各类涉警信访案件。</w:t>
      </w:r>
    </w:p>
    <w:p w14:paraId="4243B130">
      <w:pPr>
        <w:pStyle w:val="4"/>
        <w:bidi w:val="0"/>
        <w:rPr>
          <w:rFonts w:hint="eastAsia"/>
          <w:highlight w:val="none"/>
        </w:rPr>
      </w:pPr>
      <w:r>
        <w:rPr>
          <w:rFonts w:hint="eastAsia"/>
          <w:highlight w:val="none"/>
        </w:rPr>
        <w:t>【打击违法犯罪】</w:t>
      </w:r>
    </w:p>
    <w:p w14:paraId="7BB1C8F1">
      <w:pPr>
        <w:rPr>
          <w:rFonts w:hint="eastAsia" w:hAnsi="宋体" w:cs="宋体"/>
          <w:highlight w:val="none"/>
        </w:rPr>
      </w:pPr>
      <w:r>
        <w:rPr>
          <w:rFonts w:hint="eastAsia" w:hAnsi="宋体" w:cs="宋体"/>
          <w:highlight w:val="none"/>
        </w:rPr>
        <w:t>以开展平安创建为抓手，组织开展“春雷行动”、“骄阳行动”、命案侦破等专项行动，严厉打击各类违法犯罪行为。2015年，破获刑事案件320宗，查处治安案件1910起，查处违法人员2091人次。成功侦破“1·12”杀人抛尸案和“6·4”故意杀人案。集中开展打击涉毒、涉黑恶、涉“两抢一盗”、涉赌和涉非法集资犯罪的“3+2”专项整治行动。破获毒品案件13宗，查处吸毒人员219人，强戒47人，刑事拘留21人，逮捕14人；侦破“两抢一盗”案件289宗，刑事拘留59人，逮捕46人，起诉51人，打掉犯罪团伙2个，抓获网上在逃人员3人；破获涉黑恶犯罪案件25宗，打掉团伙1个，刑事拘留90人，起诉85人均已判刑；侦破涉赌刑事案件26宗，逮捕51人，查处行政案件111起，行政拘留719人。12月，多警种联合，侦破南雄首宗网络赌博案件，涉案金额达100万元；破获非法集资诈骗案件1宗。</w:t>
      </w:r>
    </w:p>
    <w:p w14:paraId="4B476E34">
      <w:pPr>
        <w:pStyle w:val="4"/>
        <w:bidi w:val="0"/>
        <w:rPr>
          <w:rFonts w:hint="eastAsia"/>
          <w:highlight w:val="none"/>
        </w:rPr>
      </w:pPr>
      <w:r>
        <w:rPr>
          <w:rFonts w:hint="eastAsia"/>
          <w:highlight w:val="none"/>
        </w:rPr>
        <w:t>【社会治安防控】</w:t>
      </w:r>
    </w:p>
    <w:p w14:paraId="7F213B46">
      <w:pPr>
        <w:rPr>
          <w:rFonts w:hint="eastAsia" w:hAnsi="宋体" w:cs="宋体"/>
          <w:highlight w:val="none"/>
        </w:rPr>
      </w:pPr>
      <w:r>
        <w:rPr>
          <w:rFonts w:hint="eastAsia" w:hAnsi="宋体" w:cs="宋体"/>
          <w:highlight w:val="none"/>
        </w:rPr>
        <w:t>按照网格化、动态化要求，健全街面巡控工作机制，加强流动人口和出租屋管理，完善“以证管人、以屋管人、以业管人”管理体系。推进居住证“门禁+视频”系统，全面采集流动人口和特行场所从业人员信息。加强企事业单位内保措施，全面整改校园安全隐患。对涉校和肇事肇祸精神病人等治安重点人员加强排查稳控。开展“护校安园”“维护医疗机构安全”、安全大排查大整改和“打非治违”专项行动。在韶赣高速公路珠玑服务区建立省际公安检查站，建站以来，检查车辆3</w:t>
      </w:r>
      <w:r>
        <w:rPr>
          <w:rFonts w:hint="eastAsia" w:ascii="MingLiU_HKSCS" w:hAnsi="MingLiU_HKSCS" w:eastAsia="MingLiU_HKSCS" w:cs="MingLiU_HKSCS"/>
          <w:highlight w:val="none"/>
        </w:rPr>
        <w:t>.</w:t>
      </w:r>
      <w:r>
        <w:rPr>
          <w:rFonts w:hint="eastAsia" w:hAnsi="宋体" w:cs="宋体"/>
          <w:highlight w:val="none"/>
        </w:rPr>
        <w:t>43万台次，人员6</w:t>
      </w:r>
      <w:r>
        <w:rPr>
          <w:rFonts w:hint="eastAsia" w:ascii="MingLiU_HKSCS" w:hAnsi="MingLiU_HKSCS" w:eastAsia="MingLiU_HKSCS" w:cs="MingLiU_HKSCS"/>
          <w:highlight w:val="none"/>
        </w:rPr>
        <w:t>.</w:t>
      </w:r>
      <w:r>
        <w:rPr>
          <w:rFonts w:hint="eastAsia" w:hAnsi="宋体" w:cs="宋体"/>
          <w:highlight w:val="none"/>
        </w:rPr>
        <w:t>59万人次，查获非法入境人员2人，收缴管制刀具81把。组织筹建警用地理信息PGIS系统，建立社区警务地址库和公安标准地址库。</w:t>
      </w:r>
    </w:p>
    <w:p w14:paraId="446DF818">
      <w:pPr>
        <w:pStyle w:val="4"/>
        <w:bidi w:val="0"/>
        <w:rPr>
          <w:rFonts w:hint="eastAsia"/>
          <w:highlight w:val="none"/>
        </w:rPr>
      </w:pPr>
      <w:r>
        <w:rPr>
          <w:rFonts w:hint="eastAsia"/>
          <w:highlight w:val="none"/>
        </w:rPr>
        <w:t>【公共安全管理】</w:t>
      </w:r>
    </w:p>
    <w:p w14:paraId="3A04797F">
      <w:pPr>
        <w:rPr>
          <w:rFonts w:hint="eastAsia" w:hAnsi="宋体" w:cs="宋体"/>
          <w:highlight w:val="none"/>
          <w:vertAlign w:val="baseline"/>
        </w:rPr>
      </w:pPr>
      <w:r>
        <w:rPr>
          <w:rFonts w:hint="eastAsia" w:hAnsi="宋体" w:cs="宋体"/>
          <w:highlight w:val="none"/>
        </w:rPr>
        <w:t>强化枪支、爆炸、剧毒、放射性等危险物品安全管理，2015年对全市7家公务用枪单位的300多支枪支、18个枪弹库</w:t>
      </w:r>
      <w:r>
        <w:rPr>
          <w:rFonts w:hint="eastAsia" w:hAnsi="宋体" w:cs="宋体"/>
          <w:highlight w:val="none"/>
          <w:lang w:eastAsia="zh-CN"/>
        </w:rPr>
        <w:t>（</w:t>
      </w:r>
      <w:r>
        <w:rPr>
          <w:rFonts w:hint="eastAsia" w:hAnsi="宋体" w:cs="宋体"/>
          <w:highlight w:val="none"/>
        </w:rPr>
        <w:t>柜</w:t>
      </w:r>
      <w:r>
        <w:rPr>
          <w:rFonts w:hint="eastAsia" w:hAnsi="宋体" w:cs="宋体"/>
          <w:highlight w:val="none"/>
          <w:lang w:eastAsia="zh-CN"/>
        </w:rPr>
        <w:t>）</w:t>
      </w:r>
      <w:r>
        <w:rPr>
          <w:rFonts w:hint="eastAsia" w:hAnsi="宋体" w:cs="宋体"/>
          <w:highlight w:val="none"/>
        </w:rPr>
        <w:t>和481名配枪人员进行安全大检查大整改，规范剧毒化学品从业单位的备案登记、购买和烟花爆竹运输等许可审批。严密互联网的舆情巡查，全方位监控舆情信息，加强网吧、WiFi无线上网和非经营性场所管控管理，配合工商、文化部门检查网吧40次，教育未成年人98人次，查处黑网吧2间、违规经营网吧2间，查扣电脑55台，发放安全隐患整改通知书5份。在市区重要部位安装WiFi采集点40个，并完成建设已投入使用。加强农村交通事故预防综合治理，狠抓市区道路交通秩序整治，开展各类专项整治行动，严查交通违法行为。2015年全市发生交通事故28宗，死亡17人，同比上年，事故数、死亡数、受伤数和经济损失分别下降34%、43%、45%、28%。强化消防安全管理，推进火灾隐患排查“五个专项整治”。全市发生火灾事故124宗，无人员伤亡，经济损失154</w:t>
      </w:r>
      <w:r>
        <w:rPr>
          <w:rFonts w:hint="eastAsia" w:ascii="MingLiU_HKSCS" w:hAnsi="MingLiU_HKSCS" w:eastAsia="MingLiU_HKSCS" w:cs="MingLiU_HKSCS"/>
          <w:highlight w:val="none"/>
        </w:rPr>
        <w:t>.</w:t>
      </w:r>
      <w:r>
        <w:rPr>
          <w:rFonts w:hint="eastAsia" w:hAnsi="宋体" w:cs="宋体"/>
          <w:highlight w:val="none"/>
        </w:rPr>
        <w:t>79万元。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E5D1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31BB5FB">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6590"/>
                  <wp:effectExtent l="0" t="0" r="8890" b="16510"/>
                  <wp:docPr id="63" name="图片 214" descr="烟花爆竹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4" descr="烟花爆竹13"/>
                          <pic:cNvPicPr>
                            <a:picLocks noChangeAspect="1"/>
                          </pic:cNvPicPr>
                        </pic:nvPicPr>
                        <pic:blipFill>
                          <a:blip r:embed="rId68"/>
                          <a:stretch>
                            <a:fillRect/>
                          </a:stretch>
                        </pic:blipFill>
                        <pic:spPr>
                          <a:xfrm>
                            <a:off x="0" y="0"/>
                            <a:ext cx="3420110" cy="1926590"/>
                          </a:xfrm>
                          <a:prstGeom prst="rect">
                            <a:avLst/>
                          </a:prstGeom>
                          <a:noFill/>
                          <a:ln>
                            <a:noFill/>
                          </a:ln>
                        </pic:spPr>
                      </pic:pic>
                    </a:graphicData>
                  </a:graphic>
                </wp:inline>
              </w:drawing>
            </w:r>
          </w:p>
        </w:tc>
      </w:tr>
      <w:tr w14:paraId="286BD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B11D7A4">
            <w:pPr>
              <w:jc w:val="center"/>
              <w:rPr>
                <w:rFonts w:hint="eastAsia" w:hAnsi="宋体" w:cs="宋体"/>
                <w:highlight w:val="none"/>
                <w:vertAlign w:val="baseline"/>
              </w:rPr>
            </w:pPr>
            <w:r>
              <w:rPr>
                <w:rFonts w:hint="eastAsia" w:hAnsi="宋体" w:cs="宋体"/>
                <w:highlight w:val="none"/>
                <w:vertAlign w:val="baseline"/>
              </w:rPr>
              <w:t>公安局联合安监局销毁2000余件假冒烟花爆竹</w:t>
            </w:r>
          </w:p>
        </w:tc>
      </w:tr>
    </w:tbl>
    <w:p w14:paraId="4072EC9B">
      <w:pPr>
        <w:pStyle w:val="4"/>
        <w:bidi w:val="0"/>
        <w:rPr>
          <w:rFonts w:hint="eastAsia"/>
          <w:highlight w:val="none"/>
        </w:rPr>
      </w:pPr>
      <w:r>
        <w:rPr>
          <w:rFonts w:hint="eastAsia"/>
          <w:highlight w:val="none"/>
        </w:rPr>
        <w:t>【公共服务管理】</w:t>
      </w:r>
    </w:p>
    <w:p w14:paraId="76EC5F30">
      <w:pPr>
        <w:rPr>
          <w:rFonts w:hint="eastAsia" w:hAnsi="宋体" w:cs="宋体"/>
          <w:highlight w:val="none"/>
        </w:rPr>
      </w:pPr>
      <w:r>
        <w:rPr>
          <w:rFonts w:hint="eastAsia" w:hAnsi="宋体" w:cs="宋体"/>
          <w:highlight w:val="none"/>
        </w:rPr>
        <w:t>大力推进公安政务网站、网上办事大厅和自助办证设备建设，拓展便民服务渠道。推行出入境网上和双向速递申请等便民措施。加大对户籍新规宣传力度，推动农村人口向城市转移。继续落实居民身份证登记指纹信息工作，开展户口清理整顿。2015年全市受理、审批入户申请材料22110份，办理出生入户9537人、迁入迁出2950人、网上迁移7485人次。办理出入境业务20940人次。登记出租屋579间、流动人口1769人。制发居住证894张。</w:t>
      </w:r>
    </w:p>
    <w:p w14:paraId="4E878E42">
      <w:pPr>
        <w:pStyle w:val="4"/>
        <w:bidi w:val="0"/>
        <w:rPr>
          <w:rFonts w:hint="eastAsia"/>
          <w:highlight w:val="none"/>
        </w:rPr>
      </w:pPr>
      <w:r>
        <w:rPr>
          <w:rFonts w:hint="eastAsia"/>
          <w:highlight w:val="none"/>
        </w:rPr>
        <w:t>【执法规范化建设】</w:t>
      </w:r>
    </w:p>
    <w:p w14:paraId="4487399D">
      <w:pPr>
        <w:rPr>
          <w:rFonts w:hint="eastAsia" w:hAnsi="宋体" w:eastAsia="宋体" w:cs="宋体"/>
          <w:highlight w:val="none"/>
          <w:lang w:eastAsia="zh-CN"/>
        </w:rPr>
      </w:pPr>
      <w:r>
        <w:rPr>
          <w:rFonts w:hint="eastAsia" w:hAnsi="宋体" w:cs="宋体"/>
          <w:highlight w:val="none"/>
        </w:rPr>
        <w:t>加强执法制度建设，完善执法标准体系，制定执法行为标准，细化处罚自由裁量权基准。建立法制部门对所有刑事案件审核制度，实现对刑事执法办案全流程、全方位监管。投入资金8万多元，于11月前全局22个派出所完成案管中心建设并经韶关市局验收合格。组织民警参加执法资格考试，截至2015年底，全局380名民警全部取得基本级执法资格，勤务机构主要负责人、所队正职全部取得中级执法资格</w:t>
      </w:r>
      <w:r>
        <w:rPr>
          <w:rFonts w:hint="eastAsia" w:hAnsi="宋体" w:cs="宋体"/>
          <w:highlight w:val="none"/>
          <w:lang w:eastAsia="zh-CN"/>
        </w:rPr>
        <w:t>（</w:t>
      </w:r>
      <w:r>
        <w:rPr>
          <w:rFonts w:hint="eastAsia" w:hAnsi="宋体" w:cs="宋体"/>
          <w:highlight w:val="none"/>
        </w:rPr>
        <w:t>其中8人取得高级执法资格</w:t>
      </w:r>
      <w:r>
        <w:rPr>
          <w:rFonts w:hint="eastAsia" w:hAnsi="宋体" w:cs="宋体"/>
          <w:highlight w:val="none"/>
          <w:lang w:eastAsia="zh-CN"/>
        </w:rPr>
        <w:t>）</w:t>
      </w:r>
      <w:r>
        <w:rPr>
          <w:rFonts w:hint="eastAsia" w:hAnsi="宋体" w:cs="宋体"/>
          <w:highlight w:val="none"/>
        </w:rPr>
        <w:t>。2015年，审核刑事案件239宗、行政案件404宗。应诉行政诉讼案件4宗、民事诉讼1宗。</w:t>
      </w:r>
    </w:p>
    <w:p w14:paraId="4D209AAC">
      <w:pPr>
        <w:pStyle w:val="4"/>
        <w:bidi w:val="0"/>
        <w:rPr>
          <w:rFonts w:hint="eastAsia"/>
          <w:highlight w:val="none"/>
        </w:rPr>
      </w:pPr>
      <w:r>
        <w:rPr>
          <w:rFonts w:hint="eastAsia"/>
          <w:highlight w:val="none"/>
        </w:rPr>
        <w:t>【监所管理】</w:t>
      </w:r>
    </w:p>
    <w:p w14:paraId="3EF983A4">
      <w:pPr>
        <w:rPr>
          <w:rFonts w:hint="eastAsia" w:hAnsi="宋体" w:cs="宋体"/>
          <w:highlight w:val="none"/>
        </w:rPr>
      </w:pPr>
      <w:r>
        <w:rPr>
          <w:rFonts w:hint="eastAsia" w:hAnsi="宋体" w:cs="宋体"/>
          <w:highlight w:val="none"/>
        </w:rPr>
        <w:t>落实在押人员安全风险等级评估和分级管理，开展监所等级评定工作，看守所与驻所武警不定期开展处突防暴应急预案演练，并加快AB门改造工程，确保监所安全。集中开展深挖犯罪活动，看守所深挖破案23宗，拘留所深挖线索2条，协助抓获犯罪嫌疑人3人。2015年，将重建南雄市拘留所作为政府亮点工程，重建工程预计总投资300万元，建筑面积1200平方米，现已完成主体工程。2015年，看守所羁押被监管人员1570人次，平均月关押143人。拘留所收押违法人员938人。</w:t>
      </w:r>
    </w:p>
    <w:p w14:paraId="2BAB1321">
      <w:pPr>
        <w:pStyle w:val="4"/>
        <w:bidi w:val="0"/>
        <w:rPr>
          <w:rFonts w:hint="eastAsia"/>
          <w:highlight w:val="none"/>
        </w:rPr>
      </w:pPr>
      <w:r>
        <w:rPr>
          <w:rFonts w:hint="eastAsia"/>
          <w:highlight w:val="none"/>
        </w:rPr>
        <w:t>【警务保障】</w:t>
      </w:r>
    </w:p>
    <w:p w14:paraId="21CD4D0C">
      <w:pPr>
        <w:rPr>
          <w:rFonts w:hint="eastAsia" w:hAnsi="宋体" w:cs="宋体"/>
          <w:highlight w:val="none"/>
        </w:rPr>
      </w:pPr>
      <w:r>
        <w:rPr>
          <w:rFonts w:hint="eastAsia" w:hAnsi="宋体" w:cs="宋体"/>
          <w:highlight w:val="none"/>
        </w:rPr>
        <w:t>按照“保障有力、管理规范、优质服务、提高效益”的工作思路，加强非税收入收缴工作，坚持执行“收支两条线”规定，实现“公安办证、银行代收”征收管理模式，确保应收尽收、应缴尽缴。加强国有资产管理和装备建设，严格政府采购程序和公务接待、差旅费管理规定。严格公安转移支付资金的使用，到位率和执行率均达100%。2015年购置10辆警车、2台中巴车，及大客车、防暴车、装备车、冲锋舟各1台，全部用于执法执勤和防恐处突。在信息通信、机要通信、办公通用、刑事技术、治安执法执勤、经济侦查、技术侦察、反恐救援、交通、监管场所装备10个大项中，如期完成59个重点项目建设，基本业务装备建设达标率81%，装备配备率98%。</w:t>
      </w:r>
    </w:p>
    <w:p w14:paraId="0977326D">
      <w:pPr>
        <w:pStyle w:val="4"/>
        <w:bidi w:val="0"/>
        <w:rPr>
          <w:rFonts w:hint="eastAsia"/>
          <w:highlight w:val="none"/>
        </w:rPr>
      </w:pPr>
      <w:r>
        <w:rPr>
          <w:rFonts w:hint="eastAsia"/>
          <w:highlight w:val="none"/>
        </w:rPr>
        <w:t>【队伍建设】</w:t>
      </w:r>
    </w:p>
    <w:p w14:paraId="1CC1D8EF">
      <w:pPr>
        <w:rPr>
          <w:rFonts w:hint="eastAsia" w:hAnsi="宋体" w:cs="宋体"/>
          <w:highlight w:val="none"/>
        </w:rPr>
      </w:pPr>
      <w:r>
        <w:rPr>
          <w:rFonts w:hint="eastAsia" w:hAnsi="宋体" w:cs="宋体"/>
          <w:highlight w:val="none"/>
        </w:rPr>
        <w:t>坚持政治建警、依法治警、从严治警和从优待警方针，围绕“基础信息化、警务实战化、执法规范化、队伍正规化”这一主线，开展“三严三实”专题教育和“双学双比”实践活动。强化队伍训练管理。做到新警初任必训，2015年招录新警8人，全部由韶关市局统一安排培训上岗。组织48名民警参加“战训合一”训练，从8月起，分4期举办处置暴恐袭击专项训练班，培训民警81人。落实从优待警，组织民警健康体检，慰问困难民警，坚决执行民警年休假制度。落实党廉责任制，推进反腐倡廉建设，组织开展行风政风教育和立案突出问题专项治理，强化内外监督。2015年，9名民警荣立个人三等功、1个部门荣立集体三等功，多个部门和民警受到嘉奖。南雄市公安局团委被南雄团市委评为“先进基层团委”；2名民警分别被南雄团市委评为“2014年度南雄市十大杰出青年岗位能手”“2014年度南雄市优秀青年志愿者”。（叶青）</w:t>
      </w:r>
    </w:p>
    <w:p w14:paraId="12828E22">
      <w:pPr>
        <w:rPr>
          <w:rFonts w:hint="eastAsia" w:hAnsi="宋体" w:eastAsia="宋体" w:cs="宋体"/>
          <w:highlight w:val="none"/>
          <w:lang w:eastAsia="zh-CN"/>
        </w:rPr>
      </w:pPr>
      <w:r>
        <w:rPr>
          <w:rFonts w:hint="eastAsia" w:hAnsi="宋体" w:cs="宋体"/>
          <w:highlight w:val="none"/>
        </w:rPr>
        <w:t>附：2015年市公安局领导班子成员名单</w:t>
      </w:r>
    </w:p>
    <w:p w14:paraId="3C77AF3D">
      <w:pPr>
        <w:rPr>
          <w:rFonts w:hint="eastAsia" w:hAnsi="宋体" w:eastAsia="宋体" w:cs="宋体"/>
          <w:highlight w:val="none"/>
          <w:lang w:eastAsia="zh-CN"/>
        </w:rPr>
      </w:pPr>
      <w:r>
        <w:rPr>
          <w:rFonts w:hint="eastAsia" w:hAnsi="宋体" w:cs="宋体"/>
          <w:highlight w:val="none"/>
        </w:rPr>
        <w:t>党委书记、局长：刘悦明（兼任至10月）</w:t>
      </w:r>
    </w:p>
    <w:p w14:paraId="6DA1BD9A">
      <w:pPr>
        <w:rPr>
          <w:rFonts w:hint="eastAsia" w:hAnsi="宋体" w:eastAsia="宋体" w:cs="宋体"/>
          <w:highlight w:val="none"/>
          <w:lang w:eastAsia="zh-CN"/>
        </w:rPr>
      </w:pPr>
      <w:r>
        <w:rPr>
          <w:rFonts w:hint="eastAsia" w:hAnsi="宋体" w:cs="宋体"/>
          <w:highlight w:val="none"/>
        </w:rPr>
        <w:t>党委副书记、政委：徐学智</w:t>
      </w:r>
    </w:p>
    <w:p w14:paraId="3247F7CB">
      <w:pPr>
        <w:rPr>
          <w:rFonts w:hint="eastAsia" w:hAnsi="宋体" w:eastAsia="宋体" w:cs="宋体"/>
          <w:b w:val="0"/>
          <w:bCs w:val="0"/>
          <w:highlight w:val="none"/>
          <w:lang w:eastAsia="zh-CN"/>
        </w:rPr>
      </w:pPr>
      <w:r>
        <w:rPr>
          <w:rFonts w:hint="eastAsia" w:hAnsi="宋体" w:cs="宋体"/>
          <w:b w:val="0"/>
          <w:bCs w:val="0"/>
          <w:highlight w:val="none"/>
        </w:rPr>
        <w:t>党委委员、副局长：钟</w:t>
      </w:r>
      <w:r>
        <w:rPr>
          <w:rFonts w:hint="eastAsia" w:hAnsi="宋体" w:cs="宋体"/>
          <w:b w:val="0"/>
          <w:bCs w:val="0"/>
          <w:highlight w:val="none"/>
          <w:lang w:val="en-US" w:eastAsia="zh-CN"/>
        </w:rPr>
        <w:t xml:space="preserve">  </w:t>
      </w:r>
      <w:r>
        <w:rPr>
          <w:rFonts w:hint="eastAsia" w:hAnsi="宋体" w:cs="宋体"/>
          <w:b w:val="0"/>
          <w:bCs w:val="0"/>
          <w:highlight w:val="none"/>
        </w:rPr>
        <w:t>彬 何南京 陈本雄 何慎华 邓文兴</w:t>
      </w:r>
    </w:p>
    <w:p w14:paraId="02BD6AC3">
      <w:pPr>
        <w:rPr>
          <w:rFonts w:hint="eastAsia" w:hAnsi="宋体" w:eastAsia="宋体" w:cs="宋体"/>
          <w:b w:val="0"/>
          <w:bCs w:val="0"/>
          <w:highlight w:val="none"/>
          <w:lang w:eastAsia="zh-CN"/>
        </w:rPr>
      </w:pPr>
      <w:r>
        <w:rPr>
          <w:rFonts w:hint="eastAsia" w:hAnsi="宋体" w:cs="宋体"/>
          <w:b w:val="0"/>
          <w:bCs w:val="0"/>
          <w:highlight w:val="none"/>
        </w:rPr>
        <w:t>党委委员、纪委书记：钟卫国（任至4月）</w:t>
      </w:r>
    </w:p>
    <w:p w14:paraId="43F5E6E9">
      <w:pPr>
        <w:rPr>
          <w:rFonts w:hint="eastAsia" w:hAnsi="宋体" w:eastAsia="宋体" w:cs="宋体"/>
          <w:b w:val="0"/>
          <w:bCs w:val="0"/>
          <w:highlight w:val="none"/>
          <w:lang w:eastAsia="zh-CN"/>
        </w:rPr>
      </w:pPr>
      <w:r>
        <w:rPr>
          <w:rFonts w:hint="eastAsia" w:hAnsi="宋体" w:cs="宋体"/>
          <w:b w:val="0"/>
          <w:bCs w:val="0"/>
          <w:highlight w:val="none"/>
        </w:rPr>
        <w:t>党委委员、政工室主任：张</w:t>
      </w:r>
      <w:r>
        <w:rPr>
          <w:rFonts w:hint="eastAsia" w:hAnsi="宋体" w:cs="宋体"/>
          <w:b w:val="0"/>
          <w:bCs w:val="0"/>
          <w:highlight w:val="none"/>
          <w:lang w:val="en-US" w:eastAsia="zh-CN"/>
        </w:rPr>
        <w:t xml:space="preserve">  </w:t>
      </w:r>
      <w:r>
        <w:rPr>
          <w:rFonts w:hint="eastAsia" w:hAnsi="宋体" w:cs="宋体"/>
          <w:b w:val="0"/>
          <w:bCs w:val="0"/>
          <w:highlight w:val="none"/>
        </w:rPr>
        <w:t>明</w:t>
      </w:r>
    </w:p>
    <w:p w14:paraId="2C837660">
      <w:pPr>
        <w:rPr>
          <w:rFonts w:hint="eastAsia" w:hAnsi="宋体" w:cs="宋体"/>
          <w:b w:val="0"/>
          <w:bCs w:val="0"/>
          <w:highlight w:val="none"/>
        </w:rPr>
      </w:pPr>
      <w:r>
        <w:rPr>
          <w:rFonts w:hint="eastAsia" w:hAnsi="宋体" w:cs="宋体"/>
          <w:b w:val="0"/>
          <w:bCs w:val="0"/>
          <w:highlight w:val="none"/>
        </w:rPr>
        <w:t>党委委员、指挥中心主任：徐立宏</w:t>
      </w:r>
    </w:p>
    <w:p w14:paraId="425BDD4C">
      <w:pPr>
        <w:pStyle w:val="3"/>
        <w:bidi w:val="0"/>
        <w:rPr>
          <w:rFonts w:hint="eastAsia"/>
          <w:highlight w:val="none"/>
        </w:rPr>
      </w:pPr>
      <w:r>
        <w:rPr>
          <w:rFonts w:hint="eastAsia"/>
          <w:highlight w:val="none"/>
        </w:rPr>
        <w:t>检察</w:t>
      </w:r>
    </w:p>
    <w:p w14:paraId="378DD146">
      <w:pPr>
        <w:pStyle w:val="4"/>
        <w:bidi w:val="0"/>
        <w:rPr>
          <w:rFonts w:hint="eastAsia"/>
          <w:highlight w:val="none"/>
        </w:rPr>
      </w:pPr>
      <w:r>
        <w:rPr>
          <w:rFonts w:hint="eastAsia"/>
          <w:highlight w:val="none"/>
        </w:rPr>
        <w:t>【概况】</w:t>
      </w:r>
    </w:p>
    <w:p w14:paraId="139E58E6">
      <w:pPr>
        <w:rPr>
          <w:rFonts w:hint="eastAsia" w:hAnsi="宋体" w:cs="宋体"/>
          <w:highlight w:val="none"/>
        </w:rPr>
      </w:pPr>
      <w:r>
        <w:rPr>
          <w:rFonts w:hint="eastAsia" w:hAnsi="宋体" w:cs="宋体"/>
          <w:highlight w:val="none"/>
        </w:rPr>
        <w:t>南雄市人民检察院是按照公务员管理的正科级司法机关，履行宪法赋予的法律监督职责。2008年12月18日，从旧址（林荫西路40号）搬迁到现址（环城东路66号）办公。内设机构有办公室、检委办、政工科、纪检监察室、侦查一科、侦查二科、反渎职侵权局、公诉科、侦查监督科、职务犯罪预防科、监所检察科、民事行政检察科、控告申诉检察科、案件管理中心、司法警察大队、派驻湖口检察室等16个部门。干警政法专用编制50人，现有干警42人，办案辅助人员12人。</w:t>
      </w:r>
    </w:p>
    <w:p w14:paraId="72E67C69">
      <w:pPr>
        <w:pStyle w:val="4"/>
        <w:bidi w:val="0"/>
        <w:rPr>
          <w:rFonts w:hint="eastAsia"/>
          <w:highlight w:val="none"/>
        </w:rPr>
      </w:pPr>
      <w:r>
        <w:rPr>
          <w:rFonts w:hint="eastAsia"/>
          <w:highlight w:val="none"/>
        </w:rPr>
        <w:t>【侦查监督】</w:t>
      </w:r>
    </w:p>
    <w:p w14:paraId="61B2C5BF">
      <w:pPr>
        <w:rPr>
          <w:rFonts w:hint="eastAsia" w:hAnsi="宋体" w:cs="宋体"/>
          <w:highlight w:val="none"/>
        </w:rPr>
      </w:pPr>
      <w:r>
        <w:rPr>
          <w:rFonts w:hint="eastAsia" w:hAnsi="宋体" w:cs="宋体"/>
          <w:highlight w:val="none"/>
        </w:rPr>
        <w:t>2015年侦监部门受理提请批准逮捕案件130件213人，经审查批准逮捕99件173人（含2014年未结案件1件1人），不捕29件38人（含2014年未结案件2件2人），未结案件5件5人，报请延长侦查羁押期限2件3人，重新计算侦查羁押期间1件1人，立案监督1件1人，撤案监督1件1人，纠正漏捕20人，发出检察建议3份，向公安机关发出纠正违法通知书1份。</w:t>
      </w:r>
    </w:p>
    <w:p w14:paraId="68E37134">
      <w:pPr>
        <w:pStyle w:val="4"/>
        <w:bidi w:val="0"/>
        <w:rPr>
          <w:rFonts w:hint="eastAsia"/>
          <w:highlight w:val="none"/>
        </w:rPr>
      </w:pPr>
      <w:r>
        <w:rPr>
          <w:rFonts w:hint="eastAsia"/>
          <w:highlight w:val="none"/>
        </w:rPr>
        <w:t>【审查起诉】</w:t>
      </w:r>
    </w:p>
    <w:p w14:paraId="487B4BF5">
      <w:pPr>
        <w:rPr>
          <w:rFonts w:hint="eastAsia" w:hAnsi="宋体" w:cs="宋体"/>
          <w:highlight w:val="none"/>
        </w:rPr>
      </w:pPr>
      <w:r>
        <w:rPr>
          <w:rFonts w:hint="eastAsia" w:hAnsi="宋体" w:cs="宋体"/>
          <w:highlight w:val="none"/>
        </w:rPr>
        <w:t>2015年公诉部门受理移送审查起诉/不起诉244件354人，本年度审结率（结案率）100%，其中提起公诉226件330人（含自侦案件30件），不起诉13件15人，移送单位撤回案件2件4人，退回侦查机关补充侦查38件，发出检察建议3件，发出纠正违法通知书2件，出庭225件329人，有判决结果211件308人，均为有罪判决。</w:t>
      </w:r>
    </w:p>
    <w:p w14:paraId="0AD9BC87">
      <w:pPr>
        <w:pStyle w:val="4"/>
        <w:bidi w:val="0"/>
        <w:rPr>
          <w:rFonts w:hint="eastAsia"/>
          <w:highlight w:val="none"/>
        </w:rPr>
      </w:pPr>
      <w:r>
        <w:rPr>
          <w:rFonts w:hint="eastAsia"/>
          <w:highlight w:val="none"/>
        </w:rPr>
        <w:t>【预防和查处职务犯罪】</w:t>
      </w:r>
    </w:p>
    <w:p w14:paraId="53D21EE2">
      <w:pPr>
        <w:rPr>
          <w:rFonts w:hint="eastAsia" w:hAnsi="宋体" w:cs="宋体"/>
          <w:highlight w:val="none"/>
        </w:rPr>
      </w:pPr>
      <w:r>
        <w:rPr>
          <w:rFonts w:hint="eastAsia" w:hAnsi="宋体" w:cs="宋体"/>
          <w:highlight w:val="none"/>
        </w:rPr>
        <w:t>2015年反贪局受理案件线索24件24人，其中该院举报部门转来2件2人、市院转办6件6人。在受理的线索中，涉嫌贪污的4件4人、受贿12件12人、行贿8件8人。开展初查23件23人，已有初查结论19件19人，决定立案18件18人。立案侦查贪污贿赂案件18件18人，均为大要案。查处副科级以上领导干部8人，其中正处级领导干部1件1人。所立案件中，贪污1件1人、受贿9件9人、行贿8件8人。反渎局共受理渎职侵权案件线索9件，其中玩忽职守2件2人、滥用职权4件4人、徇私枉法1件1人。其中立案7件7人、不立案1件1人、正在初查中1件若干人。已向法院起诉7件7人，其中4件已作出有罪判决，有罪判决率为57%，尚未作出一审判决3件3人，上诉2人。所立案件中特大案件7件7人，副科级干部2人，正科级干部1人。预防部门开展预防调查22次</w:t>
      </w:r>
      <w:r>
        <w:rPr>
          <w:rFonts w:hint="eastAsia" w:hAnsi="宋体" w:cs="宋体"/>
          <w:highlight w:val="none"/>
          <w:lang w:eastAsia="zh-CN"/>
        </w:rPr>
        <w:t>（</w:t>
      </w:r>
      <w:r>
        <w:rPr>
          <w:rFonts w:hint="eastAsia" w:hAnsi="宋体" w:cs="宋体"/>
          <w:highlight w:val="none"/>
        </w:rPr>
        <w:t>其中涉农犯罪调查10次），撰写调研、宣传文章38篇，被省、市院、南雄市政府网、该院检察网采用23篇，提出检察建议17件（其中涉农检察建议10件），均有回复，开展预防宣传和警示教育68次（其中涉农宣传34次），接受教育3515人，接受行贿犯罪档案查询2179次，重点工程专项预防6宗，更换警示教育基地案例29个，参与反贪反渎办案10件。</w:t>
      </w:r>
    </w:p>
    <w:p w14:paraId="538E279F">
      <w:pPr>
        <w:pStyle w:val="4"/>
        <w:bidi w:val="0"/>
        <w:rPr>
          <w:rFonts w:hint="eastAsia"/>
          <w:highlight w:val="none"/>
        </w:rPr>
      </w:pPr>
      <w:r>
        <w:rPr>
          <w:rFonts w:hint="eastAsia"/>
          <w:highlight w:val="none"/>
        </w:rPr>
        <w:t>【控告申诉检察】</w:t>
      </w:r>
    </w:p>
    <w:p w14:paraId="28D52664">
      <w:pPr>
        <w:rPr>
          <w:rFonts w:hint="eastAsia" w:hAnsi="宋体" w:cs="宋体"/>
          <w:highlight w:val="none"/>
        </w:rPr>
      </w:pPr>
      <w:r>
        <w:rPr>
          <w:rFonts w:hint="eastAsia" w:hAnsi="宋体" w:cs="宋体"/>
          <w:highlight w:val="none"/>
        </w:rPr>
        <w:t>2015年控申部门受理控告和普通申诉51件，其中控告33件，普通申诉18件；受理举报线索20件，属于该院管辖线索19件，属于首次举报20件；初核线索10件。办理省院转办案件1件。受理群众首次刑事申诉案件9件，办结7件，在办2件；立案复查结案6件，审查结案1件；刑事申诉公开审查5件，息诉5件。受理司法救助申请7件8人，实际救助5人，实际发放救助金额10万元。</w:t>
      </w:r>
    </w:p>
    <w:p w14:paraId="67FA14F1">
      <w:pPr>
        <w:pStyle w:val="4"/>
        <w:bidi w:val="0"/>
        <w:rPr>
          <w:rFonts w:hint="eastAsia"/>
          <w:highlight w:val="none"/>
        </w:rPr>
      </w:pPr>
      <w:r>
        <w:rPr>
          <w:rFonts w:hint="eastAsia"/>
          <w:highlight w:val="none"/>
        </w:rPr>
        <w:t>【民事行政检察】</w:t>
      </w:r>
    </w:p>
    <w:p w14:paraId="249A0D3B">
      <w:pPr>
        <w:rPr>
          <w:rFonts w:hint="eastAsia" w:hAnsi="宋体" w:cs="宋体"/>
          <w:highlight w:val="none"/>
        </w:rPr>
      </w:pPr>
      <w:r>
        <w:rPr>
          <w:rFonts w:hint="eastAsia" w:hAnsi="宋体" w:cs="宋体"/>
          <w:highlight w:val="none"/>
        </w:rPr>
        <w:t>2015年民行部门自行受理案件线索10件（其中执行监督类3件，民事申诉类1件，行政申诉类1件，行政违法监督2件，审判违法监督3件），审结9件（含上年度未结1件），向行政机关发出检察建议3份，采纳2份，1份未采纳，向法院发出检察建议2份，法院均已回复，作出不支持监督申请决定4件。市院交办6件，审结7件（含上年度未结3件），其中提请省院抗诉1件，省院支持抗诉3件（含上年度提请抗诉2件），作出不支持监督申请决定6件。</w:t>
      </w:r>
    </w:p>
    <w:p w14:paraId="6B6A9269">
      <w:pPr>
        <w:pStyle w:val="4"/>
        <w:bidi w:val="0"/>
        <w:rPr>
          <w:rFonts w:hint="eastAsia"/>
          <w:highlight w:val="none"/>
        </w:rPr>
      </w:pPr>
      <w:r>
        <w:rPr>
          <w:rFonts w:hint="eastAsia"/>
          <w:highlight w:val="none"/>
        </w:rPr>
        <w:t>【监所检察】</w:t>
      </w:r>
    </w:p>
    <w:p w14:paraId="3636FDB2">
      <w:pPr>
        <w:rPr>
          <w:rFonts w:hint="eastAsia" w:hAnsi="宋体" w:cs="宋体"/>
          <w:highlight w:val="none"/>
        </w:rPr>
      </w:pPr>
      <w:r>
        <w:rPr>
          <w:rFonts w:hint="eastAsia" w:hAnsi="宋体" w:cs="宋体"/>
          <w:highlight w:val="none"/>
        </w:rPr>
        <w:t>2015年监所部门监督记载，南雄市看守所关押过各类刑事案犯630人，收押各类刑事案犯497人（含韶关市公安局监管科指定从韶关市看守所、始兴县看守所转到南雄市看守所羁押的案犯），处理出所案犯344人，其中投送男子监狱134人、投送女子监狱4人、投送未成年犯管教所1人、刑满释放92人、取保候审49人、指定居所监视居住出所2人、转韶关市看守所羁押2人、转仁化县、始兴县看守所羁押各1人、临时寄押带走5人、因不批捕释放38人、因判缓刑释放2人、因证据不足释放3人、因情节显著轻微不认为是犯罪释放2人、因不构成犯罪转行政拘留出所1人、在拘留期限内释放回家6人、因拘留期限届满变更为监视居住出所1人、逮捕后释放回家1人、执行死刑出所0人。截至12月25日在押案犯286人，其中刑拘1人、捕未决172人、临时羁押1人、已决8人、待执行38人、拘役21人、留所服刑45人。</w:t>
      </w:r>
    </w:p>
    <w:p w14:paraId="551B0753">
      <w:pPr>
        <w:pStyle w:val="4"/>
        <w:bidi w:val="0"/>
        <w:rPr>
          <w:rFonts w:hint="eastAsia"/>
          <w:highlight w:val="none"/>
        </w:rPr>
      </w:pPr>
      <w:r>
        <w:rPr>
          <w:rFonts w:hint="eastAsia"/>
          <w:highlight w:val="none"/>
        </w:rPr>
        <w:t>【案管中心】</w:t>
      </w:r>
    </w:p>
    <w:p w14:paraId="5DDADEE3">
      <w:pPr>
        <w:rPr>
          <w:rFonts w:hint="eastAsia" w:hAnsi="宋体" w:cs="宋体"/>
          <w:highlight w:val="none"/>
        </w:rPr>
      </w:pPr>
      <w:r>
        <w:rPr>
          <w:rFonts w:hint="eastAsia" w:hAnsi="宋体" w:cs="宋体"/>
          <w:highlight w:val="none"/>
        </w:rPr>
        <w:t>2015年全院统一业务应用系统受理案件494件698人，其中受理审查逮捕案件144件235人，立案监督4件4人；侦查活动监督案件3件6人；受理审查起诉案件245件355人；反贪污贿赂立案18件18人，反渎职侵权立案7件7人；民行10件10人；首次控告合计34件34人，首次申诉合计22件22人，其中刑事被害人救助案件7件7人。录入预防调查22件，警示教育和宣传69次；检委会上会议题25件，检委会会议13次。网上办结案件488件690人，其中审查逮捕案件结案147件238人，立案监督结案4件4人；侦查活动监督案件3件6人；公诉案件结案238件346人，反贪侦结17件17人，反渎侦结7件7人，民行案件结案9件9人，首次控告案件结案34件34人，申诉类案件结案22件22人，其中刑事被害人救助案件结案7件7人。开具告知类法律文书1482份，接待律师来访、阅卷46次，接待当事人查询案件140人次。</w:t>
      </w:r>
    </w:p>
    <w:p w14:paraId="253BD24A">
      <w:pPr>
        <w:pStyle w:val="4"/>
        <w:bidi w:val="0"/>
        <w:rPr>
          <w:rFonts w:hint="eastAsia"/>
          <w:highlight w:val="none"/>
        </w:rPr>
      </w:pPr>
      <w:r>
        <w:rPr>
          <w:rFonts w:hint="eastAsia"/>
          <w:highlight w:val="none"/>
        </w:rPr>
        <w:t>【驻湖口检察室】</w:t>
      </w:r>
    </w:p>
    <w:p w14:paraId="08117497">
      <w:pPr>
        <w:rPr>
          <w:rFonts w:hint="eastAsia" w:hAnsi="宋体" w:cs="宋体"/>
          <w:highlight w:val="none"/>
        </w:rPr>
      </w:pPr>
      <w:r>
        <w:rPr>
          <w:rFonts w:hint="eastAsia" w:hAnsi="宋体" w:cs="宋体"/>
          <w:highlight w:val="none"/>
        </w:rPr>
        <w:t>2015年检察室举办检察开放日活动14次，接访群众880人，发放相关法律宣传资料2300多份，其中应邀给乡镇干部上职务犯罪预防教育课2次，受教育干部161人；接到群众来信来访12人13件，其中重复访1件1人；新增社区矫正人员7名。开展巡查和专项检查工作30次，与湖口派出所召开联席会议1次，日常座谈讨论会议30次，接收到湖口派出所警情通报材料30次（自监督工作开展起，每周一次）。</w:t>
      </w:r>
    </w:p>
    <w:p w14:paraId="15C7509F">
      <w:pPr>
        <w:pStyle w:val="4"/>
        <w:bidi w:val="0"/>
        <w:rPr>
          <w:rFonts w:hint="eastAsia"/>
          <w:highlight w:val="none"/>
        </w:rPr>
      </w:pPr>
      <w:r>
        <w:rPr>
          <w:rFonts w:hint="eastAsia"/>
          <w:highlight w:val="none"/>
        </w:rPr>
        <w:t>【专项整治工作】</w:t>
      </w:r>
    </w:p>
    <w:p w14:paraId="0E467502">
      <w:pPr>
        <w:rPr>
          <w:rFonts w:hint="eastAsia" w:hAnsi="宋体" w:cs="宋体"/>
          <w:highlight w:val="none"/>
        </w:rPr>
      </w:pPr>
      <w:r>
        <w:rPr>
          <w:rFonts w:hint="eastAsia" w:hAnsi="宋体" w:cs="宋体"/>
          <w:highlight w:val="none"/>
        </w:rPr>
        <w:t>开展为期一年规范司法行为专项整治工作，重点围绕业务部门各环节，突出整治司法作风问题、执行办案规范不严、侵害当事人合法权益、越权办案、泄露案情干预办案、以案谋私等8个方面的问题。成立专项整治工作领导小组，进行动员部署、制定工作方案，在全院开展学习、讨论、对照查摆，从党组中心学习组学习会、院务学习会、检委会学习专题会，到各部门干警，展开了学习、自学、查摆，认真梳理本单位、本部门和自身不规范司法的突出问题。同时采取社会评议方式，通过召开征求意见座谈会、设置意见箱、发放征求意见函，登门走访和开设网络信箱等方式，认真听取社会各界、各相关部门的意见和建议，敢于自我揭短亮丑，实事求是地把突出问题和薄弱环节找准。针对党性党风党纪和司法规范化建设等方面存在的突出问题，召开高质量的专题民主生活会和组织生活会。边学边改、立查立改，制定出整改落实方案。专项整治工作结束后，该院专项整治领导小组组织有关人员通过专项检查、检务督察、抽查考核、群众满意度测评等方式进行检查验收，写出总结，提出建立健全长效机制的意见和措施，形成专题报告上级检察院，已获上级检察机关。</w:t>
      </w:r>
    </w:p>
    <w:p w14:paraId="7D1ACF42">
      <w:pPr>
        <w:jc w:val="right"/>
        <w:rPr>
          <w:rFonts w:hint="eastAsia" w:hAnsi="宋体" w:cs="宋体"/>
          <w:highlight w:val="none"/>
        </w:rPr>
      </w:pPr>
      <w:r>
        <w:rPr>
          <w:rFonts w:hint="eastAsia" w:hAnsi="宋体" w:cs="宋体"/>
          <w:highlight w:val="none"/>
        </w:rPr>
        <w:t>（胡飞龙）</w:t>
      </w:r>
    </w:p>
    <w:p w14:paraId="53B205CA">
      <w:pPr>
        <w:rPr>
          <w:rFonts w:hint="eastAsia" w:hAnsi="宋体" w:eastAsia="宋体" w:cs="宋体"/>
          <w:highlight w:val="none"/>
          <w:lang w:eastAsia="zh-CN"/>
        </w:rPr>
      </w:pPr>
      <w:r>
        <w:rPr>
          <w:rFonts w:hint="eastAsia" w:hAnsi="宋体" w:cs="宋体"/>
          <w:highlight w:val="none"/>
        </w:rPr>
        <w:t>附：2015年市检察院领导班子成员名单</w:t>
      </w:r>
    </w:p>
    <w:p w14:paraId="32511DF8">
      <w:pPr>
        <w:rPr>
          <w:rFonts w:hint="eastAsia" w:hAnsi="宋体" w:eastAsia="宋体" w:cs="宋体"/>
          <w:highlight w:val="none"/>
          <w:lang w:eastAsia="zh-CN"/>
        </w:rPr>
      </w:pPr>
      <w:r>
        <w:rPr>
          <w:rFonts w:hint="eastAsia" w:hAnsi="宋体" w:cs="宋体"/>
          <w:highlight w:val="none"/>
        </w:rPr>
        <w:t>党组书记、检察长：赖正志</w:t>
      </w:r>
    </w:p>
    <w:p w14:paraId="1AF1D040">
      <w:pPr>
        <w:rPr>
          <w:rFonts w:hint="eastAsia" w:hAnsi="宋体" w:eastAsia="宋体" w:cs="宋体"/>
          <w:highlight w:val="none"/>
          <w:lang w:eastAsia="zh-CN"/>
        </w:rPr>
      </w:pPr>
      <w:r>
        <w:rPr>
          <w:rFonts w:hint="eastAsia" w:hAnsi="宋体" w:cs="宋体"/>
          <w:highlight w:val="none"/>
        </w:rPr>
        <w:t>党组副书记、副检察长：刘辉林</w:t>
      </w:r>
    </w:p>
    <w:p w14:paraId="699982D7">
      <w:pPr>
        <w:rPr>
          <w:rFonts w:hint="eastAsia" w:hAnsi="宋体" w:eastAsia="宋体" w:cs="宋体"/>
          <w:highlight w:val="none"/>
          <w:lang w:eastAsia="zh-CN"/>
        </w:rPr>
      </w:pPr>
      <w:r>
        <w:rPr>
          <w:rFonts w:hint="eastAsia" w:hAnsi="宋体" w:cs="宋体"/>
          <w:highlight w:val="none"/>
        </w:rPr>
        <w:t>党组成员、副检察长：利保登</w:t>
      </w:r>
    </w:p>
    <w:p w14:paraId="555FF9F4">
      <w:pPr>
        <w:rPr>
          <w:rFonts w:hint="eastAsia" w:hAnsi="宋体" w:eastAsia="宋体" w:cs="宋体"/>
          <w:b w:val="0"/>
          <w:bCs w:val="0"/>
          <w:highlight w:val="none"/>
          <w:lang w:eastAsia="zh-CN"/>
        </w:rPr>
      </w:pPr>
      <w:r>
        <w:rPr>
          <w:rFonts w:hint="eastAsia" w:hAnsi="宋体" w:cs="宋体"/>
          <w:b w:val="0"/>
          <w:bCs w:val="0"/>
          <w:highlight w:val="none"/>
        </w:rPr>
        <w:t>党组成员、副检察长、反贪局长：王晓云</w:t>
      </w:r>
    </w:p>
    <w:p w14:paraId="74F699F5">
      <w:pPr>
        <w:rPr>
          <w:rFonts w:hint="eastAsia" w:hAnsi="宋体" w:eastAsia="宋体" w:cs="宋体"/>
          <w:b w:val="0"/>
          <w:bCs w:val="0"/>
          <w:highlight w:val="none"/>
          <w:lang w:eastAsia="zh-CN"/>
        </w:rPr>
      </w:pPr>
      <w:r>
        <w:rPr>
          <w:rFonts w:hint="eastAsia" w:hAnsi="宋体" w:cs="宋体"/>
          <w:b w:val="0"/>
          <w:bCs w:val="0"/>
          <w:highlight w:val="none"/>
        </w:rPr>
        <w:t>党组成员、纪检组长：李</w:t>
      </w:r>
      <w:r>
        <w:rPr>
          <w:rFonts w:hint="eastAsia" w:hAnsi="宋体" w:cs="宋体"/>
          <w:b w:val="0"/>
          <w:bCs w:val="0"/>
          <w:highlight w:val="none"/>
          <w:lang w:val="en-US" w:eastAsia="zh-CN"/>
        </w:rPr>
        <w:t xml:space="preserve">  </w:t>
      </w:r>
      <w:r>
        <w:rPr>
          <w:rFonts w:hint="eastAsia" w:hAnsi="宋体" w:cs="宋体"/>
          <w:b w:val="0"/>
          <w:bCs w:val="0"/>
          <w:highlight w:val="none"/>
        </w:rPr>
        <w:t>兵</w:t>
      </w:r>
    </w:p>
    <w:p w14:paraId="08883B22">
      <w:pPr>
        <w:rPr>
          <w:rFonts w:hint="eastAsia" w:hAnsi="宋体" w:cs="宋体"/>
          <w:b w:val="0"/>
          <w:bCs w:val="0"/>
          <w:highlight w:val="none"/>
        </w:rPr>
      </w:pPr>
      <w:r>
        <w:rPr>
          <w:rFonts w:hint="eastAsia" w:hAnsi="宋体" w:cs="宋体"/>
          <w:b w:val="0"/>
          <w:bCs w:val="0"/>
          <w:highlight w:val="none"/>
        </w:rPr>
        <w:t>党组成员、政工科长：罗天祥</w:t>
      </w:r>
    </w:p>
    <w:p w14:paraId="46C9A9F2">
      <w:pPr>
        <w:pStyle w:val="3"/>
        <w:bidi w:val="0"/>
        <w:rPr>
          <w:rFonts w:hint="eastAsia"/>
          <w:highlight w:val="none"/>
        </w:rPr>
      </w:pPr>
      <w:r>
        <w:rPr>
          <w:rFonts w:hint="eastAsia"/>
          <w:highlight w:val="none"/>
        </w:rPr>
        <w:t>审判</w:t>
      </w:r>
    </w:p>
    <w:p w14:paraId="6EF48FF5">
      <w:pPr>
        <w:pStyle w:val="4"/>
        <w:bidi w:val="0"/>
        <w:rPr>
          <w:rFonts w:hint="eastAsia"/>
          <w:highlight w:val="none"/>
        </w:rPr>
      </w:pPr>
      <w:r>
        <w:rPr>
          <w:rFonts w:hint="eastAsia"/>
          <w:highlight w:val="none"/>
        </w:rPr>
        <w:t>【概况】</w:t>
      </w:r>
    </w:p>
    <w:p w14:paraId="4C51050B">
      <w:pPr>
        <w:rPr>
          <w:rFonts w:hint="eastAsia" w:hAnsi="宋体" w:cs="宋体"/>
          <w:highlight w:val="none"/>
        </w:rPr>
      </w:pPr>
      <w:r>
        <w:rPr>
          <w:rFonts w:hint="eastAsia" w:hAnsi="宋体" w:cs="宋体"/>
          <w:highlight w:val="none"/>
        </w:rPr>
        <w:t>南雄市人民法院（以下简称南雄法院）位于南雄市雄州街道新城林荫西路11号，现有干警79人，内设政工科、办公室、监察科、研究室、审管办、书记员管理办，及立案庭、民事审判第一、二、三庭、刑事审判庭、行政审判庭、执行局等13个机构，直属机构法警大队，派出机构乌迳、湖口、全安3个基层法庭。</w:t>
      </w:r>
    </w:p>
    <w:p w14:paraId="2726FE77">
      <w:pPr>
        <w:rPr>
          <w:rFonts w:hint="eastAsia" w:hAnsi="宋体" w:cs="宋体"/>
          <w:highlight w:val="none"/>
        </w:rPr>
      </w:pPr>
      <w:r>
        <w:rPr>
          <w:rFonts w:hint="eastAsia" w:hAnsi="宋体" w:cs="宋体"/>
          <w:highlight w:val="none"/>
        </w:rPr>
        <w:t>2015年，由于实行立案登记制，案件数量大幅上升。全体干警齐心协力，较好地完成了审判任务。2015年受理各类案件1198.5吨（含旧存137宗），审结2117宗，审限内结案率为98</w:t>
      </w:r>
      <w:r>
        <w:rPr>
          <w:rFonts w:hint="eastAsia" w:ascii="MingLiU_HKSCS" w:hAnsi="MingLiU_HKSCS" w:eastAsia="MingLiU_HKSCS" w:cs="MingLiU_HKSCS"/>
          <w:highlight w:val="none"/>
        </w:rPr>
        <w:t>.</w:t>
      </w:r>
      <w:r>
        <w:rPr>
          <w:rFonts w:hint="eastAsia" w:hAnsi="宋体" w:cs="宋体"/>
          <w:highlight w:val="none"/>
        </w:rPr>
        <w:t>98%。与2014年（收1879宗、结1756宗）相比，收结案分别上升27</w:t>
      </w:r>
      <w:r>
        <w:rPr>
          <w:rFonts w:hint="eastAsia" w:ascii="MingLiU_HKSCS" w:hAnsi="MingLiU_HKSCS" w:eastAsia="MingLiU_HKSCS" w:cs="MingLiU_HKSCS"/>
          <w:highlight w:val="none"/>
        </w:rPr>
        <w:t>.</w:t>
      </w:r>
      <w:r>
        <w:rPr>
          <w:rFonts w:hint="eastAsia" w:hAnsi="宋体" w:cs="宋体"/>
          <w:highlight w:val="none"/>
        </w:rPr>
        <w:t>57%和20</w:t>
      </w:r>
      <w:r>
        <w:rPr>
          <w:rFonts w:hint="eastAsia" w:ascii="MingLiU_HKSCS" w:hAnsi="MingLiU_HKSCS" w:eastAsia="MingLiU_HKSCS" w:cs="MingLiU_HKSCS"/>
          <w:highlight w:val="none"/>
        </w:rPr>
        <w:t>.</w:t>
      </w:r>
      <w:r>
        <w:rPr>
          <w:rFonts w:hint="eastAsia" w:hAnsi="宋体" w:cs="宋体"/>
          <w:highlight w:val="none"/>
        </w:rPr>
        <w:t>55%。</w:t>
      </w:r>
    </w:p>
    <w:p w14:paraId="429AC3B0">
      <w:pPr>
        <w:pStyle w:val="4"/>
        <w:bidi w:val="0"/>
        <w:rPr>
          <w:rFonts w:hint="eastAsia"/>
          <w:highlight w:val="none"/>
        </w:rPr>
      </w:pPr>
      <w:r>
        <w:rPr>
          <w:rFonts w:hint="eastAsia"/>
          <w:highlight w:val="none"/>
        </w:rPr>
        <w:t>【刑事审判】</w:t>
      </w:r>
    </w:p>
    <w:p w14:paraId="55CEBB93">
      <w:pPr>
        <w:rPr>
          <w:rFonts w:hint="eastAsia" w:hAnsi="宋体" w:cs="宋体"/>
          <w:highlight w:val="none"/>
        </w:rPr>
      </w:pPr>
      <w:r>
        <w:rPr>
          <w:rFonts w:hint="eastAsia" w:hAnsi="宋体" w:cs="宋体"/>
          <w:highlight w:val="none"/>
        </w:rPr>
        <w:t>在刑事审判工作中，坚持用法治思维和法治方式，严格执行法律和政策，严厉打击和惩处一批犯罪分子，有力地维护市场经济秩序和社会治安稳定。</w:t>
      </w:r>
    </w:p>
    <w:p w14:paraId="2B60661F">
      <w:pPr>
        <w:rPr>
          <w:rFonts w:hint="eastAsia" w:hAnsi="宋体" w:cs="宋体"/>
          <w:highlight w:val="none"/>
        </w:rPr>
      </w:pPr>
      <w:r>
        <w:rPr>
          <w:rFonts w:hint="eastAsia" w:hAnsi="宋体" w:cs="宋体"/>
          <w:highlight w:val="none"/>
        </w:rPr>
        <w:t>2015年受理各类刑事案件231宗，审结227宗（330人），与2014年同比分别上升37</w:t>
      </w:r>
      <w:r>
        <w:rPr>
          <w:rFonts w:hint="eastAsia" w:ascii="MingLiU_HKSCS" w:hAnsi="MingLiU_HKSCS" w:eastAsia="MingLiU_HKSCS" w:cs="MingLiU_HKSCS"/>
          <w:highlight w:val="none"/>
        </w:rPr>
        <w:t>.</w:t>
      </w:r>
      <w:r>
        <w:rPr>
          <w:rFonts w:hint="eastAsia" w:hAnsi="宋体" w:cs="宋体"/>
          <w:highlight w:val="none"/>
        </w:rPr>
        <w:t>50%、35</w:t>
      </w:r>
      <w:r>
        <w:rPr>
          <w:rFonts w:hint="eastAsia" w:ascii="MingLiU_HKSCS" w:hAnsi="MingLiU_HKSCS" w:eastAsia="MingLiU_HKSCS" w:cs="MingLiU_HKSCS"/>
          <w:highlight w:val="none"/>
        </w:rPr>
        <w:t>.</w:t>
      </w:r>
      <w:r>
        <w:rPr>
          <w:rFonts w:hint="eastAsia" w:hAnsi="宋体" w:cs="宋体"/>
          <w:highlight w:val="none"/>
        </w:rPr>
        <w:t>92%。包括故意伤害33宗36人，盗窃28宗39人，交通肇事23宗23人，强奸和猥亵妇女儿童6宗6人，抢劫8宗8人，赌博24宗50人，危险驾驶12宗13人，贪污受贿13宗13人，故意毁坏财物14宗21人，涉毒8宗10人，以及徇私舞弊、诈骗、失火、强迫交易、盗伐林木、寻衅滋事、聚众斗殴、玩忽职守、信用卡诈骗、非法经营等案件。其中，涉毒、涉黑恶、涉盗抢、涉赌、防范和打击非法集资为主要内容的“3+2”专项行动案件54宗128人。判处十年以上有期徒刑的8人，三年以上十年以下的50人，三年以下有期徒刑、拘役的272人。</w:t>
      </w:r>
    </w:p>
    <w:p w14:paraId="515F550A">
      <w:pPr>
        <w:pStyle w:val="4"/>
        <w:bidi w:val="0"/>
        <w:rPr>
          <w:rFonts w:hint="eastAsia"/>
          <w:highlight w:val="none"/>
        </w:rPr>
      </w:pPr>
      <w:r>
        <w:rPr>
          <w:rFonts w:hint="eastAsia"/>
          <w:highlight w:val="none"/>
        </w:rPr>
        <w:t>【民商事审判】</w:t>
      </w:r>
    </w:p>
    <w:p w14:paraId="29FD9787">
      <w:pPr>
        <w:rPr>
          <w:rFonts w:hint="eastAsia" w:hAnsi="宋体" w:cs="宋体"/>
          <w:highlight w:val="none"/>
        </w:rPr>
      </w:pPr>
      <w:r>
        <w:rPr>
          <w:rFonts w:hint="eastAsia" w:hAnsi="宋体" w:cs="宋体"/>
          <w:highlight w:val="none"/>
        </w:rPr>
        <w:t>受理民商事案件1618宗，审结1379宗，与2014年同比分别上升22</w:t>
      </w:r>
      <w:r>
        <w:rPr>
          <w:rFonts w:hint="eastAsia" w:ascii="MingLiU_HKSCS" w:hAnsi="MingLiU_HKSCS" w:eastAsia="MingLiU_HKSCS" w:cs="MingLiU_HKSCS"/>
          <w:highlight w:val="none"/>
        </w:rPr>
        <w:t>.</w:t>
      </w:r>
      <w:r>
        <w:rPr>
          <w:rFonts w:hint="eastAsia" w:hAnsi="宋体" w:cs="宋体"/>
          <w:highlight w:val="none"/>
        </w:rPr>
        <w:t>11%、12</w:t>
      </w:r>
      <w:r>
        <w:rPr>
          <w:rFonts w:hint="eastAsia" w:ascii="MingLiU_HKSCS" w:hAnsi="MingLiU_HKSCS" w:eastAsia="MingLiU_HKSCS" w:cs="MingLiU_HKSCS"/>
          <w:highlight w:val="none"/>
        </w:rPr>
        <w:t>.</w:t>
      </w:r>
      <w:r>
        <w:rPr>
          <w:rFonts w:hint="eastAsia" w:hAnsi="宋体" w:cs="宋体"/>
          <w:highlight w:val="none"/>
        </w:rPr>
        <w:t>66%；其中，调解338宗，撤诉400宗，调撤率为52</w:t>
      </w:r>
      <w:r>
        <w:rPr>
          <w:rFonts w:hint="eastAsia" w:ascii="MingLiU_HKSCS" w:hAnsi="MingLiU_HKSCS" w:eastAsia="MingLiU_HKSCS" w:cs="MingLiU_HKSCS"/>
          <w:highlight w:val="none"/>
        </w:rPr>
        <w:t>.</w:t>
      </w:r>
      <w:r>
        <w:rPr>
          <w:rFonts w:hint="eastAsia" w:hAnsi="宋体" w:cs="宋体"/>
          <w:highlight w:val="none"/>
        </w:rPr>
        <w:t>40%，同比分别上升0</w:t>
      </w:r>
      <w:r>
        <w:rPr>
          <w:rFonts w:hint="eastAsia" w:ascii="MingLiU_HKSCS" w:hAnsi="MingLiU_HKSCS" w:eastAsia="MingLiU_HKSCS" w:cs="MingLiU_HKSCS"/>
          <w:highlight w:val="none"/>
        </w:rPr>
        <w:t>.</w:t>
      </w:r>
      <w:r>
        <w:rPr>
          <w:rFonts w:hint="eastAsia" w:hAnsi="宋体" w:cs="宋体"/>
          <w:highlight w:val="none"/>
        </w:rPr>
        <w:t>09%、33</w:t>
      </w:r>
      <w:r>
        <w:rPr>
          <w:rFonts w:hint="eastAsia" w:ascii="MingLiU_HKSCS" w:hAnsi="MingLiU_HKSCS" w:eastAsia="MingLiU_HKSCS" w:cs="MingLiU_HKSCS"/>
          <w:highlight w:val="none"/>
        </w:rPr>
        <w:t>.</w:t>
      </w:r>
      <w:r>
        <w:rPr>
          <w:rFonts w:hint="eastAsia" w:hAnsi="宋体" w:cs="宋体"/>
          <w:highlight w:val="none"/>
        </w:rPr>
        <w:t>33%和2</w:t>
      </w:r>
      <w:r>
        <w:rPr>
          <w:rFonts w:hint="eastAsia" w:ascii="MingLiU_HKSCS" w:hAnsi="MingLiU_HKSCS" w:eastAsia="MingLiU_HKSCS" w:cs="MingLiU_HKSCS"/>
          <w:highlight w:val="none"/>
        </w:rPr>
        <w:t>.</w:t>
      </w:r>
      <w:r>
        <w:rPr>
          <w:rFonts w:hint="eastAsia" w:hAnsi="宋体" w:cs="宋体"/>
          <w:highlight w:val="none"/>
        </w:rPr>
        <w:t>6%。主要做法是：继续保持传统的定期交流学习方式。继续强调程序意识和责任意识，谨慎行使自由裁量权。把好案件质量、效率关，加强对审判流程的科学管理。2015年案件改判率较上年明显下降，质量明显提高，法律文书的论理性更强，更具有说服力。</w:t>
      </w:r>
    </w:p>
    <w:p w14:paraId="41718690">
      <w:pPr>
        <w:rPr>
          <w:rFonts w:hint="eastAsia" w:hAnsi="宋体" w:cs="宋体"/>
          <w:highlight w:val="none"/>
        </w:rPr>
      </w:pPr>
      <w:r>
        <w:rPr>
          <w:rFonts w:hint="eastAsia" w:hAnsi="宋体" w:cs="宋体"/>
          <w:highlight w:val="none"/>
        </w:rPr>
        <w:t>基层人民法庭继续发挥化解矛盾的前沿阵地作用，把维护社会稳定作为工作重心，注重矛盾化解，追求最佳社会效果。基层法庭的调撤率多年来全部超过50%，调撤率最高的湖口法庭达到74</w:t>
      </w:r>
      <w:r>
        <w:rPr>
          <w:rFonts w:hint="eastAsia" w:ascii="MingLiU_HKSCS" w:hAnsi="MingLiU_HKSCS" w:eastAsia="MingLiU_HKSCS" w:cs="MingLiU_HKSCS"/>
          <w:highlight w:val="none"/>
        </w:rPr>
        <w:t>.</w:t>
      </w:r>
      <w:r>
        <w:rPr>
          <w:rFonts w:hint="eastAsia" w:hAnsi="宋体" w:cs="宋体"/>
          <w:highlight w:val="none"/>
        </w:rPr>
        <w:t>30%。同时，充分发挥和利用地域优势的特点，保持和所辖镇、村干部的沟通和联系，通过诉前联调化解70多宗各类纠纷，巡回审理案件5场次。</w:t>
      </w:r>
    </w:p>
    <w:p w14:paraId="010E7F89">
      <w:pPr>
        <w:pStyle w:val="4"/>
        <w:bidi w:val="0"/>
        <w:rPr>
          <w:rFonts w:hint="eastAsia"/>
          <w:highlight w:val="none"/>
        </w:rPr>
      </w:pPr>
      <w:r>
        <w:rPr>
          <w:rFonts w:hint="eastAsia"/>
          <w:highlight w:val="none"/>
        </w:rPr>
        <w:t>【行政审判】</w:t>
      </w:r>
    </w:p>
    <w:p w14:paraId="2D95DDB2">
      <w:pPr>
        <w:rPr>
          <w:rFonts w:hint="eastAsia" w:hAnsi="宋体" w:cs="宋体"/>
          <w:highlight w:val="none"/>
        </w:rPr>
      </w:pPr>
      <w:r>
        <w:rPr>
          <w:rFonts w:hint="eastAsia" w:hAnsi="宋体" w:cs="宋体"/>
          <w:highlight w:val="none"/>
        </w:rPr>
        <w:t>2015年受理行政案件46宗，审结30宗（同比分别上升了130%和30</w:t>
      </w:r>
      <w:r>
        <w:rPr>
          <w:rFonts w:hint="eastAsia" w:ascii="MingLiU_HKSCS" w:hAnsi="MingLiU_HKSCS" w:eastAsia="MingLiU_HKSCS" w:cs="MingLiU_HKSCS"/>
          <w:highlight w:val="none"/>
        </w:rPr>
        <w:t>.</w:t>
      </w:r>
      <w:r>
        <w:rPr>
          <w:rFonts w:hint="eastAsia" w:hAnsi="宋体" w:cs="宋体"/>
          <w:highlight w:val="none"/>
        </w:rPr>
        <w:t>43%）；受理审查非诉行政案件7宗。新修订的《行政诉讼法》在5月1日实施后，院组织多场次的培训学习，为及时审理行政案件，解决行政争议，保护公民、法人和其他组织的合法权益及监督行政机关依法行使职权做了充分准备工作。为监督行政机关依法行使职权，针对有的行政机关依法行政法理欠缺或重视程度不够的问题，多次向有关部门发出完善管理的司法建议。根据《行政诉讼法》“被诉行政机关负责人应当出庭应诉”的规定，2015年市政府副市长、街道和镇政府负责人等行政首长出庭应诉案件达12宗。</w:t>
      </w:r>
    </w:p>
    <w:p w14:paraId="67D25A3B">
      <w:pPr>
        <w:pStyle w:val="4"/>
        <w:bidi w:val="0"/>
        <w:rPr>
          <w:rFonts w:hint="eastAsia"/>
          <w:highlight w:val="none"/>
        </w:rPr>
      </w:pPr>
      <w:r>
        <w:rPr>
          <w:rFonts w:hint="eastAsia"/>
          <w:highlight w:val="none"/>
        </w:rPr>
        <w:t>【案件执行】</w:t>
      </w:r>
    </w:p>
    <w:p w14:paraId="3124201D">
      <w:pPr>
        <w:rPr>
          <w:rFonts w:hint="eastAsia" w:hAnsi="宋体" w:cs="宋体"/>
          <w:highlight w:val="none"/>
        </w:rPr>
      </w:pPr>
      <w:r>
        <w:rPr>
          <w:rFonts w:hint="eastAsia" w:hAnsi="宋体" w:cs="宋体"/>
          <w:highlight w:val="none"/>
        </w:rPr>
        <w:t>2015年受理执行案件496宗，标的金额4156万元，结案479宗。主要做法：坚持“科学执行、精细执行、安全执行”，实行法官办案目标责任制，注重化解矛盾案结事了。推进全省法院执行联网工作，推行科学执行方式，所有执行案件均达到了在系统上立案、查封、冻结、结案和归档工作。开展涉及民生案件的专项执行工作，成立领导小组，及时向上级部门汇报进展情况；通过执行信息平台公布执行法官的联系方式和执行案件的工作进展，使当事人适时掌握执行进程，保障当事人的知情权和监督权。对涉及民生案件的困难群众进行司法救助，全年救助困难申请人6件6人，计9万元。加强执行信访和维稳工作的力度，坚持从源头上治理，达到减少信访和上访案件的目标。加大执行力度，提高执行威慑力。2015年将233人纳入全国法院失信人员名单，因受到信用惩戒主动履行有97宗，对多名被执行人实施拘留和罚款。</w:t>
      </w:r>
    </w:p>
    <w:p w14:paraId="053BD20A">
      <w:pPr>
        <w:pStyle w:val="4"/>
        <w:bidi w:val="0"/>
        <w:rPr>
          <w:rFonts w:hint="eastAsia"/>
          <w:highlight w:val="none"/>
        </w:rPr>
      </w:pPr>
      <w:r>
        <w:rPr>
          <w:rFonts w:hint="eastAsia"/>
          <w:highlight w:val="none"/>
        </w:rPr>
        <w:t>【审判管理】</w:t>
      </w:r>
    </w:p>
    <w:p w14:paraId="0F1F641A">
      <w:pPr>
        <w:rPr>
          <w:rFonts w:hint="eastAsia" w:hAnsi="宋体" w:cs="宋体"/>
          <w:highlight w:val="none"/>
        </w:rPr>
      </w:pPr>
      <w:r>
        <w:rPr>
          <w:rFonts w:hint="eastAsia" w:hAnsi="宋体" w:cs="宋体"/>
          <w:highlight w:val="none"/>
        </w:rPr>
        <w:t>2015年改判、发回重审和再审案件立案39宗（2014年38宗），其中上诉改判的25宗（同比下降11</w:t>
      </w:r>
      <w:r>
        <w:rPr>
          <w:rFonts w:hint="eastAsia" w:ascii="MingLiU_HKSCS" w:hAnsi="MingLiU_HKSCS" w:eastAsia="MingLiU_HKSCS" w:cs="MingLiU_HKSCS"/>
          <w:highlight w:val="none"/>
        </w:rPr>
        <w:t>.</w:t>
      </w:r>
      <w:r>
        <w:rPr>
          <w:rFonts w:hint="eastAsia" w:hAnsi="宋体" w:cs="宋体"/>
          <w:highlight w:val="none"/>
        </w:rPr>
        <w:t>54%），发回重审13件（同比上升30</w:t>
      </w:r>
      <w:r>
        <w:rPr>
          <w:rFonts w:hint="eastAsia" w:ascii="MingLiU_HKSCS" w:hAnsi="MingLiU_HKSCS" w:eastAsia="MingLiU_HKSCS" w:cs="MingLiU_HKSCS"/>
          <w:highlight w:val="none"/>
        </w:rPr>
        <w:t>.</w:t>
      </w:r>
      <w:r>
        <w:rPr>
          <w:rFonts w:hint="eastAsia" w:hAnsi="宋体" w:cs="宋体"/>
          <w:highlight w:val="none"/>
        </w:rPr>
        <w:t>77%）。改判、发回重审和再审案件除承办人自查外，审判管理部门已核查17宗，认定无质量问题15宗，瑕疵案件2宗。配合中院评查案件37宗。</w:t>
      </w:r>
    </w:p>
    <w:p w14:paraId="39373C75">
      <w:pPr>
        <w:pStyle w:val="4"/>
        <w:bidi w:val="0"/>
        <w:rPr>
          <w:rFonts w:hint="eastAsia"/>
          <w:highlight w:val="none"/>
        </w:rPr>
      </w:pPr>
      <w:r>
        <w:rPr>
          <w:rFonts w:hint="eastAsia"/>
          <w:highlight w:val="none"/>
        </w:rPr>
        <w:t>【立案信访】</w:t>
      </w:r>
    </w:p>
    <w:p w14:paraId="7E6EE74D">
      <w:pPr>
        <w:rPr>
          <w:rFonts w:hint="eastAsia" w:hAnsi="宋体" w:cs="宋体"/>
          <w:highlight w:val="none"/>
        </w:rPr>
      </w:pPr>
      <w:r>
        <w:rPr>
          <w:rFonts w:hint="eastAsia" w:hAnsi="宋体" w:cs="宋体"/>
          <w:highlight w:val="none"/>
        </w:rPr>
        <w:t>2015年5月1日实行立案登记制后，为应对案件的大幅度增加，做到未雨绸缪，按照分工明确、责任到人的原则，通过积极应对，立案工作运行平稳。</w:t>
      </w:r>
    </w:p>
    <w:p w14:paraId="496FF8A5">
      <w:pPr>
        <w:rPr>
          <w:rFonts w:hint="eastAsia" w:hAnsi="宋体" w:cs="宋体"/>
          <w:highlight w:val="none"/>
        </w:rPr>
      </w:pPr>
      <w:r>
        <w:rPr>
          <w:rFonts w:hint="eastAsia" w:hAnsi="宋体" w:cs="宋体"/>
          <w:highlight w:val="none"/>
        </w:rPr>
        <w:t>2015年审查立案2260宗，其中民商事1618宗（不含诉前联调24宗），刑事231宗，行政53宗（含非诉案件），财产保全24宗，执行案件462宗。对困难群众加大司法救助力度，对确实符合申请缓交诉讼费条件</w:t>
      </w:r>
      <w:r>
        <w:rPr>
          <w:rFonts w:hint="eastAsia" w:hAnsi="宋体" w:cs="宋体"/>
          <w:highlight w:val="none"/>
          <w:lang w:eastAsia="zh-CN"/>
        </w:rPr>
        <w:t>，</w:t>
      </w:r>
      <w:r>
        <w:rPr>
          <w:rFonts w:hint="eastAsia" w:hAnsi="宋体" w:cs="宋体"/>
          <w:highlight w:val="none"/>
        </w:rPr>
        <w:t>及时办理有关手续</w:t>
      </w:r>
      <w:r>
        <w:rPr>
          <w:rFonts w:hint="eastAsia" w:hAnsi="宋体" w:cs="宋体"/>
          <w:highlight w:val="none"/>
          <w:lang w:eastAsia="zh-CN"/>
        </w:rPr>
        <w:t>，</w:t>
      </w:r>
      <w:r>
        <w:rPr>
          <w:rFonts w:hint="eastAsia" w:hAnsi="宋体" w:cs="宋体"/>
          <w:highlight w:val="none"/>
        </w:rPr>
        <w:t>2015年缓交诉讼费达12</w:t>
      </w:r>
      <w:r>
        <w:rPr>
          <w:rFonts w:hint="eastAsia" w:ascii="MingLiU_HKSCS" w:hAnsi="MingLiU_HKSCS" w:eastAsia="MingLiU_HKSCS" w:cs="MingLiU_HKSCS"/>
          <w:highlight w:val="none"/>
        </w:rPr>
        <w:t>.</w:t>
      </w:r>
      <w:r>
        <w:rPr>
          <w:rFonts w:hint="eastAsia" w:hAnsi="宋体" w:cs="宋体"/>
          <w:highlight w:val="none"/>
        </w:rPr>
        <w:t>63万元</w:t>
      </w:r>
      <w:r>
        <w:rPr>
          <w:rFonts w:hint="eastAsia" w:hAnsi="宋体" w:cs="宋体"/>
          <w:highlight w:val="none"/>
          <w:lang w:eastAsia="zh-CN"/>
        </w:rPr>
        <w:t>，</w:t>
      </w:r>
      <w:r>
        <w:rPr>
          <w:rFonts w:hint="eastAsia" w:hAnsi="宋体" w:cs="宋体"/>
          <w:highlight w:val="none"/>
        </w:rPr>
        <w:t>同比增加1倍。</w:t>
      </w:r>
    </w:p>
    <w:p w14:paraId="2450AC87">
      <w:pPr>
        <w:rPr>
          <w:rFonts w:hint="eastAsia" w:hAnsi="宋体" w:cs="宋体"/>
          <w:highlight w:val="none"/>
        </w:rPr>
      </w:pPr>
      <w:r>
        <w:rPr>
          <w:rFonts w:hint="eastAsia" w:hAnsi="宋体" w:cs="宋体"/>
          <w:highlight w:val="none"/>
        </w:rPr>
        <w:t>为加强信访工作，指定2名经验丰富的法官具体负责。在立案大厅加大诉讼指引等资料和依法信访知识的宣传发放，引导群众通过法律途径表达诉求，引导涉诉涉法人员依法信访。严格按照《韶关市法院涉诉信访工作流程》，处理涉诉信访工作。为降低社会成本和拓宽信访渠道，充分运用法院系统远程视频接访平台，实现从走访到远程视频接访的申诉信访模式转变。对穷尽诉讼程序仍然不服的案件，则启动信访复查和信访评查，然后逐步导向申诉终结。2015年处理申诉再审审查4宗，信访复查案件4宗。处理接待各类群众来信来访61件次（含院长接访），信访总量与2014年相比，基本持平。</w:t>
      </w:r>
    </w:p>
    <w:p w14:paraId="113BF9DD">
      <w:pPr>
        <w:pStyle w:val="4"/>
        <w:bidi w:val="0"/>
        <w:rPr>
          <w:rFonts w:hint="eastAsia"/>
          <w:highlight w:val="none"/>
        </w:rPr>
      </w:pPr>
      <w:r>
        <w:rPr>
          <w:rFonts w:hint="eastAsia"/>
          <w:highlight w:val="none"/>
        </w:rPr>
        <w:t>【坚持从严治院】</w:t>
      </w:r>
    </w:p>
    <w:p w14:paraId="15E3E9F9">
      <w:pPr>
        <w:rPr>
          <w:rFonts w:hint="eastAsia" w:hAnsi="宋体" w:cs="宋体"/>
          <w:highlight w:val="none"/>
        </w:rPr>
      </w:pPr>
      <w:r>
        <w:rPr>
          <w:rFonts w:hint="eastAsia" w:hAnsi="宋体" w:cs="宋体"/>
          <w:highlight w:val="none"/>
        </w:rPr>
        <w:t>2015年初，制定《2015年党风廉政建设和反腐败工作要点》，把省法院制定《党组落实党风廉政建设主体责任实施意见》《纪检监察部门落实党风廉政建设监督责任实施意见》和《广东法院贯彻落实〈建立健全惩治和预防腐败体系2013—2017年工作规划〉的实施意见》作为干部教育的重点内容。明确党组主体责任、纪检监察部门监督责任和其他部门职能责任的范围。成立加强法院党风廉政建设和反腐败工作领导小组工作，完善问责机制，确保党风廉政建设主体责任、监督责任和职能责任落实。</w:t>
      </w:r>
    </w:p>
    <w:p w14:paraId="41F58AE2">
      <w:pPr>
        <w:rPr>
          <w:rFonts w:hint="eastAsia" w:hAnsi="宋体" w:cs="宋体"/>
          <w:highlight w:val="none"/>
        </w:rPr>
      </w:pPr>
      <w:r>
        <w:rPr>
          <w:rFonts w:hint="eastAsia" w:hAnsi="宋体" w:cs="宋体"/>
          <w:highlight w:val="none"/>
        </w:rPr>
        <w:t>2015年，先后开展执行中央八项规定专项教育整顿活动、“三严三实”专题教育活动、落实贯彻“领导干部干预司法活动、插手具体案件处理的记录、通报和责任追究制度”和“司法机关内部人员过问案件的记录和责任追究制度”等工作。强化对中央八项规定的传达学习和贯彻落实。在“三严三实”专题教育活动中，认真抓好专题党课、专题学习研讨、专题民主和组织生活会，紧密联系法院工作和法院领导干部实际，认真查找“不严不实”的具体问题，把解决“六难三案”和违规过问案件、徇私枉法、司法腐败等问题，摆在队伍建设的重要位置，作为干部队伍建设红线和底线。</w:t>
      </w:r>
    </w:p>
    <w:p w14:paraId="0EDC2E60">
      <w:pPr>
        <w:rPr>
          <w:rFonts w:hint="eastAsia" w:hAnsi="宋体" w:cs="宋体"/>
          <w:highlight w:val="none"/>
        </w:rPr>
      </w:pPr>
      <w:r>
        <w:rPr>
          <w:rFonts w:hint="eastAsia" w:hAnsi="宋体" w:cs="宋体"/>
          <w:highlight w:val="none"/>
        </w:rPr>
        <w:t>为加强对党员干部的廉政从政教育，院选定2宗职务犯罪案件，安排在8月25日、26日公开开庭审理。邀请市四套班子领导成员及市直机关一把手和各街道乡镇书记、镇长及其配偶到庭旁听。旁听人员在法庭上了一堂生动法治教育课。</w:t>
      </w:r>
    </w:p>
    <w:p w14:paraId="36D8C1C1">
      <w:pPr>
        <w:pStyle w:val="4"/>
        <w:bidi w:val="0"/>
        <w:rPr>
          <w:rFonts w:hint="eastAsia"/>
          <w:highlight w:val="none"/>
        </w:rPr>
      </w:pPr>
      <w:r>
        <w:rPr>
          <w:rFonts w:hint="eastAsia"/>
          <w:highlight w:val="none"/>
        </w:rPr>
        <w:t>【推进司法体制改革】</w:t>
      </w:r>
    </w:p>
    <w:p w14:paraId="4F042E8E">
      <w:pPr>
        <w:rPr>
          <w:rFonts w:hint="eastAsia" w:hAnsi="宋体" w:cs="宋体"/>
          <w:highlight w:val="none"/>
        </w:rPr>
      </w:pPr>
      <w:r>
        <w:rPr>
          <w:rFonts w:hint="eastAsia" w:hAnsi="宋体" w:cs="宋体"/>
          <w:highlight w:val="none"/>
        </w:rPr>
        <w:t>为迎接司法体制改革的挑战，法院做了大量准备工作。做好思想工作，把干警的思想和行动统一到中央精神上来，增强政治责任感和历史使命感。准确把握干警的思想脉搏，对苗头性、倾向性的问题，有针对性地加强教育引导。进一步加大改革政策的解读力度，做好政策交底，防止误读、误传和盲目猜测。严守纪律底线，防止部分干警道听途说、捕风捉影，发表与中央精神不符、与改革方向有悖的言论。</w:t>
      </w:r>
    </w:p>
    <w:p w14:paraId="5ABFE622">
      <w:pPr>
        <w:rPr>
          <w:rFonts w:hint="eastAsia" w:hAnsi="宋体" w:cs="宋体"/>
          <w:highlight w:val="none"/>
        </w:rPr>
      </w:pPr>
      <w:r>
        <w:rPr>
          <w:rFonts w:hint="eastAsia" w:hAnsi="宋体" w:cs="宋体"/>
          <w:highlight w:val="none"/>
        </w:rPr>
        <w:t>同时，及时组织干警掌握和了解省高院下发《广东省法官员额分配指导意见》《广东省法院案件质量监督管理办法》《全省法院法官助理改革试点工作》和《全省书记员管理改革试点工作指导意见》等文件，为即将到来的全省司法体制改革做好充分准备。</w:t>
      </w:r>
    </w:p>
    <w:p w14:paraId="6A9EC58B">
      <w:pPr>
        <w:rPr>
          <w:rFonts w:hint="eastAsia" w:hAnsi="宋体" w:cs="宋体"/>
          <w:highlight w:val="none"/>
        </w:rPr>
      </w:pPr>
      <w:r>
        <w:rPr>
          <w:rFonts w:hint="eastAsia" w:hAnsi="宋体" w:cs="宋体"/>
          <w:highlight w:val="none"/>
        </w:rPr>
        <w:t>下半年，为适应改革要求和加强办案力量，院长、副院长及非审判一线法官全部到业务庭审理案件。其中，院领导已参与办案140多宗，有效地缓解案多人少办案压力。</w:t>
      </w:r>
    </w:p>
    <w:p w14:paraId="2644A11B">
      <w:pPr>
        <w:pStyle w:val="4"/>
        <w:bidi w:val="0"/>
        <w:rPr>
          <w:rFonts w:hint="eastAsia"/>
          <w:highlight w:val="none"/>
        </w:rPr>
      </w:pPr>
      <w:r>
        <w:rPr>
          <w:rFonts w:hint="eastAsia"/>
          <w:highlight w:val="none"/>
        </w:rPr>
        <w:t>【接受监督】</w:t>
      </w:r>
    </w:p>
    <w:p w14:paraId="7696B3B6">
      <w:pPr>
        <w:rPr>
          <w:rFonts w:hint="eastAsia" w:hAnsi="宋体" w:cs="宋体"/>
          <w:highlight w:val="none"/>
        </w:rPr>
      </w:pPr>
      <w:r>
        <w:rPr>
          <w:rFonts w:hint="eastAsia" w:hAnsi="宋体" w:cs="宋体"/>
          <w:highlight w:val="none"/>
        </w:rPr>
        <w:t>坚持重大事项向人大报告制度和人大代表联络制度，是确保各项工作顺利推进。坚持邀请人大代表、政协委员和阳光使者见证审判和执行工作，是各界监督院公正司法具体体现。年初，市召开两会后，迅速派出人员到各代表团，专门听取代表和委员的意见，收集意见和建议21条。为了加强基层法院建设，市人大常委会对院的刑事审判和民事审判工作进行视察和专题调研。同时，院向人大常委会作了专题报告。为了接受检察监督，还邀请检察长、副检察长列席审判委员会会议6人次，邀请委员、代表和阳光使者旁听、见证审判执行工作56人次。</w:t>
      </w:r>
    </w:p>
    <w:p w14:paraId="58CF007E">
      <w:pPr>
        <w:pStyle w:val="4"/>
        <w:bidi w:val="0"/>
        <w:rPr>
          <w:rFonts w:hint="eastAsia"/>
          <w:highlight w:val="none"/>
        </w:rPr>
      </w:pPr>
      <w:r>
        <w:rPr>
          <w:rFonts w:hint="eastAsia"/>
          <w:highlight w:val="none"/>
        </w:rPr>
        <w:t>【加强三大平台建设】</w:t>
      </w:r>
    </w:p>
    <w:p w14:paraId="4463916C">
      <w:pPr>
        <w:rPr>
          <w:rFonts w:hint="eastAsia" w:hAnsi="宋体" w:cs="宋体"/>
          <w:highlight w:val="none"/>
        </w:rPr>
      </w:pPr>
      <w:r>
        <w:rPr>
          <w:rFonts w:hint="eastAsia" w:hAnsi="宋体" w:cs="宋体"/>
          <w:highlight w:val="none"/>
        </w:rPr>
        <w:t>2015年3月，在前期已经开展三大平台建设的基础上，省高院《关于推进司法公开三大平台建设的工作方案》要求各级法院，在符合法律规定的前提下，争取在2016年前全面实现办案过程全公开、节点全告知、程序全对接、文书全上网，切实保障当事人诉讼权利、展现现代法治文明、履行人民法院社会责任，当好全省法院司法公开工作排头兵。</w:t>
      </w:r>
    </w:p>
    <w:p w14:paraId="5624176E">
      <w:pPr>
        <w:rPr>
          <w:rFonts w:hint="eastAsia" w:hAnsi="宋体" w:cs="宋体"/>
          <w:highlight w:val="none"/>
        </w:rPr>
      </w:pPr>
      <w:r>
        <w:rPr>
          <w:rFonts w:hint="eastAsia" w:hAnsi="宋体" w:cs="宋体"/>
          <w:highlight w:val="none"/>
        </w:rPr>
        <w:t>围绕以上工作目标，院加强推进三大平台（审判流程、裁判文书、执行信息）的建设，做到全力以赴、精心组织、周密部署和分步实施。</w:t>
      </w:r>
    </w:p>
    <w:p w14:paraId="5E6443EA">
      <w:pPr>
        <w:rPr>
          <w:rFonts w:hint="eastAsia" w:hAnsi="宋体" w:cs="宋体"/>
          <w:highlight w:val="none"/>
        </w:rPr>
      </w:pPr>
      <w:r>
        <w:rPr>
          <w:rFonts w:hint="eastAsia" w:hAnsi="宋体" w:cs="宋体"/>
          <w:highlight w:val="none"/>
        </w:rPr>
        <w:t>加快建设科技法庭。落实“每庭必录”，推进庭审录音录像，为直播和录播创造条件。目前已建成2个科技法庭。</w:t>
      </w:r>
    </w:p>
    <w:p w14:paraId="4CF7A862">
      <w:pPr>
        <w:rPr>
          <w:rFonts w:hint="eastAsia" w:hAnsi="宋体" w:cs="宋体"/>
          <w:highlight w:val="none"/>
        </w:rPr>
      </w:pPr>
      <w:r>
        <w:rPr>
          <w:rFonts w:hint="eastAsia" w:hAnsi="宋体" w:cs="宋体"/>
          <w:highlight w:val="none"/>
        </w:rPr>
        <w:t>加快拓宽司法公开渠道。已开通网站、微博、微信和电子公告屏，为当事人和公众提供全方位、多元化、实时性的司法公开服务。</w:t>
      </w:r>
    </w:p>
    <w:p w14:paraId="5B0A4BD3">
      <w:pPr>
        <w:rPr>
          <w:rFonts w:hint="eastAsia" w:hAnsi="宋体" w:cs="宋体"/>
          <w:highlight w:val="none"/>
        </w:rPr>
      </w:pPr>
      <w:r>
        <w:rPr>
          <w:rFonts w:hint="eastAsia" w:hAnsi="宋体" w:cs="宋体"/>
          <w:highlight w:val="none"/>
        </w:rPr>
        <w:t>加快立案信访窗口升级改造。根据要求，进一步充实完善了立案信访窗口的功能设置，加强了信息化建设，为当事人和公众提供了优质、高效的诉讼服务。</w:t>
      </w:r>
    </w:p>
    <w:p w14:paraId="31F0C671">
      <w:pPr>
        <w:rPr>
          <w:rFonts w:hint="eastAsia" w:hAnsi="宋体" w:cs="宋体"/>
          <w:highlight w:val="none"/>
        </w:rPr>
      </w:pPr>
      <w:r>
        <w:rPr>
          <w:rFonts w:hint="eastAsia" w:hAnsi="宋体" w:cs="宋体"/>
          <w:highlight w:val="none"/>
        </w:rPr>
        <w:t>向当事人提供一案一密码。当事人可以通过审判流程公开平台凭密码查询获取当事人名称、案号、案由、立案日期、审判程序、审理期限、审理案件的审判长、承办法官、合议庭成员及书记员的姓名、联系电话等十五大类信息。当事人可以通过执行信息公开平台凭密码查询获取当事人名称、案号、立案日期等九大类信息。</w:t>
      </w:r>
    </w:p>
    <w:p w14:paraId="028E7547">
      <w:pPr>
        <w:rPr>
          <w:rFonts w:hint="eastAsia" w:hAnsi="宋体" w:cs="宋体"/>
          <w:highlight w:val="none"/>
        </w:rPr>
      </w:pPr>
      <w:r>
        <w:rPr>
          <w:rFonts w:hint="eastAsia" w:hAnsi="宋体" w:cs="宋体"/>
          <w:highlight w:val="none"/>
        </w:rPr>
        <w:t>符合条件的法律文书全部上网。根据最高人民法院制定的《关于人民法院在互联网公布裁判文书的规定》，应当公开的裁判文书，在生效后七日内，按规范要求处理后，分别上传中国裁判文书网、广东法院网和该院网站。2015年符合条件上网法律文书已经达723份。</w:t>
      </w:r>
    </w:p>
    <w:p w14:paraId="4B7FB92D">
      <w:pPr>
        <w:pStyle w:val="4"/>
        <w:bidi w:val="0"/>
        <w:rPr>
          <w:rFonts w:hint="eastAsia"/>
          <w:highlight w:val="none"/>
        </w:rPr>
      </w:pPr>
      <w:r>
        <w:rPr>
          <w:rFonts w:hint="eastAsia"/>
          <w:highlight w:val="none"/>
        </w:rPr>
        <w:t>【坚持能动司法，延伸审判职能】</w:t>
      </w:r>
    </w:p>
    <w:p w14:paraId="7C78279B">
      <w:pPr>
        <w:rPr>
          <w:rFonts w:hint="eastAsia" w:hAnsi="宋体" w:cs="宋体"/>
          <w:highlight w:val="none"/>
        </w:rPr>
      </w:pPr>
      <w:r>
        <w:rPr>
          <w:rFonts w:hint="eastAsia" w:hAnsi="宋体" w:cs="宋体"/>
          <w:highlight w:val="none"/>
        </w:rPr>
        <w:t>在狠抓执法办案第一要务同时，依法履行能动司法职责，积极向有关单位发出司法建议。2015年向各有关单位发出26份司法建议，取得较好效果。如在一宗当事人起诉某局的行政案件中发现，该局以“红头文件”方式向院提交答辩状。“红头文件”是行政机关针对特定或者不特定公民和组织制发文件，属于行政法规、规章以外其他具有普遍约束力规范性文件。《行政诉讼法》第八条规定，当事人在行政诉讼中法律地位是平等的，以“红头文件”形式答辩显属不当。为此院向该局发出加强学习、规范行文和加强法律知识培训建议。该局及时召开会议，对院建议作出回应。在审理土地承包经营权纠纷案件中发现，有的乡镇土地流转出现无序现象，造成很多矛盾。为此，向部分镇政府提出建议，均得到回应。（叶贤斌）</w:t>
      </w:r>
    </w:p>
    <w:p w14:paraId="4B2B8E4E">
      <w:pPr>
        <w:rPr>
          <w:rFonts w:hint="eastAsia" w:hAnsi="宋体" w:eastAsia="宋体" w:cs="宋体"/>
          <w:highlight w:val="none"/>
          <w:lang w:eastAsia="zh-CN"/>
        </w:rPr>
      </w:pPr>
      <w:r>
        <w:rPr>
          <w:rFonts w:hint="eastAsia" w:hAnsi="宋体" w:cs="宋体"/>
          <w:highlight w:val="none"/>
        </w:rPr>
        <w:t>附：2015年市人民法院领导班子成员名单</w:t>
      </w:r>
    </w:p>
    <w:p w14:paraId="0EB5EF39">
      <w:pPr>
        <w:rPr>
          <w:rFonts w:hint="eastAsia" w:hAnsi="宋体" w:eastAsia="宋体" w:cs="宋体"/>
          <w:highlight w:val="none"/>
          <w:lang w:eastAsia="zh-CN"/>
        </w:rPr>
      </w:pPr>
      <w:r>
        <w:rPr>
          <w:rFonts w:hint="eastAsia" w:hAnsi="宋体" w:cs="宋体"/>
          <w:highlight w:val="none"/>
        </w:rPr>
        <w:t>党组书记、院长：肖裕忠</w:t>
      </w:r>
    </w:p>
    <w:p w14:paraId="083FAEA4">
      <w:pPr>
        <w:rPr>
          <w:rFonts w:hint="eastAsia" w:hAnsi="宋体" w:cs="宋体"/>
          <w:highlight w:val="none"/>
        </w:rPr>
      </w:pPr>
      <w:r>
        <w:rPr>
          <w:rFonts w:hint="eastAsia" w:hAnsi="宋体" w:cs="宋体"/>
          <w:highlight w:val="none"/>
        </w:rPr>
        <w:t>副院长：何文涛 王文森 彭小梅</w:t>
      </w:r>
    </w:p>
    <w:p w14:paraId="41D24C2F">
      <w:pPr>
        <w:rPr>
          <w:rFonts w:hint="eastAsia" w:hAnsi="宋体" w:cs="宋体"/>
          <w:highlight w:val="none"/>
        </w:rPr>
      </w:pPr>
      <w:r>
        <w:rPr>
          <w:rFonts w:hint="eastAsia" w:hAnsi="宋体" w:cs="宋体"/>
          <w:highlight w:val="none"/>
        </w:rPr>
        <w:t>党组成员：郑章 新阳华 陈建麟</w:t>
      </w:r>
    </w:p>
    <w:p w14:paraId="30812379">
      <w:pPr>
        <w:pStyle w:val="3"/>
        <w:bidi w:val="0"/>
        <w:rPr>
          <w:rFonts w:hint="eastAsia"/>
          <w:highlight w:val="none"/>
        </w:rPr>
      </w:pPr>
      <w:r>
        <w:rPr>
          <w:rFonts w:hint="eastAsia"/>
          <w:highlight w:val="none"/>
        </w:rPr>
        <w:t>司法行政</w:t>
      </w:r>
    </w:p>
    <w:p w14:paraId="1CE0B8E0">
      <w:pPr>
        <w:pStyle w:val="4"/>
        <w:bidi w:val="0"/>
        <w:rPr>
          <w:rFonts w:hint="eastAsia"/>
          <w:highlight w:val="none"/>
        </w:rPr>
      </w:pPr>
      <w:r>
        <w:rPr>
          <w:rFonts w:hint="eastAsia"/>
          <w:highlight w:val="none"/>
        </w:rPr>
        <w:t>【概况】</w:t>
      </w:r>
    </w:p>
    <w:p w14:paraId="0DD0A36E">
      <w:pPr>
        <w:ind w:firstLine="420"/>
        <w:rPr>
          <w:rFonts w:hint="eastAsia" w:hAnsi="宋体" w:cs="宋体"/>
          <w:highlight w:val="none"/>
        </w:rPr>
      </w:pPr>
      <w:r>
        <w:rPr>
          <w:rFonts w:hint="eastAsia" w:hAnsi="宋体" w:cs="宋体"/>
          <w:highlight w:val="none"/>
        </w:rPr>
        <w:t>1981年2月成立南雄县司法局，局内设政工科（副科级）、办公室、宣教股、基层股、社区矫正股、公律股、南雄市公证处、南雄市法律援助处、公职律师事务所。全市18个乡镇（街道）设司法所。2015年，局机关人员编制数为19人，有在编人员18人；南雄市公职律师事务所人员编制数为5人，有在编人员2人；南雄市公证处人员编制数为3人，有在编人员0人；南雄市法律援助处人员编制数为5人，有在编人员4人。乡镇（街道）司法所人员编制数38人，有在编人员25人。</w:t>
      </w:r>
    </w:p>
    <w:p w14:paraId="4B803001">
      <w:pPr>
        <w:pStyle w:val="4"/>
        <w:bidi w:val="0"/>
        <w:rPr>
          <w:rFonts w:hint="eastAsia"/>
          <w:highlight w:val="none"/>
        </w:rPr>
      </w:pPr>
      <w:r>
        <w:rPr>
          <w:rFonts w:hint="eastAsia"/>
          <w:highlight w:val="none"/>
        </w:rPr>
        <w:t>【普法教育和法学教育】</w:t>
      </w:r>
    </w:p>
    <w:p w14:paraId="2928D39D">
      <w:pPr>
        <w:rPr>
          <w:rFonts w:hint="eastAsia" w:hAnsi="宋体" w:cs="宋体"/>
          <w:highlight w:val="none"/>
        </w:rPr>
      </w:pPr>
      <w:r>
        <w:rPr>
          <w:rFonts w:hint="eastAsia" w:hAnsi="宋体" w:cs="宋体"/>
          <w:highlight w:val="none"/>
        </w:rPr>
        <w:t>市普法办结合实际，紧紧围绕全市“六五”普法规划要求，深入开展法制宣传教育，推进民主法制建设，为建设平安和谐南雄营造良好的法治环境。创新载体，丰富内容，增强法制宣传教育的感染力和覆盖面。以“三八”国际妇女节、“3·15”消费者权益日、国际禁毒日等为契机，组织参与各类大型普法宣传活动。开展培育和践行社会主义核心价值观主题法制宣传教育活动，深入学习贯彻党的十八大、十八届三中全会精神，学习贯彻习近平总书记系列重要讲话精神，紧紧围绕弘扬富强、民主、文明、和谐，自由、平等、公正、法治，爱国、敬业、诚信、友善的社会主义核心价值观，大力推进多种形式的法治创建和依法治理活动，为培育和践行社会主义核心价值提供有力支持和保证。开展《广东省信访条例》宣传活动，通过举办《广东省信访条例》宣讲报告会、宣传咨询现场会等形式，推动全市信访工作上新台阶。大力弘扬宪法精神，在“首个国家宪法日”暨第十四个全国法制宣传日开展系列普法宣传活动，全面推进法治南雄建设。市委常委、政法委书记刘发龙当日在南雄电视台发表国家宪法日暨全国法制宣传日电视讲话，号召全市人民加强法律学习，增强法治理念，为全面推进平安南雄、法治南雄建设而努力。同时，联合公安局、检察院、法院、卫计局等近30个单位在市政府门前举行了“12·4”国家宪法日暨全国法制宣传日大型法律咨询活动，各单位围绕“弘扬宪法精神，建设法治中国”的主题，设置法律咨询台、悬挂横幅、发放各类宣传单、手册、读本等8000份，吸引700多名市民前来了解、咨询。先后开展以“送法律、送健康、送服务、送和谐”为主题送法下乡活动、“法治文化进校园”活动、“法治文化进镇村”和法治镇村创建活动，有效促进“法律六进”深入开展。4月20日，广东省依法治省办、广东省司法厅、广东省普法办联合发文，对南雄、番禺、蕉岭等35个荣获“广东省法治县（市、区）创建活动先进单位”的县（市、区）进行表彰，这是南雄市继2010年评为“全国法治县（市、区）创建活动先进单位”“广东省法治县（市、区）创建活动先进单位”之后，再次荣获“广东省法治县（市、区）创建活动先进单位”荣誉称号，“法治南雄”创建工作实现开门红。9月16日，韶关市委宣传部副调研员李泽宣率领第一检查组到南雄市进行“六五”普法验收检查，在听取汇报的同时，验收检查组还对南雄市开展“六五”普法工作的资料进行认真查看，实地察看普法活动的成果和有关档案资料。验收检查组认为，南雄“六五”普法工作做到领导到位，目标明确，措施得力，亮点突出，成效明显，普法活动不仅提高了南雄人民群众的法律意识，营造了良好的法治氛围，并使人民群众在法治创建活动得到了实惠，有力推动南雄社会经济发展。创新普法思路，打造了手机短信、电视、广播、网络4个平台宣传平台，开展法治文化示范点创建活动和法治文化阵地建设，借助一村（社区）一法律顾问的东风，助力普法工作上新台阶。</w:t>
      </w:r>
    </w:p>
    <w:p w14:paraId="37D8C22E">
      <w:pPr>
        <w:pStyle w:val="4"/>
        <w:bidi w:val="0"/>
        <w:rPr>
          <w:rFonts w:hint="eastAsia"/>
          <w:highlight w:val="none"/>
        </w:rPr>
      </w:pPr>
      <w:r>
        <w:rPr>
          <w:rFonts w:hint="eastAsia"/>
          <w:highlight w:val="none"/>
        </w:rPr>
        <w:t>【一村（社区）一法律顾问】</w:t>
      </w:r>
    </w:p>
    <w:p w14:paraId="2F8E9E66">
      <w:pPr>
        <w:rPr>
          <w:rFonts w:hint="eastAsia" w:hAnsi="宋体" w:cs="宋体"/>
          <w:highlight w:val="none"/>
        </w:rPr>
      </w:pPr>
      <w:r>
        <w:rPr>
          <w:rFonts w:hint="eastAsia" w:hAnsi="宋体" w:cs="宋体"/>
          <w:highlight w:val="none"/>
        </w:rPr>
        <w:t>3月20日召开一村（社区）一法律顾问工作动员大会以来，南雄市委、市政府的高度重视，由市四套班子领导成员挂点联系一村（社区）一法律顾问工作，督促各镇（街道）完成好这项工作。全市上下思想统一，认识到位，众志成城，攻坚克难，使得该项工作亮点纷呈，特色鲜明，在有力宣传法律知识同时，充分利用法律武器为群众解决矛盾纠纷、排忧解难，在61名律师的共同努力和该市采取一系列有效措施推动下，该项工作稳步推进取得初步成效。</w:t>
      </w:r>
    </w:p>
    <w:p w14:paraId="06553EED">
      <w:pPr>
        <w:pStyle w:val="4"/>
        <w:bidi w:val="0"/>
        <w:rPr>
          <w:rFonts w:hint="eastAsia"/>
          <w:highlight w:val="none"/>
        </w:rPr>
      </w:pPr>
      <w:r>
        <w:rPr>
          <w:rFonts w:hint="eastAsia"/>
          <w:highlight w:val="none"/>
        </w:rPr>
        <w:t>【公证工作】</w:t>
      </w:r>
    </w:p>
    <w:p w14:paraId="76BF0EE7">
      <w:pPr>
        <w:rPr>
          <w:rFonts w:hint="eastAsia" w:hAnsi="宋体" w:cs="宋体"/>
          <w:highlight w:val="none"/>
        </w:rPr>
      </w:pPr>
      <w:r>
        <w:rPr>
          <w:rFonts w:hint="eastAsia" w:hAnsi="宋体" w:cs="宋体"/>
          <w:highlight w:val="none"/>
        </w:rPr>
        <w:t>2015年，南雄市公证处办结各类公证402件，为机关和个人、企事业单位提供了优质公证服务，有效地防止纠纷案件发生，收到良好社会效果。</w:t>
      </w:r>
    </w:p>
    <w:p w14:paraId="67756965">
      <w:pPr>
        <w:pStyle w:val="4"/>
        <w:bidi w:val="0"/>
        <w:rPr>
          <w:rFonts w:hint="eastAsia"/>
          <w:highlight w:val="none"/>
        </w:rPr>
      </w:pPr>
      <w:r>
        <w:rPr>
          <w:rFonts w:hint="eastAsia"/>
          <w:highlight w:val="none"/>
        </w:rPr>
        <w:t>【法律援助】</w:t>
      </w:r>
    </w:p>
    <w:p w14:paraId="1977D617">
      <w:pPr>
        <w:rPr>
          <w:rFonts w:hint="eastAsia" w:hAnsi="宋体" w:cs="宋体"/>
          <w:highlight w:val="none"/>
        </w:rPr>
      </w:pPr>
      <w:r>
        <w:rPr>
          <w:rFonts w:hint="eastAsia" w:hAnsi="宋体" w:cs="宋体"/>
          <w:highlight w:val="none"/>
        </w:rPr>
        <w:t>2015年，市法律援助处办理援助案件135件，其中刑事辩护案件96件，民事代理案件39件，解答法律咨询132人次。</w:t>
      </w:r>
    </w:p>
    <w:p w14:paraId="3970BD4F">
      <w:pPr>
        <w:pStyle w:val="4"/>
        <w:bidi w:val="0"/>
        <w:rPr>
          <w:rFonts w:hint="eastAsia"/>
          <w:highlight w:val="none"/>
        </w:rPr>
      </w:pPr>
      <w:r>
        <w:rPr>
          <w:rFonts w:hint="eastAsia"/>
          <w:highlight w:val="none"/>
        </w:rPr>
        <w:t>【基层法律服务】</w:t>
      </w:r>
    </w:p>
    <w:p w14:paraId="72F58C30">
      <w:pPr>
        <w:rPr>
          <w:rFonts w:hint="eastAsia" w:hAnsi="宋体" w:cs="宋体"/>
          <w:highlight w:val="none"/>
        </w:rPr>
      </w:pPr>
      <w:r>
        <w:rPr>
          <w:rFonts w:hint="eastAsia" w:hAnsi="宋体" w:cs="宋体"/>
          <w:highlight w:val="none"/>
        </w:rPr>
        <w:t>基层法律服务所通过强化内部管理、加强业务培训等有力措施，不断提高法律服务水平，切实为农村社会和群众提供全方位的法律服务；基层法律服务工作者积极参与矛盾纠纷调解工作，充分发挥法律知识扎实、办案经验丰富等优势，积极引导群众理性合法表达诉求，切实维护社会秩序稳定。</w:t>
      </w:r>
    </w:p>
    <w:p w14:paraId="013CF5F2">
      <w:pPr>
        <w:pStyle w:val="4"/>
        <w:bidi w:val="0"/>
        <w:rPr>
          <w:rFonts w:hint="eastAsia"/>
          <w:highlight w:val="none"/>
        </w:rPr>
      </w:pPr>
      <w:r>
        <w:rPr>
          <w:rFonts w:hint="eastAsia"/>
          <w:highlight w:val="none"/>
        </w:rPr>
        <w:t>【人民调解】</w:t>
      </w:r>
    </w:p>
    <w:p w14:paraId="3BEB134A">
      <w:pPr>
        <w:rPr>
          <w:rFonts w:hint="eastAsia" w:hAnsi="宋体" w:cs="宋体"/>
          <w:highlight w:val="none"/>
        </w:rPr>
      </w:pPr>
      <w:r>
        <w:rPr>
          <w:rFonts w:hint="eastAsia" w:hAnsi="宋体" w:cs="宋体"/>
          <w:highlight w:val="none"/>
        </w:rPr>
        <w:t>2015年，全市各级调解组织和调解员共调解矛盾纠纷987件，调解成功966件，成功率97</w:t>
      </w:r>
      <w:r>
        <w:rPr>
          <w:rFonts w:hint="eastAsia" w:ascii="MingLiU_HKSCS" w:hAnsi="MingLiU_HKSCS" w:eastAsia="MingLiU_HKSCS" w:cs="MingLiU_HKSCS"/>
          <w:highlight w:val="none"/>
        </w:rPr>
        <w:t>.</w:t>
      </w:r>
      <w:r>
        <w:rPr>
          <w:rFonts w:hint="eastAsia" w:hAnsi="宋体" w:cs="宋体"/>
          <w:highlight w:val="none"/>
        </w:rPr>
        <w:t>9%；排查纠纷368次，预防纠纷134件，防止“民转刑”案件3件，涉及8人，为维护社会和谐稳定作出贡献。</w:t>
      </w:r>
    </w:p>
    <w:p w14:paraId="358F533B">
      <w:pPr>
        <w:pStyle w:val="4"/>
        <w:bidi w:val="0"/>
        <w:rPr>
          <w:rFonts w:hint="eastAsia"/>
          <w:highlight w:val="none"/>
        </w:rPr>
      </w:pPr>
      <w:r>
        <w:rPr>
          <w:rFonts w:hint="eastAsia"/>
          <w:highlight w:val="none"/>
        </w:rPr>
        <w:t>【安置帮教】</w:t>
      </w:r>
    </w:p>
    <w:p w14:paraId="2F49BFE8">
      <w:pPr>
        <w:rPr>
          <w:rFonts w:hint="eastAsia" w:hAnsi="宋体" w:cs="宋体"/>
          <w:highlight w:val="none"/>
        </w:rPr>
      </w:pPr>
      <w:r>
        <w:rPr>
          <w:rFonts w:hint="eastAsia" w:hAnsi="宋体" w:cs="宋体"/>
          <w:highlight w:val="none"/>
        </w:rPr>
        <w:t>不断加强刑释解教人员安置帮教工作力度，努力推进社会管理创新。2015年，接收到监所刑释人员131人，解除社区矫正人员62人，有安置帮教对象193人。</w:t>
      </w:r>
    </w:p>
    <w:p w14:paraId="60C76845">
      <w:pPr>
        <w:pStyle w:val="4"/>
        <w:bidi w:val="0"/>
        <w:rPr>
          <w:rFonts w:hint="eastAsia"/>
          <w:highlight w:val="none"/>
        </w:rPr>
      </w:pPr>
      <w:r>
        <w:rPr>
          <w:rFonts w:hint="eastAsia"/>
          <w:highlight w:val="none"/>
        </w:rPr>
        <w:t>【社区矫正】</w:t>
      </w:r>
    </w:p>
    <w:p w14:paraId="7A3A0A0E">
      <w:pPr>
        <w:rPr>
          <w:rFonts w:hint="eastAsia" w:hAnsi="宋体" w:cs="宋体"/>
          <w:highlight w:val="none"/>
        </w:rPr>
      </w:pPr>
      <w:r>
        <w:rPr>
          <w:rFonts w:hint="eastAsia" w:hAnsi="宋体" w:cs="宋体"/>
          <w:highlight w:val="none"/>
        </w:rPr>
        <w:t>市各级社区矫正组织按照“衔接好、监管好、引导好”的工作思路，扎实有效地开展社区矫正工作。2015年，累计接收社区矫正人员290人，累计解除187，在册103人，其中男92人，女13人，未成年人6人；缓刑96人，假释6人，暂予监外执行1人。没有出现脱管、漏管现象。（谢伟红）</w:t>
      </w:r>
    </w:p>
    <w:p w14:paraId="0B0F69E2">
      <w:pPr>
        <w:rPr>
          <w:rFonts w:hint="eastAsia" w:hAnsi="宋体" w:eastAsia="宋体" w:cs="宋体"/>
          <w:highlight w:val="none"/>
          <w:lang w:eastAsia="zh-CN"/>
        </w:rPr>
      </w:pPr>
      <w:r>
        <w:rPr>
          <w:rFonts w:hint="eastAsia" w:hAnsi="宋体" w:cs="宋体"/>
          <w:highlight w:val="none"/>
        </w:rPr>
        <w:t>附：2015年市司法局领导班子成员名单</w:t>
      </w:r>
    </w:p>
    <w:p w14:paraId="196E31DA">
      <w:pPr>
        <w:rPr>
          <w:rFonts w:hint="eastAsia" w:hAnsi="宋体" w:eastAsia="宋体" w:cs="宋体"/>
          <w:highlight w:val="none"/>
          <w:lang w:eastAsia="zh-CN"/>
        </w:rPr>
      </w:pPr>
      <w:r>
        <w:rPr>
          <w:rFonts w:hint="eastAsia" w:hAnsi="宋体" w:cs="宋体"/>
          <w:highlight w:val="none"/>
        </w:rPr>
        <w:t>局长：尹本善</w:t>
      </w:r>
    </w:p>
    <w:p w14:paraId="1FA7B2BC">
      <w:pPr>
        <w:rPr>
          <w:rFonts w:hint="eastAsia" w:hAnsi="宋体" w:eastAsia="宋体" w:cs="宋体"/>
          <w:b w:val="0"/>
          <w:bCs/>
          <w:highlight w:val="none"/>
          <w:lang w:eastAsia="zh-CN"/>
        </w:rPr>
      </w:pPr>
      <w:r>
        <w:rPr>
          <w:rFonts w:hint="eastAsia" w:hAnsi="宋体" w:cs="宋体"/>
          <w:b w:val="0"/>
          <w:bCs/>
          <w:highlight w:val="none"/>
        </w:rPr>
        <w:t>副局长：成</w:t>
      </w:r>
      <w:r>
        <w:rPr>
          <w:rFonts w:hint="eastAsia" w:hAnsi="宋体" w:cs="宋体"/>
          <w:b w:val="0"/>
          <w:bCs/>
          <w:highlight w:val="none"/>
          <w:lang w:val="en-US" w:eastAsia="zh-CN"/>
        </w:rPr>
        <w:t xml:space="preserve">  </w:t>
      </w:r>
      <w:r>
        <w:rPr>
          <w:rFonts w:hint="eastAsia" w:hAnsi="宋体" w:cs="宋体"/>
          <w:b w:val="0"/>
          <w:bCs/>
          <w:highlight w:val="none"/>
        </w:rPr>
        <w:t>铭 刘梨秀</w:t>
      </w:r>
    </w:p>
    <w:p w14:paraId="16D56854">
      <w:pPr>
        <w:rPr>
          <w:rFonts w:hint="eastAsia" w:hAnsi="宋体" w:eastAsia="宋体" w:cs="宋体"/>
          <w:b w:val="0"/>
          <w:bCs/>
          <w:highlight w:val="none"/>
          <w:lang w:eastAsia="zh-CN"/>
        </w:rPr>
      </w:pPr>
      <w:r>
        <w:rPr>
          <w:rFonts w:hint="eastAsia" w:hAnsi="宋体" w:cs="宋体"/>
          <w:b w:val="0"/>
          <w:bCs/>
          <w:highlight w:val="none"/>
        </w:rPr>
        <w:t>政工科科长：王国安</w:t>
      </w:r>
    </w:p>
    <w:p w14:paraId="69EC7A68">
      <w:pPr>
        <w:rPr>
          <w:rFonts w:hint="eastAsia" w:hAnsi="宋体" w:eastAsia="宋体" w:cs="宋体"/>
          <w:b w:val="0"/>
          <w:bCs/>
          <w:highlight w:val="none"/>
          <w:lang w:eastAsia="zh-CN"/>
        </w:rPr>
      </w:pPr>
      <w:r>
        <w:rPr>
          <w:rFonts w:hint="eastAsia" w:hAnsi="宋体" w:cs="宋体"/>
          <w:b w:val="0"/>
          <w:bCs/>
          <w:highlight w:val="none"/>
        </w:rPr>
        <w:t>纪检组长：张</w:t>
      </w:r>
      <w:r>
        <w:rPr>
          <w:rFonts w:hint="eastAsia" w:hAnsi="宋体" w:cs="宋体"/>
          <w:b w:val="0"/>
          <w:bCs/>
          <w:highlight w:val="none"/>
          <w:lang w:val="en-US" w:eastAsia="zh-CN"/>
        </w:rPr>
        <w:t xml:space="preserve">  </w:t>
      </w:r>
      <w:r>
        <w:rPr>
          <w:rFonts w:hint="eastAsia" w:hAnsi="宋体" w:cs="宋体"/>
          <w:b w:val="0"/>
          <w:bCs/>
          <w:highlight w:val="none"/>
        </w:rPr>
        <w:t>俊</w:t>
      </w:r>
    </w:p>
    <w:p w14:paraId="66213A76">
      <w:pPr>
        <w:pStyle w:val="2"/>
        <w:rPr>
          <w:rFonts w:hint="eastAsia"/>
          <w:highlight w:val="none"/>
        </w:rPr>
      </w:pPr>
      <w:r>
        <w:rPr>
          <w:highlight w:val="none"/>
        </w:rPr>
        <w:br w:type="page"/>
      </w:r>
      <w:r>
        <w:rPr>
          <w:rFonts w:hint="eastAsia"/>
          <w:highlight w:val="none"/>
        </w:rPr>
        <w:t>地方军事</w:t>
      </w:r>
    </w:p>
    <w:p w14:paraId="7860C8DF">
      <w:pPr>
        <w:pStyle w:val="3"/>
        <w:bidi w:val="0"/>
        <w:rPr>
          <w:rFonts w:hint="eastAsia"/>
          <w:highlight w:val="none"/>
        </w:rPr>
      </w:pPr>
      <w:r>
        <w:rPr>
          <w:rFonts w:hint="eastAsia"/>
          <w:highlight w:val="none"/>
        </w:rPr>
        <w:t>人民武装部</w:t>
      </w:r>
    </w:p>
    <w:p w14:paraId="3CEE94C4">
      <w:pPr>
        <w:pStyle w:val="4"/>
        <w:bidi w:val="0"/>
        <w:rPr>
          <w:rFonts w:hint="eastAsia"/>
          <w:highlight w:val="none"/>
        </w:rPr>
      </w:pPr>
      <w:r>
        <w:rPr>
          <w:rFonts w:hint="eastAsia"/>
          <w:highlight w:val="none"/>
        </w:rPr>
        <w:t>【概况】</w:t>
      </w:r>
    </w:p>
    <w:p w14:paraId="594376A6">
      <w:pPr>
        <w:rPr>
          <w:rFonts w:hint="eastAsia" w:hAnsi="宋体" w:cs="宋体"/>
          <w:highlight w:val="none"/>
        </w:rPr>
      </w:pPr>
      <w:r>
        <w:rPr>
          <w:rFonts w:hint="eastAsia" w:hAnsi="宋体" w:cs="宋体"/>
          <w:highlight w:val="none"/>
        </w:rPr>
        <w:t>中国人民解放军广东省南雄市人民武装部（简称市人武部）位于市区中心偏北，为正团级军事机关，设部长、政治委员各1名，市委书记兼任人武部党委第一书记，机关设军事科、政工科、后勤科、市民兵装备仓库和国防教育训练基地。编制现役军官8人，职工14人，辖基层武装部21个，专武干部45人。该部属部队建制，受韶关军分区（以下简称军分区）和中国共产党南雄市委员会（以下简称市委）、南雄市人民政府（以下简称市政府）双重领导。</w:t>
      </w:r>
    </w:p>
    <w:p w14:paraId="694BBCE1">
      <w:pPr>
        <w:pStyle w:val="4"/>
        <w:bidi w:val="0"/>
        <w:rPr>
          <w:rFonts w:hint="eastAsia"/>
          <w:highlight w:val="none"/>
        </w:rPr>
      </w:pPr>
      <w:r>
        <w:rPr>
          <w:rFonts w:hint="eastAsia"/>
          <w:highlight w:val="none"/>
        </w:rPr>
        <w:t>【工作纪事】</w:t>
      </w:r>
    </w:p>
    <w:p w14:paraId="53B04C50">
      <w:pPr>
        <w:rPr>
          <w:rFonts w:hint="eastAsia" w:hAnsi="宋体" w:cs="宋体"/>
          <w:highlight w:val="none"/>
        </w:rPr>
      </w:pPr>
      <w:r>
        <w:rPr>
          <w:rFonts w:hint="eastAsia" w:hAnsi="宋体" w:cs="宋体"/>
          <w:highlight w:val="none"/>
        </w:rPr>
        <w:t>1月7日，军分区副司令员杨克大校到南雄市人武部检查指导民兵武器装备仓库搬迁工作，验收人武部兵器室建设情况，并指导市民兵武器装备仓库搬迁工作。</w:t>
      </w:r>
    </w:p>
    <w:p w14:paraId="2B932CB4">
      <w:pPr>
        <w:rPr>
          <w:rFonts w:hint="eastAsia" w:hAnsi="宋体" w:cs="宋体"/>
          <w:highlight w:val="none"/>
        </w:rPr>
      </w:pPr>
      <w:r>
        <w:rPr>
          <w:rFonts w:hint="eastAsia" w:hAnsi="宋体" w:cs="宋体"/>
          <w:highlight w:val="none"/>
        </w:rPr>
        <w:t>1月12日至14日，南雄市人武部组织对21个基层武装部进行年度工作考评。考评采取分组同步实施的方法，主要检查各单位年度武装工作开展情况，并对各单位进行量化考评，为市科学发展考评提供依据。</w:t>
      </w:r>
    </w:p>
    <w:p w14:paraId="2C2407FA">
      <w:pPr>
        <w:rPr>
          <w:rFonts w:hint="eastAsia" w:hAnsi="宋体" w:cs="宋体"/>
          <w:highlight w:val="none"/>
        </w:rPr>
      </w:pPr>
      <w:r>
        <w:rPr>
          <w:rFonts w:hint="eastAsia" w:hAnsi="宋体" w:cs="宋体"/>
          <w:highlight w:val="none"/>
        </w:rPr>
        <w:t>1月15日，南雄市人武部组织所有干部职工将民兵应急连编制武器弹药搬运至人武部兵器室。1月16日，将民兵武器装备仓库剩余弹药搬迁至武江区民兵武器装备仓库。搬迁工作组织严密，安全顺利。</w:t>
      </w:r>
    </w:p>
    <w:p w14:paraId="00716846">
      <w:pPr>
        <w:rPr>
          <w:rFonts w:hint="eastAsia" w:hAnsi="宋体" w:cs="宋体"/>
          <w:highlight w:val="none"/>
        </w:rPr>
      </w:pPr>
      <w:r>
        <w:rPr>
          <w:rFonts w:hint="eastAsia" w:hAnsi="宋体" w:cs="宋体"/>
          <w:highlight w:val="none"/>
        </w:rPr>
        <w:t>1月19日，军分区政委郭伟建大校到南雄市人武部检查指导，主要检查人武部年度工作筹划情况，并与转业干部逐个谈话，了解干部现实情况，要求转业干部站好最后一班岗，搞好工作交接，为人武部建设作贡献。</w:t>
      </w:r>
    </w:p>
    <w:p w14:paraId="70D2BFDA">
      <w:pPr>
        <w:rPr>
          <w:rFonts w:hint="eastAsia" w:hAnsi="宋体" w:cs="宋体"/>
          <w:highlight w:val="none"/>
        </w:rPr>
      </w:pPr>
      <w:r>
        <w:rPr>
          <w:rFonts w:hint="eastAsia" w:hAnsi="宋体" w:cs="宋体"/>
          <w:highlight w:val="none"/>
        </w:rPr>
        <w:t>1月20日，南雄市人武部派遣军事科参谋高峰雨将北斗卫星导航系统密钥送至韶关军分区进行更换。</w:t>
      </w:r>
    </w:p>
    <w:p w14:paraId="3E2C7758">
      <w:pPr>
        <w:rPr>
          <w:rFonts w:hint="eastAsia" w:hAnsi="宋体" w:cs="宋体"/>
          <w:highlight w:val="none"/>
        </w:rPr>
      </w:pPr>
      <w:r>
        <w:rPr>
          <w:rFonts w:hint="eastAsia" w:hAnsi="宋体" w:cs="宋体"/>
          <w:highlight w:val="none"/>
        </w:rPr>
        <w:t>1月22日，军分区司令员盖长利大校到南雄市人武部检查指导。主要检查开展年度武装工作和人武部建设情况。市人武部部长、政委陪同检查。</w:t>
      </w:r>
    </w:p>
    <w:p w14:paraId="237BBBE6">
      <w:pPr>
        <w:rPr>
          <w:rFonts w:hint="eastAsia" w:hAnsi="宋体" w:cs="宋体"/>
          <w:highlight w:val="none"/>
        </w:rPr>
      </w:pPr>
      <w:r>
        <w:rPr>
          <w:rFonts w:hint="eastAsia" w:hAnsi="宋体" w:cs="宋体"/>
          <w:highlight w:val="none"/>
        </w:rPr>
        <w:t>1月26日，广州军区和广东省军区召开政法工作电视电话会议。南雄市人武部政委李霄山、政工科长陈兴运参加。</w:t>
      </w:r>
    </w:p>
    <w:p w14:paraId="7000BBA2">
      <w:pPr>
        <w:rPr>
          <w:rFonts w:hint="eastAsia" w:hAnsi="宋体" w:cs="宋体"/>
          <w:highlight w:val="none"/>
        </w:rPr>
      </w:pPr>
      <w:r>
        <w:rPr>
          <w:rFonts w:hint="eastAsia" w:hAnsi="宋体" w:cs="宋体"/>
          <w:highlight w:val="none"/>
        </w:rPr>
        <w:t>1月29日，南雄市人武部参谋高峰雨到市交通局参加南雄市《2015年春运工作暨交通安全联席会议》，会议主要部署2015年春运交通安全工作。</w:t>
      </w:r>
    </w:p>
    <w:p w14:paraId="07D42FC9">
      <w:pPr>
        <w:rPr>
          <w:rFonts w:hint="eastAsia" w:hAnsi="宋体" w:cs="宋体"/>
          <w:highlight w:val="none"/>
        </w:rPr>
      </w:pPr>
      <w:r>
        <w:rPr>
          <w:rFonts w:hint="eastAsia" w:hAnsi="宋体" w:cs="宋体"/>
          <w:highlight w:val="none"/>
        </w:rPr>
        <w:t>1月29日至30日，南雄市人武部党委委员到韶关参加军分区党委第十一届二次全体（扩大）会议。人武部主官在会议作了述职报告。</w:t>
      </w:r>
    </w:p>
    <w:p w14:paraId="05B4913E">
      <w:pPr>
        <w:rPr>
          <w:rFonts w:hint="eastAsia" w:hAnsi="宋体" w:cs="宋体"/>
          <w:highlight w:val="none"/>
        </w:rPr>
      </w:pPr>
      <w:r>
        <w:rPr>
          <w:rFonts w:hint="eastAsia" w:hAnsi="宋体" w:cs="宋体"/>
          <w:highlight w:val="none"/>
        </w:rPr>
        <w:t>2月4日，广东省军区组织纪检、计生、保健工作电视电话会议，南雄市人武部干部职工在值班室同步参加。</w:t>
      </w:r>
    </w:p>
    <w:p w14:paraId="07AC8F15">
      <w:pPr>
        <w:rPr>
          <w:rFonts w:hint="eastAsia" w:hAnsi="宋体" w:cs="宋体"/>
          <w:highlight w:val="none"/>
        </w:rPr>
      </w:pPr>
      <w:r>
        <w:rPr>
          <w:rFonts w:hint="eastAsia" w:hAnsi="宋体" w:cs="宋体"/>
          <w:highlight w:val="none"/>
        </w:rPr>
        <w:t>2月10日，在迎宾馆1号会议室召开南雄市人武部党委第一书记和武装部长任职大会。军分区政委郭伟建大校宣布市委书记曾风保任南雄市人武部党委第一书记、韶关军分区接待办主任朱春华上校任南雄市人武部部长的任职命令。南雄市副科以上领导干部和全体专武干部参加会议。</w:t>
      </w:r>
    </w:p>
    <w:p w14:paraId="69DED038">
      <w:pPr>
        <w:rPr>
          <w:rFonts w:hint="eastAsia" w:hAnsi="宋体" w:cs="宋体"/>
          <w:highlight w:val="none"/>
        </w:rPr>
      </w:pPr>
      <w:r>
        <w:rPr>
          <w:rFonts w:hint="eastAsia" w:hAnsi="宋体" w:cs="宋体"/>
          <w:highlight w:val="none"/>
        </w:rPr>
        <w:t>2月10日，南雄市人武部派军事科参谋柳丹芃到广州接上级配发的勇士车，全程安全顺利。</w:t>
      </w:r>
    </w:p>
    <w:p w14:paraId="0E026726">
      <w:pPr>
        <w:rPr>
          <w:rFonts w:hint="eastAsia" w:hAnsi="宋体" w:cs="宋体"/>
          <w:highlight w:val="none"/>
        </w:rPr>
      </w:pPr>
      <w:r>
        <w:rPr>
          <w:rFonts w:hint="eastAsia" w:hAnsi="宋体" w:cs="宋体"/>
          <w:highlight w:val="none"/>
        </w:rPr>
        <w:t>2月12日，珠玑镇民兵应急分队参加珠玑镇上嵩村扑救山火行动，经过5个多小时的努力，山火被扑灭，民兵应急队员朱定平牺牲，其他队员安全撤回。</w:t>
      </w:r>
    </w:p>
    <w:p w14:paraId="63A72831">
      <w:pPr>
        <w:rPr>
          <w:rFonts w:hint="eastAsia" w:hAnsi="宋体" w:cs="宋体"/>
          <w:highlight w:val="none"/>
        </w:rPr>
      </w:pPr>
      <w:r>
        <w:rPr>
          <w:rFonts w:hint="eastAsia" w:hAnsi="宋体" w:cs="宋体"/>
          <w:highlight w:val="none"/>
        </w:rPr>
        <w:t>3月2日，根据任职命令，军分区宣保办主任黄志敦中校任南雄市人武部副部长，人武部原副部长文志昌中校到曲江区任职。军分区政治部主任吴楚峰大校组织交接报到工作。</w:t>
      </w:r>
    </w:p>
    <w:p w14:paraId="113A029E">
      <w:pPr>
        <w:rPr>
          <w:rFonts w:hint="eastAsia" w:hAnsi="宋体" w:cs="宋体"/>
          <w:highlight w:val="none"/>
        </w:rPr>
      </w:pPr>
      <w:r>
        <w:rPr>
          <w:rFonts w:hint="eastAsia" w:hAnsi="宋体" w:cs="宋体"/>
          <w:highlight w:val="none"/>
        </w:rPr>
        <w:t>3月4日，南雄市人武部副部长黄志敦中校带军事科参谋柳丹芃、职工邓明明到乐昌市参加军分区组织的指挥所演习观摩活动。</w:t>
      </w:r>
    </w:p>
    <w:p w14:paraId="4646512D">
      <w:pPr>
        <w:rPr>
          <w:rFonts w:hint="eastAsia" w:hAnsi="宋体" w:cs="宋体"/>
          <w:highlight w:val="none"/>
        </w:rPr>
      </w:pPr>
      <w:r>
        <w:rPr>
          <w:rFonts w:hint="eastAsia" w:hAnsi="宋体" w:cs="宋体"/>
          <w:highlight w:val="none"/>
        </w:rPr>
        <w:t>3月10日，南雄市人武部参加军分区统一组织的指挥所演练。人武部市民兵训练基地搭设指挥帐篷，开设野战指挥所，依托电信光纤通信系统与韶关军分区指挥所建立指挥通信网络，实现现场画面实时传输，指挥文电畅通无阻。</w:t>
      </w:r>
    </w:p>
    <w:p w14:paraId="1F76CC2E">
      <w:pPr>
        <w:rPr>
          <w:rFonts w:hint="eastAsia" w:hAnsi="宋体" w:cs="宋体"/>
          <w:highlight w:val="none"/>
        </w:rPr>
      </w:pPr>
      <w:r>
        <w:rPr>
          <w:rFonts w:hint="eastAsia" w:hAnsi="宋体" w:cs="宋体"/>
          <w:highlight w:val="none"/>
        </w:rPr>
        <w:t>3月11日，南雄市人武部干部除值班首长和值班员外，参加军分区组织的野外拉练活动。干部野外生存能力得到提高。</w:t>
      </w:r>
    </w:p>
    <w:p w14:paraId="25300D37">
      <w:pPr>
        <w:rPr>
          <w:rFonts w:hint="eastAsia" w:hAnsi="宋体" w:cs="宋体"/>
          <w:highlight w:val="none"/>
        </w:rPr>
      </w:pPr>
      <w:r>
        <w:rPr>
          <w:rFonts w:hint="eastAsia" w:hAnsi="宋体" w:cs="宋体"/>
          <w:highlight w:val="none"/>
        </w:rPr>
        <w:t>3月13日，南雄市人武部在迎宾馆1号会议室召开2015年度武装工作会议。人武部政委李霄山上校主持会议，部长朱春华上校总结2014年度武装工作情况，部署2015年度武装工作任务，市委书记、南雄市人武部党委第一书记曾风保作了讲话。市国防动员委员会成员单位主要领导、各镇党委书记、镇长和全体专武干部参加会议。</w:t>
      </w:r>
    </w:p>
    <w:p w14:paraId="37AC3796">
      <w:pPr>
        <w:rPr>
          <w:rFonts w:hint="eastAsia" w:hAnsi="宋体" w:cs="宋体"/>
          <w:highlight w:val="none"/>
        </w:rPr>
      </w:pPr>
      <w:r>
        <w:rPr>
          <w:rFonts w:hint="eastAsia" w:hAnsi="宋体" w:cs="宋体"/>
          <w:highlight w:val="none"/>
        </w:rPr>
        <w:t>3月，广州军区组织团以上领导干部进行理论轮训。3月9日、16日分别组织辅导授课。南雄市人武部部长、政委、副部长通过电视电话会议系统同步参加。</w:t>
      </w:r>
    </w:p>
    <w:p w14:paraId="2AF0B8C1">
      <w:pPr>
        <w:rPr>
          <w:rFonts w:hint="eastAsia" w:hAnsi="宋体" w:cs="宋体"/>
          <w:highlight w:val="none"/>
        </w:rPr>
      </w:pPr>
      <w:r>
        <w:rPr>
          <w:rFonts w:hint="eastAsia" w:hAnsi="宋体" w:cs="宋体"/>
          <w:highlight w:val="none"/>
        </w:rPr>
        <w:t>4月7日，军分区政委郭伟建大校到南雄市人武部检查调研。主要调研干部工作开展情况，并和人武部干部逐个谈话。军分区政治部王伟华干事陪同调研。</w:t>
      </w:r>
    </w:p>
    <w:p w14:paraId="633232E6">
      <w:pPr>
        <w:rPr>
          <w:rFonts w:hint="eastAsia" w:hAnsi="宋体" w:cs="宋体"/>
          <w:highlight w:val="none"/>
        </w:rPr>
      </w:pPr>
      <w:r>
        <w:rPr>
          <w:rFonts w:hint="eastAsia" w:hAnsi="宋体" w:cs="宋体"/>
          <w:highlight w:val="none"/>
        </w:rPr>
        <w:t>4月8日，南雄市人武部组织干部职工和“三八”女子民兵班队员进行军事技能训练。训练内容主要包括理论学习、队列训练和轻武器实弹射击训练。</w:t>
      </w:r>
    </w:p>
    <w:p w14:paraId="1A393F9F">
      <w:pPr>
        <w:rPr>
          <w:rFonts w:hint="eastAsia" w:hAnsi="宋体" w:cs="宋体"/>
          <w:highlight w:val="none"/>
        </w:rPr>
      </w:pPr>
      <w:r>
        <w:rPr>
          <w:rFonts w:hint="eastAsia" w:hAnsi="宋体" w:cs="宋体"/>
          <w:highlight w:val="none"/>
        </w:rPr>
        <w:t>4月22日，广州军区副参谋长许再华少将到南雄市人武部调研人武部全面建设情况。市人武部部长、政委陪同。</w:t>
      </w:r>
    </w:p>
    <w:p w14:paraId="62428272">
      <w:pPr>
        <w:rPr>
          <w:rFonts w:hint="eastAsia" w:hAnsi="宋体" w:cs="宋体"/>
          <w:highlight w:val="none"/>
        </w:rPr>
      </w:pPr>
      <w:r>
        <w:rPr>
          <w:rFonts w:hint="eastAsia" w:hAnsi="宋体" w:cs="宋体"/>
          <w:highlight w:val="none"/>
        </w:rPr>
        <w:t>4月23日，南雄市人武部政工科组织对机要参谋、保密员等核心涉密岗位和其他重要岗位人员进行了政治考核。</w:t>
      </w:r>
    </w:p>
    <w:p w14:paraId="39F180C1">
      <w:pPr>
        <w:rPr>
          <w:rFonts w:hint="eastAsia" w:hAnsi="宋体" w:cs="宋体"/>
          <w:highlight w:val="none"/>
        </w:rPr>
      </w:pPr>
      <w:r>
        <w:rPr>
          <w:rFonts w:hint="eastAsia" w:hAnsi="宋体" w:cs="宋体"/>
          <w:highlight w:val="none"/>
        </w:rPr>
        <w:t>5月5日，南雄市人武部到乳源县参加军分区组织的战备、正规化建设现场观摩会。人武部全体干部参加观摩会。观摩会主要参观人武部“三室两库”、民兵应急连器材库建设和正规化办公秩序等内容。</w:t>
      </w:r>
    </w:p>
    <w:p w14:paraId="4C6B8EE6">
      <w:pPr>
        <w:rPr>
          <w:rFonts w:hint="eastAsia" w:hAnsi="宋体" w:cs="宋体"/>
          <w:highlight w:val="none"/>
        </w:rPr>
      </w:pPr>
      <w:r>
        <w:rPr>
          <w:rFonts w:hint="eastAsia" w:hAnsi="宋体" w:cs="宋体"/>
          <w:highlight w:val="none"/>
        </w:rPr>
        <w:t>5月6日，军分区政治部主任吴楚峰大校带工作组到南雄市人武部检查调研干部工作。军分区政治部王艳红干事、市人武部政委陪同检查。</w:t>
      </w:r>
    </w:p>
    <w:p w14:paraId="5ED3CB9E">
      <w:pPr>
        <w:rPr>
          <w:rFonts w:hint="eastAsia" w:hAnsi="宋体" w:cs="宋体"/>
          <w:highlight w:val="none"/>
        </w:rPr>
      </w:pPr>
      <w:r>
        <w:rPr>
          <w:rFonts w:hint="eastAsia" w:hAnsi="宋体" w:cs="宋体"/>
          <w:highlight w:val="none"/>
        </w:rPr>
        <w:t>5月6日至15日，南雄市人武部派军事科参谋李勇带轻舟分队7人，参加韶关市2015年度轻舟分队集训。集训主要包括基础知识、队列训练、冲锋舟操作使用、解救群众与打捞落水物资和水中自救互救等科目训练。</w:t>
      </w:r>
    </w:p>
    <w:p w14:paraId="2D559423">
      <w:pPr>
        <w:rPr>
          <w:rFonts w:hint="eastAsia" w:hAnsi="宋体" w:cs="宋体"/>
          <w:highlight w:val="none"/>
        </w:rPr>
      </w:pPr>
      <w:r>
        <w:rPr>
          <w:rFonts w:hint="eastAsia" w:hAnsi="宋体" w:cs="宋体"/>
          <w:highlight w:val="none"/>
        </w:rPr>
        <w:t>5月7日，军分区后勤部何声岳上校带工作组到南雄市人武部检查调研工程建设情况。军分区后勤部助理员尹寿松、市人武部部长、政委陪同检查。</w:t>
      </w:r>
    </w:p>
    <w:p w14:paraId="4753C0CA">
      <w:pPr>
        <w:rPr>
          <w:rFonts w:hint="eastAsia" w:hAnsi="宋体" w:cs="宋体"/>
          <w:highlight w:val="none"/>
        </w:rPr>
      </w:pPr>
      <w:r>
        <w:rPr>
          <w:rFonts w:hint="eastAsia" w:hAnsi="宋体" w:cs="宋体"/>
          <w:highlight w:val="none"/>
        </w:rPr>
        <w:t>5月19日，南雄市人武部副部长黄志敦中校到南雄市水务局参加韶关市“三防办”组织的防汛抗洪工作电视电话会议。</w:t>
      </w:r>
    </w:p>
    <w:p w14:paraId="27AD7DF1">
      <w:pPr>
        <w:rPr>
          <w:rFonts w:hint="eastAsia" w:hAnsi="宋体" w:cs="宋体"/>
          <w:highlight w:val="none"/>
        </w:rPr>
      </w:pPr>
      <w:r>
        <w:rPr>
          <w:rFonts w:hint="eastAsia" w:hAnsi="宋体" w:cs="宋体"/>
          <w:highlight w:val="none"/>
        </w:rPr>
        <w:t>5月29日至10月10日，市民兵应急连协助南雄市公安局在韶赣高速珠玑服务区开设治安检查站，开展治安检查行动，协助地方公安查获非法入境人员2名，涉维人员2名，管制刀具一批，维护社会经济建设的和谐环境。</w:t>
      </w:r>
    </w:p>
    <w:p w14:paraId="05EFF6FD">
      <w:pPr>
        <w:rPr>
          <w:rFonts w:hint="eastAsia" w:hAnsi="宋体" w:cs="宋体"/>
          <w:highlight w:val="none"/>
        </w:rPr>
      </w:pPr>
      <w:r>
        <w:rPr>
          <w:rFonts w:hint="eastAsia" w:hAnsi="宋体" w:cs="宋体"/>
          <w:highlight w:val="none"/>
        </w:rPr>
        <w:t>5月，南雄市人武部组织干部进行军事技能和体能训练，训练内容主要军事理论、作战标图、战术作业、轻武器实弹射击和体能等科目训练。</w:t>
      </w:r>
    </w:p>
    <w:p w14:paraId="1756E56F">
      <w:pPr>
        <w:rPr>
          <w:rFonts w:hint="eastAsia" w:hAnsi="宋体" w:cs="宋体"/>
          <w:highlight w:val="none"/>
        </w:rPr>
      </w:pPr>
      <w:r>
        <w:rPr>
          <w:rFonts w:hint="eastAsia" w:hAnsi="宋体" w:cs="宋体"/>
          <w:highlight w:val="none"/>
        </w:rPr>
        <w:t>6月3日，军分区政委郭伟建大校到韶赣高速珠玑服务区安全检查站检查民兵应急分队执行安检任务情况。市人武部部长、副部长陪同检查。</w:t>
      </w:r>
    </w:p>
    <w:p w14:paraId="5624F24D">
      <w:pPr>
        <w:rPr>
          <w:rFonts w:hint="eastAsia" w:hAnsi="宋体" w:cs="宋体"/>
          <w:highlight w:val="none"/>
        </w:rPr>
      </w:pPr>
      <w:r>
        <w:rPr>
          <w:rFonts w:hint="eastAsia" w:hAnsi="宋体" w:cs="宋体"/>
          <w:highlight w:val="none"/>
        </w:rPr>
        <w:t>6月9日，南雄市人武部干部参加军分区组织的半年军事训练考核。人武部7名干部参加考核，全部人员合格，合格率100％。</w:t>
      </w:r>
    </w:p>
    <w:p w14:paraId="6A9B40DD">
      <w:pPr>
        <w:rPr>
          <w:rFonts w:hint="eastAsia" w:hAnsi="宋体" w:cs="宋体"/>
          <w:highlight w:val="none"/>
        </w:rPr>
      </w:pPr>
      <w:r>
        <w:rPr>
          <w:rFonts w:hint="eastAsia" w:hAnsi="宋体" w:cs="宋体"/>
          <w:highlight w:val="none"/>
        </w:rPr>
        <w:t>6月10日，军分区司令员盖长利大校带机关工作组到南雄市人武部检查。主要对人武部迎接大规模作战准备检验评估的准备进行预检预评。市人武部部长、政委陪同检查。</w:t>
      </w:r>
    </w:p>
    <w:p w14:paraId="67CAEA7D">
      <w:pPr>
        <w:rPr>
          <w:rFonts w:hint="eastAsia" w:hAnsi="宋体" w:cs="宋体"/>
          <w:highlight w:val="none"/>
        </w:rPr>
      </w:pPr>
      <w:r>
        <w:rPr>
          <w:rFonts w:hint="eastAsia" w:hAnsi="宋体" w:cs="宋体"/>
          <w:highlight w:val="none"/>
        </w:rPr>
        <w:t>6月10日，南雄市人武部党委召开“三严三实”专题民主生活会。军分区政委郭伟建大校带机关工作组到场指导。</w:t>
      </w:r>
    </w:p>
    <w:p w14:paraId="57F23F7B">
      <w:pPr>
        <w:rPr>
          <w:rFonts w:hint="eastAsia" w:hAnsi="宋体" w:cs="宋体"/>
          <w:highlight w:val="none"/>
        </w:rPr>
      </w:pPr>
      <w:r>
        <w:rPr>
          <w:rFonts w:hint="eastAsia" w:hAnsi="宋体" w:cs="宋体"/>
          <w:highlight w:val="none"/>
        </w:rPr>
        <w:t>6月24日，广州军区组织召开服刑人员巡回现身说法电视电话会议。南雄市人武部干部职工参加警示教育会议。</w:t>
      </w:r>
    </w:p>
    <w:p w14:paraId="0E1C5548">
      <w:pPr>
        <w:rPr>
          <w:rFonts w:hint="eastAsia" w:hAnsi="宋体" w:cs="宋体"/>
          <w:highlight w:val="none"/>
        </w:rPr>
      </w:pPr>
      <w:r>
        <w:rPr>
          <w:rFonts w:hint="eastAsia" w:hAnsi="宋体" w:cs="宋体"/>
          <w:highlight w:val="none"/>
        </w:rPr>
        <w:t>7月12日至26日，南雄市人武部在南雄中学组织全市1020名民兵应急分队队员集训。集训主要通过分组训练、集中会操、科目演示的形式组织，训练内容主要包括队列、警棍盾牌术、刺杀操、少林棍、擒体拳等。训练期间，军分区司令部作训办贺芳主任、军动办梁晓明主任、李晓升参谋，政治部王伟华干事到南雄市人武部指导民兵训练工作。7月26日，全体参训民兵应急分队队员在南雄中校操场召开庆祝建军88周年暨民兵应急队伍建设成果汇报大会。军分区司令部参谋长刘迪安大校、南雄市长王碧安、副市长刘悦明参加会议。</w:t>
      </w:r>
    </w:p>
    <w:p w14:paraId="2066382E">
      <w:pPr>
        <w:rPr>
          <w:rFonts w:hint="eastAsia" w:hAnsi="宋体" w:cs="宋体"/>
          <w:highlight w:val="none"/>
        </w:rPr>
      </w:pPr>
      <w:r>
        <w:rPr>
          <w:rFonts w:hint="eastAsia" w:hAnsi="宋体" w:cs="宋体"/>
          <w:highlight w:val="none"/>
        </w:rPr>
        <w:t>7月24日，应南雄市委邀请，军分区政委郭伟建大校到南雄市为干部群众作了题为《居安思危，富国强军》的国防教育辅导授课。南雄市副科以上党政领导干部、学生和社会群众代表在南雄大会堂参加学习。</w:t>
      </w:r>
    </w:p>
    <w:p w14:paraId="53782C3F">
      <w:pPr>
        <w:rPr>
          <w:rFonts w:hint="eastAsia" w:hAnsi="宋体" w:cs="宋体"/>
          <w:highlight w:val="none"/>
        </w:rPr>
      </w:pPr>
      <w:r>
        <w:rPr>
          <w:rFonts w:hint="eastAsia" w:hAnsi="宋体" w:cs="宋体"/>
          <w:highlight w:val="none"/>
        </w:rPr>
        <w:t>8月18日，军分区政治部主任吴楚峰大校到南雄市人武部检查。主要对征兵工作开展情况和安全隐患排查整治情况进行检查。人武部部长、政委陪同检查。</w:t>
      </w:r>
    </w:p>
    <w:p w14:paraId="2F4C2BBE">
      <w:pPr>
        <w:rPr>
          <w:rFonts w:hint="eastAsia" w:hAnsi="宋体" w:cs="宋体"/>
          <w:highlight w:val="none"/>
        </w:rPr>
      </w:pPr>
      <w:r>
        <w:rPr>
          <w:rFonts w:hint="eastAsia" w:hAnsi="宋体" w:cs="宋体"/>
          <w:highlight w:val="none"/>
        </w:rPr>
        <w:t>9月3日，南雄市人武部组织所有干部职工收看纪念中国人民抗日战争暨世界反法西斯战争胜利70周年阅兵式直播电视。</w:t>
      </w:r>
    </w:p>
    <w:p w14:paraId="372E7C5E">
      <w:pPr>
        <w:rPr>
          <w:rFonts w:hint="eastAsia" w:hAnsi="宋体" w:cs="宋体"/>
          <w:highlight w:val="none"/>
        </w:rPr>
      </w:pPr>
      <w:r>
        <w:rPr>
          <w:rFonts w:hint="eastAsia" w:hAnsi="宋体" w:cs="宋体"/>
          <w:highlight w:val="none"/>
        </w:rPr>
        <w:t>10月26日至29日，军分区司令部在韶关市国防教育训练基地组织保密员、文印员、保管员业务集训。南雄市人武部保密员兼文印员邓明明和仓库保管员参加集训。</w:t>
      </w:r>
    </w:p>
    <w:p w14:paraId="0E5FD677">
      <w:pPr>
        <w:rPr>
          <w:rFonts w:hint="eastAsia" w:hAnsi="宋体" w:cs="宋体"/>
          <w:highlight w:val="none"/>
        </w:rPr>
      </w:pPr>
      <w:r>
        <w:rPr>
          <w:rFonts w:hint="eastAsia" w:hAnsi="宋体" w:cs="宋体"/>
          <w:highlight w:val="none"/>
        </w:rPr>
        <w:t>11月20日，南雄市人武部迎接省军区工作组对密码工作专项检查。主要检查密码装备数质量和密码装备管理制度落实情况。人武部部长、副部长陪同检查。</w:t>
      </w:r>
    </w:p>
    <w:p w14:paraId="394DA85D">
      <w:pPr>
        <w:rPr>
          <w:rFonts w:hint="eastAsia" w:hAnsi="宋体" w:cs="宋体"/>
          <w:highlight w:val="none"/>
        </w:rPr>
      </w:pPr>
      <w:r>
        <w:rPr>
          <w:rFonts w:hint="eastAsia" w:hAnsi="宋体" w:cs="宋体"/>
          <w:highlight w:val="none"/>
        </w:rPr>
        <w:t>12月4日，省军区司令员张利明少将到南雄市人武部检查。主要检查南雄市人武部全面建设情况和年度武装工作完成情况。军分区司令员盖长利大校、参谋长刘迪安大校、市人武部部长、政委陪同检查。</w:t>
      </w:r>
    </w:p>
    <w:p w14:paraId="2EDE2BB8">
      <w:pPr>
        <w:rPr>
          <w:rFonts w:hint="eastAsia" w:hAnsi="宋体" w:cs="宋体"/>
          <w:highlight w:val="none"/>
        </w:rPr>
      </w:pPr>
      <w:r>
        <w:rPr>
          <w:rFonts w:hint="eastAsia" w:hAnsi="宋体" w:cs="宋体"/>
          <w:highlight w:val="none"/>
        </w:rPr>
        <w:t>12月16日，省军区在清远市佛冈县召开2016年度兵役登记工作现场观摩会。南雄市人武部政委李霄山上校、副部长黄志敦中校、参谋柳丹芃少校参加观摩会。</w:t>
      </w:r>
    </w:p>
    <w:p w14:paraId="466249CD">
      <w:pPr>
        <w:rPr>
          <w:rFonts w:hint="eastAsia" w:hAnsi="宋体" w:cs="宋体"/>
          <w:highlight w:val="none"/>
        </w:rPr>
      </w:pPr>
      <w:r>
        <w:rPr>
          <w:rFonts w:hint="eastAsia" w:hAnsi="宋体" w:cs="宋体"/>
          <w:highlight w:val="none"/>
        </w:rPr>
        <w:t>2015年，南雄市人武部，开展大规模作战能力建设，改造人武部战备库室4间，新设后勤保障综合仓库1间和民兵应急连战备仓库1间，补充战备物资器材，完善战备库室管理制度，南雄市人武部大规模作战能力水平得到全面提升。8月底前，完成迎接上级检验评估准备。</w:t>
      </w:r>
    </w:p>
    <w:p w14:paraId="51DCE4E2">
      <w:pPr>
        <w:rPr>
          <w:rFonts w:hint="eastAsia" w:hAnsi="宋体" w:cs="宋体"/>
          <w:highlight w:val="none"/>
        </w:rPr>
      </w:pPr>
      <w:r>
        <w:rPr>
          <w:rFonts w:hint="eastAsia" w:hAnsi="宋体" w:cs="宋体"/>
          <w:highlight w:val="none"/>
        </w:rPr>
        <w:t>2015年，集中开展财务工作大清查活动。市人武部党委认真研究清查工作形势，制定工作实施方案，召开本部清查工作任务部署会，明确清查工作责任，对2013年以来凭证进行逐一检查，清查凭证7733份，筛查整改10余项问题，清退不合理开支13</w:t>
      </w:r>
      <w:r>
        <w:rPr>
          <w:rFonts w:hint="eastAsia" w:ascii="MingLiU_HKSCS" w:hAnsi="MingLiU_HKSCS" w:eastAsia="MingLiU_HKSCS" w:cs="MingLiU_HKSCS"/>
          <w:highlight w:val="none"/>
        </w:rPr>
        <w:t>.</w:t>
      </w:r>
      <w:r>
        <w:rPr>
          <w:rFonts w:hint="eastAsia" w:hAnsi="宋体" w:cs="宋体"/>
          <w:highlight w:val="none"/>
        </w:rPr>
        <w:t>4万元。</w:t>
      </w:r>
    </w:p>
    <w:p w14:paraId="783CCBB0">
      <w:pPr>
        <w:pStyle w:val="4"/>
        <w:bidi w:val="0"/>
        <w:rPr>
          <w:rFonts w:hint="eastAsia"/>
          <w:highlight w:val="none"/>
        </w:rPr>
      </w:pPr>
      <w:r>
        <w:rPr>
          <w:rFonts w:hint="eastAsia"/>
          <w:highlight w:val="none"/>
        </w:rPr>
        <w:t>【开展“三严三实”教育整顿活动】</w:t>
      </w:r>
    </w:p>
    <w:p w14:paraId="7A467D59">
      <w:pPr>
        <w:rPr>
          <w:rFonts w:hint="eastAsia" w:hAnsi="宋体" w:eastAsia="宋体" w:cs="宋体"/>
          <w:highlight w:val="none"/>
          <w:lang w:eastAsia="zh-CN"/>
        </w:rPr>
      </w:pPr>
      <w:r>
        <w:rPr>
          <w:rFonts w:hint="eastAsia" w:hAnsi="宋体" w:cs="宋体"/>
          <w:highlight w:val="none"/>
        </w:rPr>
        <w:t>2015年，开展“三严三实”教育整顿活动。活动中，人武部党员干部职工参加了自上而下的动员部署，认真聆听了广州军区政委魏亮上将、副司令员陈照海中将和省军区司令员张利明少将、政委黄善春少将等领导的辅导授课。人武部召开了教育整顿专题会议，研究制定教育制定活动方案，组织学习教育资料，并针对教育内容组织讨论发言，所有干部职工撰写教育心得体会。4月28日，南雄市人武部组织干部职工到市检察院警示教育基地接受警示教育。6月10日，部党委召开了专题民主生活会，军分区政委郭伟建大校带政治部王伟华干事到会指导。</w:t>
      </w:r>
    </w:p>
    <w:p w14:paraId="59309687">
      <w:pPr>
        <w:pStyle w:val="4"/>
        <w:bidi w:val="0"/>
        <w:rPr>
          <w:rFonts w:hint="eastAsia"/>
          <w:highlight w:val="none"/>
        </w:rPr>
      </w:pPr>
      <w:r>
        <w:rPr>
          <w:rFonts w:hint="eastAsia"/>
          <w:highlight w:val="none"/>
        </w:rPr>
        <w:t>【思想政治】</w:t>
      </w:r>
    </w:p>
    <w:p w14:paraId="2B277D6D">
      <w:pPr>
        <w:rPr>
          <w:rFonts w:hint="eastAsia" w:hAnsi="宋体" w:cs="宋体"/>
          <w:highlight w:val="none"/>
        </w:rPr>
      </w:pPr>
      <w:r>
        <w:rPr>
          <w:rFonts w:hint="eastAsia" w:hAnsi="宋体" w:cs="宋体"/>
          <w:highlight w:val="none"/>
        </w:rPr>
        <w:t>2015年思想政治工作始终坚持把学习贯彻习</w:t>
      </w:r>
      <w:r>
        <w:rPr>
          <w:rFonts w:hint="eastAsia" w:cs="宋体"/>
          <w:highlight w:val="none"/>
          <w:lang w:val="en-US" w:eastAsia="zh-CN"/>
        </w:rPr>
        <w:t>近平</w:t>
      </w:r>
      <w:r>
        <w:rPr>
          <w:rFonts w:hint="eastAsia" w:hAnsi="宋体" w:cs="宋体"/>
          <w:highlight w:val="none"/>
        </w:rPr>
        <w:t>主席系列重要讲话和全军政治工作会议作为首要政治任务。组织干部职工同步参加军分区组织4个专题的党委中心组理论学习。由政委李霄山牵头，组织对所有电脑、文件、图书资料涉郭、涉徐信息进行全面清理销毁，电子信息采取彻底删除、文字信息送至始兴造纸厂进行销毁。开展“三严三实”教育整顿活动，组织参加上级授课和讨论交流，组织干部职工参观南雄市警示教育基地，召开党委专题民主生活会。开展主题教育活动，在同步参加上级授课和组织讨论的基础上，组织干部职工到陈毅三年游击战争旧址过主题党日活动，到烈士陵园祭奠革命先烈，组织观看电影《百团大战》等配合活动。4月，协调市委召开常委议军会，研究解决训练经费、“三八”班建设等问题。9月，参加省军区动员及政工业务集训。南雄市人武部政工科长陈兴运参加集训。</w:t>
      </w:r>
    </w:p>
    <w:p w14:paraId="5CF526B9">
      <w:pPr>
        <w:pStyle w:val="4"/>
        <w:bidi w:val="0"/>
        <w:rPr>
          <w:rFonts w:hint="eastAsia"/>
          <w:highlight w:val="none"/>
        </w:rPr>
      </w:pPr>
      <w:r>
        <w:rPr>
          <w:rFonts w:hint="eastAsia"/>
          <w:highlight w:val="none"/>
        </w:rPr>
        <w:t>【安全管理】</w:t>
      </w:r>
    </w:p>
    <w:p w14:paraId="7E162A77">
      <w:pPr>
        <w:rPr>
          <w:rFonts w:hint="eastAsia" w:hAnsi="宋体" w:cs="宋体"/>
          <w:highlight w:val="none"/>
        </w:rPr>
      </w:pPr>
      <w:r>
        <w:rPr>
          <w:rFonts w:hint="eastAsia" w:hAnsi="宋体" w:cs="宋体"/>
          <w:highlight w:val="none"/>
        </w:rPr>
        <w:t>2015年，南雄市人武部深入贯彻习</w:t>
      </w:r>
      <w:r>
        <w:rPr>
          <w:rFonts w:hint="eastAsia" w:cs="宋体"/>
          <w:highlight w:val="none"/>
          <w:lang w:val="en-US" w:eastAsia="zh-CN"/>
        </w:rPr>
        <w:t>近平</w:t>
      </w:r>
      <w:r>
        <w:rPr>
          <w:rFonts w:hint="eastAsia" w:hAnsi="宋体" w:cs="宋体"/>
          <w:highlight w:val="none"/>
        </w:rPr>
        <w:t>主席和军委首长重要批示精神，认真找好经常性安全教育和管理工作，严格落实安全管理制度，定期分析安全管理形势，组织核心岗位和重要岗位人员政治考核，排查整治安全隐患，加强保密设施建设，购置办公室保密柜和办公楼手机存放柜等保密设施。建成市人武部兵器室和封闭式营院，安装大门拒马和战备库室报警器等安防设施。8月，集中开展安全隐患排查整治，共对8类63项内容进行逐一排查，发现问题立即整改，确保南雄市人武部的安全稳定。</w:t>
      </w:r>
    </w:p>
    <w:p w14:paraId="5B29BFC8">
      <w:pPr>
        <w:pStyle w:val="4"/>
        <w:bidi w:val="0"/>
        <w:rPr>
          <w:rFonts w:hint="eastAsia"/>
          <w:highlight w:val="none"/>
        </w:rPr>
      </w:pPr>
      <w:r>
        <w:rPr>
          <w:rFonts w:hint="eastAsia"/>
          <w:highlight w:val="none"/>
        </w:rPr>
        <w:t>【国防动员】</w:t>
      </w:r>
    </w:p>
    <w:p w14:paraId="7B66D30F">
      <w:pPr>
        <w:rPr>
          <w:rFonts w:hint="eastAsia" w:hAnsi="宋体" w:cs="宋体"/>
          <w:highlight w:val="none"/>
        </w:rPr>
      </w:pPr>
      <w:r>
        <w:rPr>
          <w:rFonts w:hint="eastAsia" w:hAnsi="宋体" w:cs="宋体"/>
          <w:highlight w:val="none"/>
        </w:rPr>
        <w:t>2015年，市国防动员委员会根据各成员单位领导调整情况，调整市国防动员委员会成员，新增南雄市火车站为市国动委成员单位。3月25日，市国防动员委员会成员单位主要领导在南雄市人武部值班室参加韶关市国防动员理论集训；26日，集训人员到乐昌市、浈江区、曲江区参加军分区国防动员集训观摩。根据计划安排，开展经济和交通战备动员潜力调查工作，对5大类47项动员潜力进行调查，并与医院、超市、加油站等地方单位签订储备协议，按要求完成200人规模的南雄市后勤综合保障队组建任务。</w:t>
      </w:r>
    </w:p>
    <w:p w14:paraId="506EF174">
      <w:pPr>
        <w:pStyle w:val="4"/>
        <w:bidi w:val="0"/>
        <w:rPr>
          <w:rFonts w:hint="eastAsia"/>
          <w:highlight w:val="none"/>
        </w:rPr>
      </w:pPr>
      <w:r>
        <w:rPr>
          <w:rFonts w:hint="eastAsia"/>
          <w:highlight w:val="none"/>
        </w:rPr>
        <w:t>【后备力量组织整顿】</w:t>
      </w:r>
    </w:p>
    <w:p w14:paraId="2535B954">
      <w:pPr>
        <w:rPr>
          <w:rFonts w:hint="eastAsia" w:hAnsi="宋体" w:cs="宋体"/>
          <w:highlight w:val="none"/>
        </w:rPr>
      </w:pPr>
      <w:r>
        <w:rPr>
          <w:rFonts w:hint="eastAsia" w:hAnsi="宋体" w:cs="宋体"/>
          <w:highlight w:val="none"/>
        </w:rPr>
        <w:t>2015年2月至4月，依据“任务牵引、平战结合、突出重点、建用一致”的原则，按照计划部署、组织实施、检查验收和总结上报的方法步骤，南雄市人武部着力强化民兵组织建设，对全市18个镇（街道）、2个厂（矿）进行后备力量组织整顿，该市共编制基干民兵2200人。整组工作重点抓了宣传发动、组织调整、检查验收等工作环节，其间共拉设宣传横幅32条，张贴宣传标语253份，下发宣传手册259册，组织对9个镇民兵应急排的点验拉动，并迎接军分区对该市整组工作的检查，点验市民兵应急连125人和江头镇民兵应急排40人。全市基干民兵达到结构科学、布局合理、便于组训、可靠管用的标准。</w:t>
      </w:r>
    </w:p>
    <w:p w14:paraId="3C4F7F9E">
      <w:pPr>
        <w:pStyle w:val="4"/>
        <w:bidi w:val="0"/>
        <w:rPr>
          <w:rFonts w:hint="eastAsia"/>
          <w:highlight w:val="none"/>
        </w:rPr>
      </w:pPr>
      <w:r>
        <w:rPr>
          <w:rFonts w:hint="eastAsia"/>
          <w:highlight w:val="none"/>
        </w:rPr>
        <w:t>【征兵工作】</w:t>
      </w:r>
    </w:p>
    <w:p w14:paraId="572EF3E7">
      <w:pPr>
        <w:rPr>
          <w:rFonts w:hint="eastAsia" w:hAnsi="宋体" w:cs="宋体"/>
          <w:highlight w:val="none"/>
        </w:rPr>
      </w:pPr>
      <w:r>
        <w:rPr>
          <w:rFonts w:hint="eastAsia" w:hAnsi="宋体" w:cs="宋体"/>
          <w:highlight w:val="none"/>
        </w:rPr>
        <w:t>2015年，南雄市人民政府征兵办按照计划部署、宣传发动、体格检查、政治考核、审批定兵、新兵运输、总结报告的步骤，严密开展年度征兵工作。2月至7月，开展网上兵役登记和征兵宣传工作。6月，市征兵办组织人员远赴珠海警备区，录制反映南雄籍战士的征兵宣传纪录片，并在南雄市三影塔广场进行公开播放，宣传效果明显。7月，结合民兵应急分队集训，开展应征青年现场签名活动。7月10日，召开南雄市2015年度征兵工作会议。市长王碧安、南雄市人武部部长、政委、副部长黄志敦分别在会上讲话。会议传达上级征兵工作会议精神，总结2014年征兵工作情况，部署2015年度征兵工作任务。征兵工作全面展开后，市征兵办从市委宣传部、市纪委、市公安局、民政局、教育局等单位抽调9名干部，充实征兵工作组织力量。结合传统宣传方式，充分利用通信公司短信平台，发布征兵宣传短信，广泛发动适龄青年应征报名。严把征兵体检、政治考核、审批定兵“三关”，完成146名男兵和3名女兵征集任务。</w:t>
      </w:r>
    </w:p>
    <w:p w14:paraId="54A930FC">
      <w:pPr>
        <w:pStyle w:val="4"/>
        <w:bidi w:val="0"/>
        <w:rPr>
          <w:rFonts w:hint="eastAsia"/>
          <w:highlight w:val="none"/>
        </w:rPr>
      </w:pPr>
      <w:r>
        <w:rPr>
          <w:rFonts w:hint="eastAsia"/>
          <w:highlight w:val="none"/>
        </w:rPr>
        <w:t>【预备役登记统计】</w:t>
      </w:r>
    </w:p>
    <w:p w14:paraId="2A336C18">
      <w:pPr>
        <w:rPr>
          <w:rFonts w:hint="eastAsia" w:hAnsi="宋体" w:cs="宋体"/>
          <w:highlight w:val="none"/>
        </w:rPr>
      </w:pPr>
      <w:r>
        <w:rPr>
          <w:rFonts w:hint="eastAsia" w:hAnsi="宋体" w:cs="宋体"/>
          <w:highlight w:val="none"/>
        </w:rPr>
        <w:t>根据年度工作安排，1月5日至6月30日，南雄市人武部开展预备役登记统计工作，全年登记退伍人员175名，建立退伍人员登记卡，准确掌握预备役人员的分布和数量、质量情况，把符合条件的人员编入民兵组织。</w:t>
      </w:r>
    </w:p>
    <w:p w14:paraId="727A23EB">
      <w:pPr>
        <w:pStyle w:val="4"/>
        <w:bidi w:val="0"/>
        <w:rPr>
          <w:rFonts w:hint="eastAsia"/>
          <w:highlight w:val="none"/>
        </w:rPr>
      </w:pPr>
      <w:r>
        <w:rPr>
          <w:rFonts w:hint="eastAsia"/>
          <w:highlight w:val="none"/>
        </w:rPr>
        <w:t>【双拥共建】</w:t>
      </w:r>
    </w:p>
    <w:p w14:paraId="0077E546">
      <w:pPr>
        <w:rPr>
          <w:rFonts w:hint="eastAsia" w:hAnsi="宋体" w:cs="宋体"/>
          <w:highlight w:val="none"/>
        </w:rPr>
      </w:pPr>
      <w:r>
        <w:rPr>
          <w:rFonts w:hint="eastAsia" w:hAnsi="宋体" w:cs="宋体"/>
          <w:highlight w:val="none"/>
        </w:rPr>
        <w:t>2015年，南雄市人武部协助市委、市政府开展创建双拥模范城工作。协调地方政府解决3名部队子女入学、5起涉军维权等实际问题，给6名随军未就业家属发放补贴，安置1名转业干部。协调市拥军慰问团分2个组，分别由市委书记曾风保、市长王碧安带队，到驻韶各部队进行“八一”节日慰问。积极参加扶贫工作，南雄市人武部党委到扶贫帮困点水口镇弱过村委慰问困难群众。协调驻军和民兵预备役人员4000多人次遂行森林灭火和反恐维稳行动，有力地支持地方经济建设。</w:t>
      </w:r>
    </w:p>
    <w:p w14:paraId="52F7B102">
      <w:pPr>
        <w:pStyle w:val="4"/>
        <w:bidi w:val="0"/>
        <w:rPr>
          <w:rFonts w:hint="eastAsia"/>
          <w:highlight w:val="none"/>
        </w:rPr>
      </w:pPr>
      <w:r>
        <w:rPr>
          <w:rFonts w:hint="eastAsia"/>
          <w:highlight w:val="none"/>
        </w:rPr>
        <w:t>【后勤保障】</w:t>
      </w:r>
    </w:p>
    <w:p w14:paraId="34AC011A">
      <w:pPr>
        <w:rPr>
          <w:rFonts w:hint="eastAsia" w:hAnsi="宋体" w:eastAsia="宋体" w:cs="宋体"/>
          <w:highlight w:val="none"/>
          <w:vertAlign w:val="baseline"/>
          <w:lang w:eastAsia="zh-CN"/>
        </w:rPr>
      </w:pPr>
      <w:r>
        <w:rPr>
          <w:rFonts w:hint="eastAsia" w:hAnsi="宋体" w:cs="宋体"/>
          <w:highlight w:val="none"/>
        </w:rPr>
        <w:t>2015年，南雄市人武部后勤保障能力得到提升。修订完善后勤保障方案，并与军分区进行上下对接。规范后勤装备设施建设，建成后勤综合仓库，完成人武部独立营院隔离工程。合理编制年度经费预算，组织离任主官经济责任审计。展开市人武部战备库室、南雄市民兵教育训练基地靶场和梅岭红军战场遗址修复工程，完成市人武部6间战备库室改造和兵器室建设、搬迁工作。落实医疗卫生教育和保险政策，为所有干部职工购置商业医疗保险，组织干部职工到市人民医院体检。落实训练经费、弹药、油料和物资器材保障，形成围绕中心、服务中心、保障中心的良好局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29FF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88C87A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64" name="图片 21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15" descr="10"/>
                          <pic:cNvPicPr>
                            <a:picLocks noChangeAspect="1"/>
                          </pic:cNvPicPr>
                        </pic:nvPicPr>
                        <pic:blipFill>
                          <a:blip r:embed="rId69"/>
                          <a:stretch>
                            <a:fillRect/>
                          </a:stretch>
                        </pic:blipFill>
                        <pic:spPr>
                          <a:xfrm>
                            <a:off x="0" y="0"/>
                            <a:ext cx="3420110" cy="2279650"/>
                          </a:xfrm>
                          <a:prstGeom prst="rect">
                            <a:avLst/>
                          </a:prstGeom>
                          <a:noFill/>
                          <a:ln>
                            <a:noFill/>
                          </a:ln>
                        </pic:spPr>
                      </pic:pic>
                    </a:graphicData>
                  </a:graphic>
                </wp:inline>
              </w:drawing>
            </w:r>
          </w:p>
        </w:tc>
      </w:tr>
      <w:tr w14:paraId="1ACBA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8559813">
            <w:pPr>
              <w:jc w:val="center"/>
              <w:rPr>
                <w:rFonts w:hint="eastAsia" w:hAnsi="宋体" w:cs="宋体"/>
                <w:highlight w:val="none"/>
                <w:vertAlign w:val="baseline"/>
              </w:rPr>
            </w:pPr>
            <w:r>
              <w:rPr>
                <w:rFonts w:hint="eastAsia" w:hAnsi="宋体" w:cs="宋体"/>
                <w:highlight w:val="none"/>
                <w:vertAlign w:val="baseline"/>
              </w:rPr>
              <w:t>南雄市庆祝建军88周年文艺晚会</w:t>
            </w:r>
          </w:p>
        </w:tc>
      </w:tr>
    </w:tbl>
    <w:p w14:paraId="2E3BD11B">
      <w:pPr>
        <w:ind w:firstLine="420"/>
        <w:jc w:val="right"/>
        <w:rPr>
          <w:rFonts w:hint="eastAsia" w:hAnsi="宋体" w:eastAsia="宋体" w:cs="宋体"/>
          <w:highlight w:val="none"/>
          <w:lang w:eastAsia="zh-CN"/>
        </w:rPr>
      </w:pPr>
      <w:r>
        <w:rPr>
          <w:rFonts w:hint="eastAsia" w:hAnsi="宋体" w:cs="宋体"/>
          <w:highlight w:val="none"/>
          <w:lang w:eastAsia="zh-CN"/>
        </w:rPr>
        <w:t>（</w:t>
      </w:r>
      <w:r>
        <w:rPr>
          <w:rFonts w:hint="eastAsia" w:hAnsi="宋体" w:cs="宋体"/>
          <w:highlight w:val="none"/>
        </w:rPr>
        <w:t>李勇</w:t>
      </w:r>
      <w:r>
        <w:rPr>
          <w:rFonts w:hint="eastAsia" w:hAnsi="宋体" w:cs="宋体"/>
          <w:highlight w:val="none"/>
          <w:lang w:eastAsia="zh-CN"/>
        </w:rPr>
        <w:t>）</w:t>
      </w:r>
    </w:p>
    <w:p w14:paraId="5BFF93A8">
      <w:pPr>
        <w:rPr>
          <w:rFonts w:hint="eastAsia" w:hAnsi="宋体" w:eastAsia="宋体" w:cs="宋体"/>
          <w:b w:val="0"/>
          <w:bCs w:val="0"/>
          <w:highlight w:val="none"/>
          <w:lang w:eastAsia="zh-CN"/>
        </w:rPr>
      </w:pPr>
      <w:r>
        <w:rPr>
          <w:rFonts w:hint="eastAsia" w:hAnsi="宋体" w:cs="宋体"/>
          <w:b w:val="0"/>
          <w:bCs w:val="0"/>
          <w:highlight w:val="none"/>
        </w:rPr>
        <w:t>附：2015年市武装部领导班子成员名单</w:t>
      </w:r>
    </w:p>
    <w:p w14:paraId="5D424D9D">
      <w:pPr>
        <w:rPr>
          <w:rFonts w:hint="eastAsia" w:hAnsi="宋体" w:eastAsia="宋体" w:cs="宋体"/>
          <w:b w:val="0"/>
          <w:bCs w:val="0"/>
          <w:highlight w:val="none"/>
          <w:lang w:eastAsia="zh-CN"/>
        </w:rPr>
      </w:pPr>
      <w:r>
        <w:rPr>
          <w:rFonts w:hint="eastAsia" w:hAnsi="宋体" w:cs="宋体"/>
          <w:b w:val="0"/>
          <w:bCs w:val="0"/>
          <w:highlight w:val="none"/>
        </w:rPr>
        <w:t>政</w:t>
      </w:r>
      <w:r>
        <w:rPr>
          <w:rFonts w:hint="eastAsia" w:hAnsi="宋体" w:cs="宋体"/>
          <w:b w:val="0"/>
          <w:bCs w:val="0"/>
          <w:highlight w:val="none"/>
          <w:lang w:val="en-US" w:eastAsia="zh-CN"/>
        </w:rPr>
        <w:t xml:space="preserve">  </w:t>
      </w:r>
      <w:r>
        <w:rPr>
          <w:rFonts w:hint="eastAsia" w:hAnsi="宋体" w:cs="宋体"/>
          <w:b w:val="0"/>
          <w:bCs w:val="0"/>
          <w:highlight w:val="none"/>
        </w:rPr>
        <w:t>委：李霄山（兼）</w:t>
      </w:r>
    </w:p>
    <w:p w14:paraId="7F5E70E9">
      <w:pPr>
        <w:rPr>
          <w:rFonts w:hint="eastAsia" w:hAnsi="宋体" w:eastAsia="宋体" w:cs="宋体"/>
          <w:b w:val="0"/>
          <w:bCs w:val="0"/>
          <w:highlight w:val="none"/>
          <w:lang w:eastAsia="zh-CN"/>
        </w:rPr>
      </w:pPr>
      <w:r>
        <w:rPr>
          <w:rFonts w:hint="eastAsia" w:hAnsi="宋体" w:cs="宋体"/>
          <w:b w:val="0"/>
          <w:bCs w:val="0"/>
          <w:highlight w:val="none"/>
        </w:rPr>
        <w:t>武装部长：郭英伦（任至2月）</w:t>
      </w:r>
    </w:p>
    <w:p w14:paraId="7C09037E">
      <w:pPr>
        <w:rPr>
          <w:rFonts w:hint="eastAsia" w:hAnsi="宋体" w:eastAsia="宋体" w:cs="宋体"/>
          <w:b w:val="0"/>
          <w:bCs w:val="0"/>
          <w:highlight w:val="none"/>
          <w:lang w:eastAsia="zh-CN"/>
        </w:rPr>
      </w:pPr>
      <w:r>
        <w:rPr>
          <w:rFonts w:hint="eastAsia" w:hAnsi="宋体" w:cs="宋体"/>
          <w:b w:val="0"/>
          <w:bCs w:val="0"/>
          <w:highlight w:val="none"/>
        </w:rPr>
        <w:t>副部长：文志昌（任至3月）黄志敦（3月任）</w:t>
      </w:r>
    </w:p>
    <w:p w14:paraId="67CAE6EB">
      <w:pPr>
        <w:rPr>
          <w:rFonts w:hint="eastAsia" w:hAnsi="宋体" w:eastAsia="宋体" w:cs="宋体"/>
          <w:b w:val="0"/>
          <w:bCs w:val="0"/>
          <w:highlight w:val="none"/>
          <w:lang w:eastAsia="zh-CN"/>
        </w:rPr>
      </w:pPr>
      <w:r>
        <w:rPr>
          <w:rFonts w:hint="eastAsia" w:hAnsi="宋体" w:cs="宋体"/>
          <w:b w:val="0"/>
          <w:bCs w:val="0"/>
          <w:highlight w:val="none"/>
        </w:rPr>
        <w:t>政工科长：张建军（任至3月）陈兴运（3月任）</w:t>
      </w:r>
    </w:p>
    <w:p w14:paraId="298C8A94">
      <w:pPr>
        <w:rPr>
          <w:rFonts w:hint="eastAsia" w:hAnsi="宋体" w:eastAsia="宋体" w:cs="宋体"/>
          <w:b w:val="0"/>
          <w:bCs w:val="0"/>
          <w:highlight w:val="none"/>
          <w:lang w:eastAsia="zh-CN"/>
        </w:rPr>
      </w:pPr>
      <w:r>
        <w:rPr>
          <w:rFonts w:hint="eastAsia" w:hAnsi="宋体" w:cs="宋体"/>
          <w:b w:val="0"/>
          <w:bCs w:val="0"/>
          <w:highlight w:val="none"/>
        </w:rPr>
        <w:t>后勤科长：乔向阳</w:t>
      </w:r>
    </w:p>
    <w:p w14:paraId="56D4F09B">
      <w:pPr>
        <w:pStyle w:val="3"/>
        <w:bidi w:val="0"/>
        <w:rPr>
          <w:rFonts w:hint="eastAsia"/>
          <w:highlight w:val="none"/>
        </w:rPr>
      </w:pPr>
      <w:r>
        <w:rPr>
          <w:rFonts w:hint="eastAsia"/>
          <w:highlight w:val="none"/>
        </w:rPr>
        <w:t>武警</w:t>
      </w:r>
    </w:p>
    <w:p w14:paraId="514D4E7E">
      <w:pPr>
        <w:pStyle w:val="4"/>
        <w:bidi w:val="0"/>
        <w:rPr>
          <w:rFonts w:hint="eastAsia"/>
          <w:highlight w:val="none"/>
        </w:rPr>
      </w:pPr>
      <w:r>
        <w:rPr>
          <w:rFonts w:hint="eastAsia"/>
          <w:highlight w:val="none"/>
        </w:rPr>
        <w:t>【概况】</w:t>
      </w:r>
    </w:p>
    <w:p w14:paraId="37CE43AA">
      <w:pPr>
        <w:rPr>
          <w:rFonts w:hint="eastAsia" w:hAnsi="宋体" w:cs="宋体"/>
          <w:highlight w:val="none"/>
        </w:rPr>
      </w:pPr>
      <w:r>
        <w:rPr>
          <w:rFonts w:hint="eastAsia" w:hAnsi="宋体" w:cs="宋体"/>
          <w:highlight w:val="none"/>
        </w:rPr>
        <w:t>中国人民武装警察部队韶关支队南雄市中队位于南雄市雄州镇陵园路1号，1983年组建，主要担负南雄市看守所的武装看守、南雄地区的“处突”、“反恐”、城市武装巡逻、重大临时勤务等维稳任务。</w:t>
      </w:r>
    </w:p>
    <w:p w14:paraId="3463F947">
      <w:pPr>
        <w:pStyle w:val="4"/>
        <w:bidi w:val="0"/>
        <w:rPr>
          <w:rFonts w:hint="eastAsia"/>
          <w:highlight w:val="none"/>
        </w:rPr>
      </w:pPr>
      <w:r>
        <w:rPr>
          <w:rFonts w:hint="eastAsia"/>
          <w:highlight w:val="none"/>
        </w:rPr>
        <w:t>【党支部班子建设】</w:t>
      </w:r>
    </w:p>
    <w:p w14:paraId="6C467308">
      <w:pPr>
        <w:rPr>
          <w:rFonts w:hint="eastAsia" w:hAnsi="宋体" w:cs="宋体"/>
          <w:highlight w:val="none"/>
        </w:rPr>
      </w:pPr>
      <w:r>
        <w:rPr>
          <w:rFonts w:hint="eastAsia" w:hAnsi="宋体" w:cs="宋体"/>
          <w:highlight w:val="none"/>
        </w:rPr>
        <w:t>中队党支部一班人，贯彻上级命令指示坚决，战斗堡垒作用发挥好，按照“想干事、干成事、好共事、不出事”的思路，着眼部队科学、安全发展，大力加强思想政治领导，充分发挥集体领导作用，不断强化部队凝聚力战斗力，促进党支部“三个能力”不断提高。</w:t>
      </w:r>
    </w:p>
    <w:p w14:paraId="298AC225">
      <w:pPr>
        <w:pStyle w:val="4"/>
        <w:bidi w:val="0"/>
        <w:rPr>
          <w:rFonts w:hint="eastAsia"/>
          <w:highlight w:val="none"/>
        </w:rPr>
      </w:pPr>
      <w:r>
        <w:rPr>
          <w:rFonts w:hint="eastAsia"/>
          <w:highlight w:val="none"/>
        </w:rPr>
        <w:t>【思想政治】</w:t>
      </w:r>
    </w:p>
    <w:p w14:paraId="53D8931E">
      <w:pPr>
        <w:rPr>
          <w:rFonts w:hint="eastAsia" w:hAnsi="宋体" w:cs="宋体"/>
          <w:highlight w:val="none"/>
        </w:rPr>
      </w:pPr>
      <w:r>
        <w:rPr>
          <w:rFonts w:hint="eastAsia" w:hAnsi="宋体" w:cs="宋体"/>
          <w:highlight w:val="none"/>
        </w:rPr>
        <w:t>中队始终把思想政治建设摆在首位，着眼驻地环境复杂的特点，探索思想政治工作的新路子、新特点、新方法，打牢官兵的政治思想基础，狠抓以“牢记强军目标，献身强军实践，永远做党和人民的忠诚卫士”为主题的政治教育，抓实基本环节，丰富形式载体，切实用真理的力量、情感的力量、文化的力量、人格的力量，引导官兵坚定政治信仰，强化警魂意识、纯洁思想道德、激发战斗精神，打牢思想政治基础，以我军历史使命教育，理想信念教育，战斗精神教育，社会主义荣辱观教育为牵引，筑牢忠诚于党，热爱人民，报效国家，献身使命，崇尚荣誉的核心价值观，使广大官兵始终保持了政治上的坚定和思想道德上的纯洁，向党和人民交出“打得赢”“不变质”合格答卷。</w:t>
      </w:r>
    </w:p>
    <w:p w14:paraId="588D5BBB">
      <w:pPr>
        <w:pStyle w:val="4"/>
        <w:bidi w:val="0"/>
        <w:rPr>
          <w:rFonts w:hint="eastAsia"/>
          <w:highlight w:val="none"/>
        </w:rPr>
      </w:pPr>
      <w:r>
        <w:rPr>
          <w:rFonts w:hint="eastAsia"/>
          <w:highlight w:val="none"/>
        </w:rPr>
        <w:t>【行政管理】</w:t>
      </w:r>
    </w:p>
    <w:p w14:paraId="0A500DFA">
      <w:pPr>
        <w:rPr>
          <w:rFonts w:hint="eastAsia" w:hAnsi="宋体" w:cs="宋体"/>
          <w:highlight w:val="none"/>
        </w:rPr>
      </w:pPr>
      <w:r>
        <w:rPr>
          <w:rFonts w:hint="eastAsia" w:hAnsi="宋体" w:cs="宋体"/>
          <w:highlight w:val="none"/>
        </w:rPr>
        <w:t>中队认真贯彻落实条令条例和各项规章制度，建立和维护良好的内外关系，督促履行职责，建立和保持正规秩序，严格组织纪律，培养良好作风。管好武器装备，预防各类事故。不断使官兵培养、锻炼成为具有高度自觉的组织纪律、优良作风和良好习惯的忠诚卫士，使部队始终保持高度稳定和统一，巩固和提高部队战斗力，保证执勤和处置突发事件等各项任务的顺利完成。</w:t>
      </w:r>
    </w:p>
    <w:p w14:paraId="2363FF78">
      <w:pPr>
        <w:pStyle w:val="4"/>
        <w:bidi w:val="0"/>
        <w:rPr>
          <w:rFonts w:hint="eastAsia"/>
          <w:highlight w:val="none"/>
        </w:rPr>
      </w:pPr>
      <w:r>
        <w:rPr>
          <w:rFonts w:hint="eastAsia"/>
          <w:highlight w:val="none"/>
        </w:rPr>
        <w:t>【军事训练】</w:t>
      </w:r>
    </w:p>
    <w:p w14:paraId="263FF8B5">
      <w:pPr>
        <w:rPr>
          <w:rFonts w:hint="eastAsia" w:hAnsi="宋体" w:cs="宋体"/>
          <w:highlight w:val="none"/>
        </w:rPr>
      </w:pPr>
      <w:r>
        <w:rPr>
          <w:rFonts w:hint="eastAsia" w:hAnsi="宋体" w:cs="宋体"/>
          <w:highlight w:val="none"/>
        </w:rPr>
        <w:t>中队在训练中坚持以任务为牵引，以质量为核心，从难、从严要求，以深入贯彻新大纲为主线，以习</w:t>
      </w:r>
      <w:r>
        <w:rPr>
          <w:rFonts w:hint="eastAsia" w:cs="宋体"/>
          <w:highlight w:val="none"/>
          <w:lang w:val="en-US" w:eastAsia="zh-CN"/>
        </w:rPr>
        <w:t>近平</w:t>
      </w:r>
      <w:r>
        <w:rPr>
          <w:rFonts w:hint="eastAsia" w:hAnsi="宋体" w:cs="宋体"/>
          <w:highlight w:val="none"/>
        </w:rPr>
        <w:t>主席“强军目标”为核心，以面临的形势、所担负的任务为牵引，全面增强部队执勤、处突的能力，在训练中实施分类指导，开展科学练兵，严格按纲施训、搞好训练保障，狠抓人员，时间、内容、效果的落实，健全和完善良好的训练激励机制，目前中队队列、格斗、战术、反恐、侦查、突击，狙击等科目等科目中队全员额基本达标，中队反恐应急能力、官兵综合素质明显提高。为高标准实现“两个确保”打下坚实基础。</w:t>
      </w:r>
    </w:p>
    <w:p w14:paraId="712B19E0">
      <w:pPr>
        <w:pStyle w:val="4"/>
        <w:bidi w:val="0"/>
        <w:rPr>
          <w:rFonts w:hint="eastAsia"/>
          <w:highlight w:val="none"/>
        </w:rPr>
      </w:pPr>
      <w:r>
        <w:rPr>
          <w:rFonts w:hint="eastAsia"/>
          <w:highlight w:val="none"/>
        </w:rPr>
        <w:t>【执勤战备】</w:t>
      </w:r>
    </w:p>
    <w:p w14:paraId="43B62488">
      <w:pPr>
        <w:rPr>
          <w:rFonts w:hint="eastAsia" w:hAnsi="宋体" w:cs="宋体"/>
          <w:highlight w:val="none"/>
        </w:rPr>
      </w:pPr>
      <w:r>
        <w:rPr>
          <w:rFonts w:hint="eastAsia" w:hAnsi="宋体" w:cs="宋体"/>
          <w:highlight w:val="none"/>
        </w:rPr>
        <w:t>中队紧密结合执勤任务和执勤改革的实际，加强对新情况，新问题的研究，积极探索现代条件下执勤工作的特点和规律，不断改进执勤工作的内容，方法和手段，使之更好地发挥服务保证作用，确保各项执勤工作的圆满完成，主要完成的任务有：</w:t>
      </w:r>
    </w:p>
    <w:p w14:paraId="02145D77">
      <w:pPr>
        <w:rPr>
          <w:rFonts w:hint="eastAsia" w:hAnsi="宋体" w:cs="宋体"/>
          <w:highlight w:val="none"/>
        </w:rPr>
      </w:pPr>
      <w:r>
        <w:rPr>
          <w:rFonts w:hint="eastAsia" w:hAnsi="宋体" w:cs="宋体"/>
          <w:highlight w:val="none"/>
        </w:rPr>
        <w:t>全体官兵牢固居安思危的意识，始终保持高度警惕，不断提高目标安全指数，确保了固定执勤目标南雄市看守所绝对安全。</w:t>
      </w:r>
    </w:p>
    <w:p w14:paraId="0F78F132">
      <w:pPr>
        <w:rPr>
          <w:rFonts w:hint="eastAsia" w:hAnsi="宋体" w:cs="宋体"/>
          <w:highlight w:val="none"/>
        </w:rPr>
      </w:pPr>
      <w:r>
        <w:rPr>
          <w:rFonts w:hint="eastAsia" w:hAnsi="宋体" w:cs="宋体"/>
          <w:highlight w:val="none"/>
        </w:rPr>
        <w:t>2015年2月完成南雄市火车站武装巡逻任务。</w:t>
      </w:r>
    </w:p>
    <w:p w14:paraId="3443B49A">
      <w:pPr>
        <w:rPr>
          <w:rFonts w:hint="eastAsia" w:hAnsi="宋体" w:cs="宋体"/>
          <w:highlight w:val="none"/>
        </w:rPr>
      </w:pPr>
      <w:r>
        <w:rPr>
          <w:rFonts w:hint="eastAsia" w:hAnsi="宋体" w:cs="宋体"/>
          <w:highlight w:val="none"/>
        </w:rPr>
        <w:t>协助目标单位，对押犯进行押送，完成押解任务。</w:t>
      </w:r>
    </w:p>
    <w:p w14:paraId="6ED7BCB6">
      <w:pPr>
        <w:pStyle w:val="4"/>
        <w:bidi w:val="0"/>
        <w:rPr>
          <w:rFonts w:hint="eastAsia"/>
          <w:highlight w:val="none"/>
        </w:rPr>
      </w:pPr>
      <w:r>
        <w:rPr>
          <w:rFonts w:hint="eastAsia"/>
          <w:highlight w:val="none"/>
        </w:rPr>
        <w:t>【拥政爱民】</w:t>
      </w:r>
    </w:p>
    <w:p w14:paraId="11AE6241">
      <w:pPr>
        <w:rPr>
          <w:rFonts w:hint="eastAsia" w:hAnsi="宋体" w:cs="宋体"/>
          <w:highlight w:val="none"/>
        </w:rPr>
      </w:pPr>
      <w:r>
        <w:rPr>
          <w:rFonts w:hint="eastAsia" w:hAnsi="宋体" w:cs="宋体"/>
          <w:highlight w:val="none"/>
        </w:rPr>
        <w:t>贯彻军地双重领导机制、加强军政军民关系，发扬热爱人民的优良传统，坚持全心全意为人民服务，与驻地人民开展各项活动。</w:t>
      </w:r>
    </w:p>
    <w:p w14:paraId="26044A95">
      <w:pPr>
        <w:rPr>
          <w:rFonts w:hint="eastAsia" w:hAnsi="宋体" w:cs="宋体"/>
          <w:highlight w:val="none"/>
        </w:rPr>
      </w:pPr>
      <w:r>
        <w:rPr>
          <w:rFonts w:hint="eastAsia" w:hAnsi="宋体" w:cs="宋体"/>
          <w:highlight w:val="none"/>
        </w:rPr>
        <w:t>每年3月、4月开展学习雷锋月活动，义务为驻地村庄疏通污水沟、清理垃圾。</w:t>
      </w:r>
    </w:p>
    <w:p w14:paraId="7CA43783">
      <w:pPr>
        <w:rPr>
          <w:rFonts w:hint="eastAsia" w:hAnsi="宋体" w:cs="宋体"/>
          <w:highlight w:val="none"/>
        </w:rPr>
      </w:pPr>
      <w:r>
        <w:rPr>
          <w:rFonts w:hint="eastAsia" w:hAnsi="宋体" w:cs="宋体"/>
          <w:highlight w:val="none"/>
        </w:rPr>
        <w:t>每月配合公安机关，打扫卫生，清洁路面。</w:t>
      </w:r>
    </w:p>
    <w:p w14:paraId="38DB61C5">
      <w:pPr>
        <w:rPr>
          <w:rFonts w:hint="eastAsia" w:hAnsi="宋体" w:cs="宋体"/>
          <w:highlight w:val="none"/>
        </w:rPr>
      </w:pPr>
      <w:r>
        <w:rPr>
          <w:rFonts w:hint="eastAsia" w:hAnsi="宋体" w:cs="宋体"/>
          <w:highlight w:val="none"/>
        </w:rPr>
        <w:t>春节、“八一”、重阳等时节组织官兵到南雄市敬老院，看望、慰问孤寡老人。</w:t>
      </w:r>
    </w:p>
    <w:p w14:paraId="154D1A85">
      <w:pPr>
        <w:rPr>
          <w:rFonts w:hint="eastAsia" w:hAnsi="宋体" w:cs="宋体"/>
          <w:highlight w:val="none"/>
        </w:rPr>
      </w:pPr>
      <w:r>
        <w:rPr>
          <w:rFonts w:hint="eastAsia" w:hAnsi="宋体" w:cs="宋体"/>
          <w:highlight w:val="none"/>
        </w:rPr>
        <w:t>每年新兵下队、老兵退伍、全国献血日，组织中队义务献血。</w:t>
      </w:r>
    </w:p>
    <w:p w14:paraId="4CBAF162">
      <w:pPr>
        <w:rPr>
          <w:rFonts w:hint="eastAsia" w:hAnsi="宋体" w:cs="宋体"/>
          <w:highlight w:val="none"/>
        </w:rPr>
      </w:pPr>
      <w:r>
        <w:rPr>
          <w:rFonts w:hint="eastAsia" w:hAnsi="宋体" w:cs="宋体"/>
          <w:highlight w:val="none"/>
        </w:rPr>
        <w:t>经常深入驻地学校和社区开展国防教育，树立武警部队在党委政府和人民群众心目中的良好形象。</w:t>
      </w:r>
    </w:p>
    <w:p w14:paraId="79DA516C">
      <w:pPr>
        <w:rPr>
          <w:rFonts w:hint="eastAsia" w:hAnsi="宋体" w:cs="宋体"/>
          <w:highlight w:val="none"/>
        </w:rPr>
      </w:pPr>
      <w:r>
        <w:rPr>
          <w:rFonts w:hint="eastAsia" w:hAnsi="宋体" w:cs="宋体"/>
          <w:highlight w:val="none"/>
        </w:rPr>
        <w:t>利用邀请驻地学校，对中队营区进行参观时机，用切身的行动向全体学生进行爱国主义思想教育。</w:t>
      </w:r>
    </w:p>
    <w:p w14:paraId="32539E97">
      <w:pPr>
        <w:pStyle w:val="4"/>
        <w:bidi w:val="0"/>
        <w:rPr>
          <w:rFonts w:hint="eastAsia"/>
          <w:highlight w:val="none"/>
        </w:rPr>
      </w:pPr>
      <w:r>
        <w:rPr>
          <w:rFonts w:hint="eastAsia"/>
          <w:highlight w:val="none"/>
        </w:rPr>
        <w:t>【后勤管理】</w:t>
      </w:r>
    </w:p>
    <w:p w14:paraId="149FA470">
      <w:pPr>
        <w:rPr>
          <w:rFonts w:hint="eastAsia" w:hAnsi="宋体" w:cs="宋体"/>
          <w:highlight w:val="none"/>
        </w:rPr>
      </w:pPr>
      <w:r>
        <w:rPr>
          <w:rFonts w:hint="eastAsia" w:hAnsi="宋体" w:cs="宋体"/>
          <w:highlight w:val="none"/>
        </w:rPr>
        <w:t>中队坚持以“保障有力”为目标，狠抓后勤建设和管理，不断提高后勤规范化建设管理水平，通过官兵的不懈努力，后勤综合保障能力不断增强：</w:t>
      </w:r>
    </w:p>
    <w:p w14:paraId="0B10907D">
      <w:pPr>
        <w:rPr>
          <w:rFonts w:hint="eastAsia" w:hAnsi="宋体" w:cs="宋体"/>
          <w:highlight w:val="none"/>
        </w:rPr>
      </w:pPr>
      <w:r>
        <w:rPr>
          <w:rFonts w:hint="eastAsia" w:hAnsi="宋体" w:cs="宋体"/>
          <w:highlight w:val="none"/>
        </w:rPr>
        <w:t>加强反恐器材的经费投入，使装备更加全面，更加现代化，为“执勤”“处突”等各项任务的圆满完成提供了坚实保障。</w:t>
      </w:r>
    </w:p>
    <w:p w14:paraId="6B791287">
      <w:pPr>
        <w:rPr>
          <w:rFonts w:hint="eastAsia" w:hAnsi="宋体" w:cs="宋体"/>
          <w:highlight w:val="none"/>
        </w:rPr>
      </w:pPr>
      <w:r>
        <w:rPr>
          <w:rFonts w:hint="eastAsia" w:hAnsi="宋体" w:cs="宋体"/>
          <w:highlight w:val="none"/>
        </w:rPr>
        <w:t>2015年，投入资金完成中队部分营区改造、新建任务，特别是新建篮球场受到中队官兵及地方群众一致称赞。</w:t>
      </w:r>
    </w:p>
    <w:p w14:paraId="1E9D915E">
      <w:pPr>
        <w:rPr>
          <w:rFonts w:hint="eastAsia" w:hAnsi="宋体" w:cs="宋体"/>
          <w:highlight w:val="none"/>
        </w:rPr>
      </w:pPr>
      <w:r>
        <w:rPr>
          <w:rFonts w:hint="eastAsia" w:hAnsi="宋体" w:cs="宋体"/>
          <w:highlight w:val="none"/>
        </w:rPr>
        <w:t>发展农副业生产优势，采集烟土、塘泥各50余担，对菜地土壤进行改良，2015年种养猪8头、瓜菜6000公斤，不断提高中队伙食标准，加强伙食管理要求，让战士们“吃得好、吃得饱”。</w:t>
      </w:r>
    </w:p>
    <w:p w14:paraId="373EB8DC">
      <w:pPr>
        <w:pStyle w:val="4"/>
        <w:bidi w:val="0"/>
        <w:rPr>
          <w:rFonts w:hint="eastAsia"/>
          <w:highlight w:val="none"/>
        </w:rPr>
      </w:pPr>
      <w:r>
        <w:rPr>
          <w:rFonts w:hint="eastAsia"/>
          <w:highlight w:val="none"/>
        </w:rPr>
        <w:t>【荣誉称号】</w:t>
      </w:r>
    </w:p>
    <w:p w14:paraId="757C650A">
      <w:pPr>
        <w:rPr>
          <w:rFonts w:hint="eastAsia" w:hAnsi="宋体" w:cs="宋体"/>
          <w:highlight w:val="none"/>
        </w:rPr>
      </w:pPr>
      <w:r>
        <w:rPr>
          <w:rFonts w:hint="eastAsia" w:hAnsi="宋体" w:cs="宋体"/>
          <w:highlight w:val="none"/>
        </w:rPr>
        <w:t>2015年被总队评为按纲建队先进中队，先后多次被评为“三无”基层单位和“执勤先进中队”，2015年被评为“军事训练优胜单位”“正规化执勤优秀单位”。（陈勰）</w:t>
      </w:r>
    </w:p>
    <w:p w14:paraId="7EA5CB06">
      <w:pPr>
        <w:rPr>
          <w:rFonts w:hint="eastAsia" w:hAnsi="宋体" w:eastAsia="宋体" w:cs="宋体"/>
          <w:highlight w:val="none"/>
          <w:lang w:eastAsia="zh-CN"/>
        </w:rPr>
      </w:pPr>
      <w:r>
        <w:rPr>
          <w:rFonts w:hint="eastAsia" w:hAnsi="宋体" w:cs="宋体"/>
          <w:highlight w:val="none"/>
        </w:rPr>
        <w:t>附：2015年市武警中队领导班子成员名单</w:t>
      </w:r>
    </w:p>
    <w:p w14:paraId="3FA568B9">
      <w:pPr>
        <w:rPr>
          <w:rFonts w:hint="eastAsia" w:hAnsi="宋体" w:eastAsia="宋体" w:cs="宋体"/>
          <w:highlight w:val="none"/>
          <w:lang w:eastAsia="zh-CN"/>
        </w:rPr>
      </w:pPr>
      <w:r>
        <w:rPr>
          <w:rFonts w:hint="eastAsia" w:hAnsi="宋体" w:cs="宋体"/>
          <w:highlight w:val="none"/>
        </w:rPr>
        <w:t>中队长：李光辉</w:t>
      </w:r>
    </w:p>
    <w:p w14:paraId="244D42BF">
      <w:pPr>
        <w:rPr>
          <w:rFonts w:hint="eastAsia" w:hAnsi="宋体" w:eastAsia="宋体" w:cs="宋体"/>
          <w:highlight w:val="none"/>
          <w:lang w:eastAsia="zh-CN"/>
        </w:rPr>
      </w:pPr>
      <w:r>
        <w:rPr>
          <w:rFonts w:hint="eastAsia" w:hAnsi="宋体" w:cs="宋体"/>
          <w:highlight w:val="none"/>
        </w:rPr>
        <w:t>指导员：刘玉学</w:t>
      </w:r>
    </w:p>
    <w:p w14:paraId="626354C6">
      <w:pPr>
        <w:pStyle w:val="3"/>
        <w:bidi w:val="0"/>
        <w:rPr>
          <w:rFonts w:hint="eastAsia"/>
          <w:highlight w:val="none"/>
        </w:rPr>
      </w:pPr>
      <w:r>
        <w:rPr>
          <w:rFonts w:hint="eastAsia"/>
          <w:highlight w:val="none"/>
        </w:rPr>
        <w:t>消防</w:t>
      </w:r>
    </w:p>
    <w:p w14:paraId="1BBC30E9">
      <w:pPr>
        <w:pStyle w:val="4"/>
        <w:bidi w:val="0"/>
        <w:rPr>
          <w:rFonts w:hint="eastAsia"/>
          <w:highlight w:val="none"/>
        </w:rPr>
      </w:pPr>
      <w:r>
        <w:rPr>
          <w:rFonts w:hint="eastAsia"/>
          <w:highlight w:val="none"/>
        </w:rPr>
        <w:t>【概况】</w:t>
      </w:r>
    </w:p>
    <w:p w14:paraId="3DEB7608">
      <w:pPr>
        <w:rPr>
          <w:rFonts w:hint="eastAsia" w:hAnsi="宋体" w:cs="宋体"/>
          <w:highlight w:val="none"/>
        </w:rPr>
      </w:pPr>
      <w:r>
        <w:rPr>
          <w:rFonts w:hint="eastAsia" w:hAnsi="宋体" w:cs="宋体"/>
          <w:highlight w:val="none"/>
        </w:rPr>
        <w:t>南雄市公安消防大队组建于1974年，隶属于韶关市公安消防支队，是一支以防火、灭火、抢险救援、社会救助工作为中心任务的现役公安队伍。大队下辖有1个现役消防中队——南雄中队和1个合同制消防队——东莞大岭山（南雄）产业转移工业园专职消防队，并负责管理南雄市综合应急救援大队。大队配备执勤消防车辆7台（其中城市多功能主战消防车1台、登高平台消防车1台、水罐车1台、大功率水罐泡沫车1台、抢险救援车2台、举高喷射消防车1台），消防行政执法车3台。肩负着南雄市内18个镇（街）人民的生命财产安全保卫重任以及韶赣高速公路88千米至138千米段抢险救援任务。</w:t>
      </w:r>
    </w:p>
    <w:p w14:paraId="4D22B1BA">
      <w:pPr>
        <w:pStyle w:val="4"/>
        <w:bidi w:val="0"/>
        <w:rPr>
          <w:rFonts w:hint="eastAsia"/>
          <w:highlight w:val="none"/>
        </w:rPr>
      </w:pPr>
      <w:r>
        <w:rPr>
          <w:rFonts w:hint="eastAsia"/>
          <w:highlight w:val="none"/>
        </w:rPr>
        <w:t>【队伍建设】</w:t>
      </w:r>
    </w:p>
    <w:p w14:paraId="1887A3AF">
      <w:pPr>
        <w:rPr>
          <w:rFonts w:hint="eastAsia" w:hAnsi="宋体" w:cs="宋体"/>
          <w:highlight w:val="none"/>
        </w:rPr>
      </w:pPr>
      <w:r>
        <w:rPr>
          <w:rFonts w:hint="eastAsia" w:hAnsi="宋体" w:cs="宋体"/>
          <w:highlight w:val="none"/>
        </w:rPr>
        <w:t>大队党委始终坚持把抓好领导班子学习放在首位，确保学习制度的落实，学习党的路线方针政策，特别是科学发展观和党的十八大精神；学习部局、总队、支队各级文件会议精神，切实改进工作作风把握部队发展的正确方向。在党委班子中树立“发展是硬道理、落实是真本事”的思想导向。坚持一手抓硬件建设，一手抓软件建设，坚持两手抓、两不放，班子成员经常深入基层、深入战士，了解官兵在想什么、干什么，工作、学习、生活中还存在什么问题和困难，积极营造争先创优意识。</w:t>
      </w:r>
    </w:p>
    <w:p w14:paraId="278512D9">
      <w:pPr>
        <w:rPr>
          <w:rFonts w:hint="eastAsia" w:hAnsi="宋体" w:cs="宋体"/>
          <w:highlight w:val="none"/>
        </w:rPr>
      </w:pPr>
      <w:r>
        <w:rPr>
          <w:rFonts w:hint="eastAsia" w:hAnsi="宋体" w:cs="宋体"/>
          <w:highlight w:val="none"/>
        </w:rPr>
        <w:t>立足全局、谋划重点，推动部队全面发展。党委一班人坚持从实际出发，结合全年攻坚目标，理清工作思路，明确每个时期的重点工作，以点带面，推动工作全面开展。扎实开展队伍管理工作，提高队伍正规化水平。大队坚持以提高队伍正规化水平为目标，以条令条例、部队规章为依据，从细节入手，狠抓官兵军人形象树立和军事作风培养。认真开展政治教育，夯实官兵思想基础。做好经常性教育工作。深入开展主题教育。根据支队安排，大、中队深入开展“学习践行强军目标，做新一代革命军人”“三严三实”“条令条例暨安全知识学习教育月”等教育实践活动。加强警营文化建设。在紧张的执勤备战之余，大队发动官兵积极发挥特长，培养篮球、象棋等兴趣爱好，排练、录制话剧《燃烧吧，烈焰中的彩虹》。</w:t>
      </w:r>
    </w:p>
    <w:p w14:paraId="647BF4BA">
      <w:pPr>
        <w:pStyle w:val="4"/>
        <w:bidi w:val="0"/>
        <w:rPr>
          <w:rFonts w:hint="eastAsia"/>
          <w:highlight w:val="none"/>
        </w:rPr>
      </w:pPr>
      <w:r>
        <w:rPr>
          <w:rFonts w:hint="eastAsia"/>
          <w:highlight w:val="none"/>
        </w:rPr>
        <w:t>【提升业务能力】</w:t>
      </w:r>
    </w:p>
    <w:p w14:paraId="2A25D628">
      <w:pPr>
        <w:rPr>
          <w:rFonts w:hint="eastAsia" w:hAnsi="宋体" w:cs="宋体"/>
          <w:highlight w:val="none"/>
        </w:rPr>
      </w:pPr>
      <w:r>
        <w:rPr>
          <w:rFonts w:hint="eastAsia" w:hAnsi="宋体" w:cs="宋体"/>
          <w:highlight w:val="none"/>
        </w:rPr>
        <w:t>强化业务素质，永驻南雄铁军。狠抓日常训练，做好安全防事故工作。大队始终把执勤岗位练兵工作摆在十分重要的位置，根据支队年初下发的执勤岗位练兵方案，制定出符合大、中队实际的方案，并根据方案制定周表，根据周表开展训练。强化体能技能训练，提高队伍实战化能力。围绕实战化，大力开展业务技能、体能训练，掀起官兵大练兵的热潮，使得官兵的身体素质、技战术水平都得到较大提高，队伍的实战化能力得到明显地提高。截至2015年12月31日，大队参加灭火、应急救援战斗207起（含增援），其中火灾118起，抢险救援45起，社会救助36起，同比2014年，接警起数下降29</w:t>
      </w:r>
      <w:r>
        <w:rPr>
          <w:rFonts w:hint="eastAsia" w:ascii="MingLiU_HKSCS" w:hAnsi="MingLiU_HKSCS" w:eastAsia="MingLiU_HKSCS" w:cs="MingLiU_HKSCS"/>
          <w:highlight w:val="none"/>
        </w:rPr>
        <w:t>.</w:t>
      </w:r>
      <w:r>
        <w:rPr>
          <w:rFonts w:hint="eastAsia" w:hAnsi="宋体" w:cs="宋体"/>
          <w:highlight w:val="none"/>
        </w:rPr>
        <w:t>9%，出动车辆325辆次，出动警力1983人次，抢救疏散遇险群众94人，抢救财产价值338万元。成功处置“1·21”韶赣高速梅岭方向大货车翻车救援、“4·14”韶赣高速挂车火灾事故、“5·22”主田镇塘山村委会茶树坳林场塌方事故、“7·13”工业园区华胜公司化工车间起火事故、“8·30”湖口水库救人事故以及“10·11”韶赣高速大货车追尾事故等一系列急难险重的任务。为保护国家和人民生命财产安全做出贡献，在人民群众中树立良好形象。</w:t>
      </w:r>
    </w:p>
    <w:p w14:paraId="6454C412">
      <w:pPr>
        <w:pStyle w:val="4"/>
        <w:bidi w:val="0"/>
        <w:rPr>
          <w:rFonts w:hint="eastAsia"/>
          <w:highlight w:val="none"/>
        </w:rPr>
      </w:pPr>
      <w:r>
        <w:rPr>
          <w:rFonts w:hint="eastAsia"/>
          <w:highlight w:val="none"/>
        </w:rPr>
        <w:t>【基层防火】</w:t>
      </w:r>
    </w:p>
    <w:p w14:paraId="431CC6B9">
      <w:pPr>
        <w:rPr>
          <w:rFonts w:hint="eastAsia" w:hAnsi="宋体" w:cs="宋体"/>
          <w:highlight w:val="none"/>
        </w:rPr>
      </w:pPr>
      <w:r>
        <w:rPr>
          <w:rFonts w:hint="eastAsia" w:hAnsi="宋体" w:cs="宋体"/>
          <w:highlight w:val="none"/>
        </w:rPr>
        <w:t>扎实开展社会面火灾防控，构筑消防安全防火墙。火灾隐患重点地区整治行动。制定完善消防专项规划。指导江头镇聘请广州市建筑科学研究院新技术开发中心有限公司投入8万元完成《南雄市江头镇消防专项规划（2015—2025年）》，为江头镇消防工作指明方向。完善市政消防基础设施建设。为了尽快解决江头镇镇区用水和市政消火栓严重欠账问题，镇政府投入20万元，已在主要街道增建10个市政消火栓，并制定增建计划，到规划期末市政消火栓总数达到30个。社区消防网格化、重点单位户籍化。深入推进街道乡镇消防安全网格化管理工作，推动南雄市综治委将消防安全网格化管理纳入社会管理综合治理、创建平安南雄建设重要内容，进一步落实基层消防工作责任，夯实城乡火灾防控基础，形成横向到边、纵向到底、责任明确、监管到位、服务及时的消防管理网络，城乡消防安全条件明显改善，防控火灾能力显著提高。强化消防教育培训。大队每年对公安派出所专兼职消防民警、合同制消防员开展1次消防安全教育培训和工作指导。督促辖区消防安全重点单位、人员密集场所对所有人员开展1次消防安全教育培训。对具有自动消防设施的单位，督促落实值班操作人员80%实现持证上岗，开展单位消防培训24次，培训人数达2000多人。</w:t>
      </w:r>
    </w:p>
    <w:p w14:paraId="44319C96">
      <w:pPr>
        <w:pStyle w:val="4"/>
        <w:bidi w:val="0"/>
        <w:rPr>
          <w:rFonts w:hint="eastAsia"/>
          <w:highlight w:val="none"/>
        </w:rPr>
      </w:pPr>
      <w:r>
        <w:rPr>
          <w:rFonts w:hint="eastAsia"/>
          <w:highlight w:val="none"/>
        </w:rPr>
        <w:t>【后勤保障】</w:t>
      </w:r>
    </w:p>
    <w:p w14:paraId="58BC69C8">
      <w:pPr>
        <w:rPr>
          <w:rFonts w:hint="eastAsia" w:hAnsi="宋体" w:cs="宋体"/>
          <w:highlight w:val="none"/>
        </w:rPr>
      </w:pPr>
      <w:r>
        <w:rPr>
          <w:rFonts w:hint="eastAsia" w:hAnsi="宋体" w:cs="宋体"/>
          <w:highlight w:val="none"/>
        </w:rPr>
        <w:t>提高后勤保障能力，推动部队稳步发展。大队紧紧依靠党委、政府，主动向政府请示汇报，努力争取消防经费。2015年，大队业务经费213</w:t>
      </w:r>
      <w:r>
        <w:rPr>
          <w:rFonts w:hint="eastAsia" w:ascii="MingLiU_HKSCS" w:hAnsi="MingLiU_HKSCS" w:eastAsia="MingLiU_HKSCS" w:cs="MingLiU_HKSCS"/>
          <w:highlight w:val="none"/>
        </w:rPr>
        <w:t>.</w:t>
      </w:r>
      <w:r>
        <w:rPr>
          <w:rFonts w:hint="eastAsia" w:hAnsi="宋体" w:cs="宋体"/>
          <w:highlight w:val="none"/>
        </w:rPr>
        <w:t>52万元，提请市政府解决政府专职消防队经费30万元，高危补助及执勤津贴48</w:t>
      </w:r>
      <w:r>
        <w:rPr>
          <w:rFonts w:hint="eastAsia" w:ascii="MingLiU_HKSCS" w:hAnsi="MingLiU_HKSCS" w:eastAsia="MingLiU_HKSCS" w:cs="MingLiU_HKSCS"/>
          <w:highlight w:val="none"/>
        </w:rPr>
        <w:t>.</w:t>
      </w:r>
      <w:r>
        <w:rPr>
          <w:rFonts w:hint="eastAsia" w:hAnsi="宋体" w:cs="宋体"/>
          <w:highlight w:val="none"/>
        </w:rPr>
        <w:t>6万元并列入财政预算，省政府补贴专职消防队公用经费32万元。与安监、园区管委会一起完成25万元装备采购任务并争取到2015年度配套装备采购经费60万元。大队按照省政府46号文要求，向市委、市领导请示汇报，明确政府专职消防队机构属性定位、登记管理和人员福利待遇，推动市政府完成南雄市东莞大岭山（南雄）产业转移工业园专职消防队成功登记为公益一类正股级事业单位的工作，招聘人数为24人，目前已招收20人，同时将合同制消防员的高危补助按每人每月800元标准纳入2016年财政预算。另外，大队通过政府争取到686万元，对政府专职消防队营区进行建设。目前、正在办理立项备案和规划设计工作。珠玑、黄坑镇专职队建设专题报告市政府并列入编委会进行前期调研。坚持从优待警，完善设施，建立机制。3月底，大队为全体官兵配备新床铺；4月为后勤更换新型环保节能灶具。大队与南雄市人民医院、南雄市中医院分别签订“绿色通道医疗协议书”，建立消防官兵因公负伤紧急救治“绿色通道”，为部队执勤训练提供坚实后勤保障。（邓权昌）</w:t>
      </w:r>
    </w:p>
    <w:p w14:paraId="1E65AA3A">
      <w:pPr>
        <w:rPr>
          <w:rFonts w:hint="eastAsia" w:hAnsi="宋体" w:cs="宋体"/>
          <w:highlight w:val="none"/>
        </w:rPr>
      </w:pPr>
      <w:r>
        <w:rPr>
          <w:rFonts w:hint="eastAsia" w:hAnsi="宋体" w:cs="宋体"/>
          <w:highlight w:val="none"/>
        </w:rPr>
        <w:t>附：2015年市公安消防大队领导班子成员名单</w:t>
      </w:r>
    </w:p>
    <w:p w14:paraId="2D4F1331">
      <w:pPr>
        <w:rPr>
          <w:rFonts w:hint="eastAsia" w:hAnsi="宋体" w:eastAsia="宋体" w:cs="宋体"/>
          <w:b w:val="0"/>
          <w:bCs w:val="0"/>
          <w:highlight w:val="none"/>
          <w:lang w:eastAsia="zh-CN"/>
        </w:rPr>
      </w:pPr>
      <w:r>
        <w:rPr>
          <w:rFonts w:hint="eastAsia" w:hAnsi="宋体" w:cs="宋体"/>
          <w:b w:val="0"/>
          <w:bCs w:val="0"/>
          <w:highlight w:val="none"/>
        </w:rPr>
        <w:t>大队长：陈文波（3月任）</w:t>
      </w:r>
    </w:p>
    <w:p w14:paraId="2A2F0964">
      <w:pPr>
        <w:rPr>
          <w:rFonts w:hint="eastAsia" w:hAnsi="宋体" w:cs="宋体"/>
          <w:b w:val="0"/>
          <w:bCs w:val="0"/>
          <w:highlight w:val="none"/>
        </w:rPr>
      </w:pPr>
      <w:r>
        <w:rPr>
          <w:rFonts w:hint="eastAsia" w:hAnsi="宋体" w:cs="宋体"/>
          <w:b w:val="0"/>
          <w:bCs w:val="0"/>
          <w:highlight w:val="none"/>
        </w:rPr>
        <w:t>教导员：陈</w:t>
      </w:r>
      <w:r>
        <w:rPr>
          <w:rFonts w:hint="eastAsia" w:hAnsi="宋体" w:cs="宋体"/>
          <w:b w:val="0"/>
          <w:bCs w:val="0"/>
          <w:highlight w:val="none"/>
          <w:lang w:val="en-US" w:eastAsia="zh-CN"/>
        </w:rPr>
        <w:t xml:space="preserve">  </w:t>
      </w:r>
      <w:r>
        <w:rPr>
          <w:rFonts w:hint="eastAsia" w:hAnsi="宋体" w:cs="宋体"/>
          <w:b w:val="0"/>
          <w:bCs w:val="0"/>
          <w:highlight w:val="none"/>
        </w:rPr>
        <w:t>伟（5月任）</w:t>
      </w:r>
    </w:p>
    <w:p w14:paraId="269F008B">
      <w:pPr>
        <w:pStyle w:val="3"/>
        <w:bidi w:val="0"/>
        <w:rPr>
          <w:rFonts w:hint="eastAsia"/>
          <w:highlight w:val="none"/>
        </w:rPr>
      </w:pPr>
      <w:r>
        <w:rPr>
          <w:rFonts w:hint="eastAsia"/>
          <w:highlight w:val="none"/>
        </w:rPr>
        <w:t>人民防空</w:t>
      </w:r>
    </w:p>
    <w:p w14:paraId="044FDD65">
      <w:pPr>
        <w:pStyle w:val="4"/>
        <w:bidi w:val="0"/>
        <w:rPr>
          <w:rFonts w:hint="eastAsia"/>
          <w:highlight w:val="none"/>
        </w:rPr>
      </w:pPr>
      <w:r>
        <w:rPr>
          <w:rFonts w:hint="eastAsia"/>
          <w:highlight w:val="none"/>
        </w:rPr>
        <w:t>【概况】</w:t>
      </w:r>
    </w:p>
    <w:p w14:paraId="042EC219">
      <w:pPr>
        <w:rPr>
          <w:rFonts w:hint="eastAsia" w:hAnsi="宋体" w:cs="宋体"/>
          <w:highlight w:val="none"/>
        </w:rPr>
      </w:pPr>
      <w:r>
        <w:rPr>
          <w:rFonts w:hint="eastAsia" w:hAnsi="宋体" w:cs="宋体"/>
          <w:highlight w:val="none"/>
        </w:rPr>
        <w:t>2015年，南雄市人民防空办公室（简称“市人防办”）设于市政府大楼一楼，内设综合股和工程建设管理股2个机构，有专职工作人员3人、兼职人员1人，负责人防日常工作。主要职责为贯彻执行人防法律、法规与方针、政策；拟定人防发展规划和工作计划；拟定人防建设与城市建设相结合规划，审核城市总体规划中人防要求的落实情况，检查监督城市和重要经济目标的人防建设。组织管理人防工程建设；对结合民用建设修建防空地下室实施计划、技术和质量管理；运用易地建设费建筑人防窗口、骨干工程。开展人防组织指挥工作，拟定城市防空袭方案；拟定战时人口疏散计划并协调与疏散区域的关系；拟定重要经济目标防护方案。制订人防通信警报建设规划及组织实施，并定期组织试鸣。负责人民防空的宣传教育工作。组建人防专业队伍，结合形势任务组织专业训练。</w:t>
      </w:r>
    </w:p>
    <w:p w14:paraId="00737F0F">
      <w:pPr>
        <w:pStyle w:val="4"/>
        <w:bidi w:val="0"/>
        <w:rPr>
          <w:rFonts w:hint="eastAsia"/>
          <w:highlight w:val="none"/>
        </w:rPr>
      </w:pPr>
      <w:r>
        <w:rPr>
          <w:rFonts w:hint="eastAsia"/>
          <w:highlight w:val="none"/>
        </w:rPr>
        <w:t>【人防工程建设】</w:t>
      </w:r>
    </w:p>
    <w:p w14:paraId="01CD9411">
      <w:pPr>
        <w:rPr>
          <w:rFonts w:hint="eastAsia" w:hAnsi="宋体" w:cs="宋体"/>
          <w:highlight w:val="none"/>
        </w:rPr>
      </w:pPr>
      <w:r>
        <w:rPr>
          <w:rFonts w:hint="eastAsia" w:hAnsi="宋体" w:cs="宋体"/>
          <w:highlight w:val="none"/>
        </w:rPr>
        <w:t>2015年进一步完善审批报建程序，优化审批流程，提升服务效能，推动人防报建审批和工程建设规范化发展。2015年，完成人防结建审批项目30宗。加快推进防空地下工程建设，目前，雄州公园单建式人防地下工程已完成封顶，正在进行水电及设备安装工序；雄州壹品3901平方米结建地下人防工程目前正在施工中；华南丽苑4211</w:t>
      </w:r>
      <w:r>
        <w:rPr>
          <w:rFonts w:hint="eastAsia" w:ascii="MingLiU_HKSCS" w:hAnsi="MingLiU_HKSCS" w:eastAsia="MingLiU_HKSCS" w:cs="MingLiU_HKSCS"/>
          <w:highlight w:val="none"/>
        </w:rPr>
        <w:t>.</w:t>
      </w:r>
      <w:r>
        <w:rPr>
          <w:rFonts w:hint="eastAsia" w:hAnsi="宋体" w:cs="宋体"/>
          <w:highlight w:val="none"/>
        </w:rPr>
        <w:t>18平方米结建地下人防工程目前正在施工中；中泰华府1</w:t>
      </w:r>
      <w:r>
        <w:rPr>
          <w:rFonts w:hint="eastAsia" w:ascii="MingLiU_HKSCS" w:hAnsi="MingLiU_HKSCS" w:eastAsia="MingLiU_HKSCS" w:cs="MingLiU_HKSCS"/>
          <w:highlight w:val="none"/>
        </w:rPr>
        <w:t>.</w:t>
      </w:r>
      <w:r>
        <w:rPr>
          <w:rFonts w:hint="eastAsia" w:hAnsi="宋体" w:cs="宋体"/>
          <w:highlight w:val="none"/>
        </w:rPr>
        <w:t>5万平方米地下人防工程已经批复设计要点，正在进行图纸设计。</w:t>
      </w:r>
    </w:p>
    <w:p w14:paraId="337DAEE4">
      <w:pPr>
        <w:pStyle w:val="4"/>
        <w:bidi w:val="0"/>
        <w:rPr>
          <w:rFonts w:hint="eastAsia"/>
          <w:highlight w:val="none"/>
        </w:rPr>
      </w:pPr>
      <w:r>
        <w:rPr>
          <w:rFonts w:hint="eastAsia"/>
          <w:highlight w:val="none"/>
        </w:rPr>
        <w:t>【指挥通讯系统】</w:t>
      </w:r>
    </w:p>
    <w:p w14:paraId="74D7835A">
      <w:pPr>
        <w:rPr>
          <w:rFonts w:hint="eastAsia" w:hAnsi="宋体" w:cs="宋体"/>
          <w:highlight w:val="none"/>
        </w:rPr>
      </w:pPr>
      <w:r>
        <w:rPr>
          <w:rFonts w:hint="eastAsia" w:hAnsi="宋体" w:cs="宋体"/>
          <w:highlight w:val="none"/>
        </w:rPr>
        <w:t>2015年，在工业园区增设一处防空警报器，有效扩大防空警报的覆盖范围。开展人防机动指挥通信系统建设，主动向主要领导汇报沟通，力争支持，配备指挥车车辆。</w:t>
      </w:r>
    </w:p>
    <w:p w14:paraId="07E12A3F">
      <w:pPr>
        <w:pStyle w:val="4"/>
        <w:bidi w:val="0"/>
        <w:rPr>
          <w:rFonts w:hint="eastAsia"/>
          <w:highlight w:val="none"/>
        </w:rPr>
      </w:pPr>
      <w:r>
        <w:rPr>
          <w:rFonts w:hint="eastAsia"/>
          <w:highlight w:val="none"/>
        </w:rPr>
        <w:t>【制度建设与宣传教育】</w:t>
      </w:r>
    </w:p>
    <w:p w14:paraId="7862A8CB">
      <w:pPr>
        <w:rPr>
          <w:rFonts w:hint="eastAsia" w:hAnsi="宋体" w:cs="宋体"/>
          <w:highlight w:val="none"/>
        </w:rPr>
      </w:pPr>
      <w:r>
        <w:rPr>
          <w:rFonts w:hint="eastAsia" w:hAnsi="宋体" w:cs="宋体"/>
          <w:highlight w:val="none"/>
        </w:rPr>
        <w:t>加强人防教育基地建设。在市第二中学、新城中学建立宣传教育基地，开设人防知识教育课程，并对两所中学的八年级学生进行人防知识考试，增强学生的国防观念和防空防灾意识。全力搞好防空警报试鸣。9月18日，配合全市的国防宣传日活动，举行防空警报试鸣仪式，试鸣防空警报前，在市区学校、车站、市场、广场等人员密集地区张贴试鸣通告60多份，让市民熟悉防空警报信号，增强国防观念及人防意识。创新宣传方式。在“12·4国家宪法日”与普法办、法制局、食药监局等30家单位开展集中普法宣传活动，让人防教育惠及广大市民，收到良好效果。</w:t>
      </w:r>
    </w:p>
    <w:p w14:paraId="67628925">
      <w:pPr>
        <w:pStyle w:val="4"/>
        <w:bidi w:val="0"/>
        <w:rPr>
          <w:rFonts w:hint="eastAsia"/>
          <w:highlight w:val="none"/>
        </w:rPr>
      </w:pPr>
      <w:r>
        <w:rPr>
          <w:rFonts w:hint="eastAsia"/>
          <w:highlight w:val="none"/>
        </w:rPr>
        <w:t>【防空警报管理、维护】</w:t>
      </w:r>
    </w:p>
    <w:p w14:paraId="349932DB">
      <w:pPr>
        <w:rPr>
          <w:rFonts w:hint="eastAsia" w:hAnsi="宋体" w:cs="宋体"/>
          <w:highlight w:val="none"/>
        </w:rPr>
      </w:pPr>
      <w:r>
        <w:rPr>
          <w:rFonts w:hint="eastAsia" w:hAnsi="宋体" w:cs="宋体"/>
          <w:highlight w:val="none"/>
        </w:rPr>
        <w:t>9月18日，举行防空警报试鸣仪式；坚持每个季度定期到市区7个警报点进行检查、测试和进行防尘维护。（陈宏平）</w:t>
      </w:r>
    </w:p>
    <w:p w14:paraId="240A4137">
      <w:pPr>
        <w:rPr>
          <w:rFonts w:hint="eastAsia" w:hAnsi="宋体" w:eastAsia="宋体" w:cs="宋体"/>
          <w:b w:val="0"/>
          <w:bCs w:val="0"/>
          <w:highlight w:val="none"/>
          <w:lang w:eastAsia="zh-CN"/>
        </w:rPr>
      </w:pPr>
      <w:r>
        <w:rPr>
          <w:rFonts w:hint="eastAsia" w:hAnsi="宋体" w:cs="宋体"/>
          <w:b w:val="0"/>
          <w:bCs w:val="0"/>
          <w:highlight w:val="none"/>
        </w:rPr>
        <w:t>附：2015年市人防办领导班子成员名单</w:t>
      </w:r>
    </w:p>
    <w:p w14:paraId="7E8B2A69">
      <w:pPr>
        <w:rPr>
          <w:rFonts w:hint="eastAsia" w:hAnsi="宋体" w:eastAsia="宋体" w:cs="宋体"/>
          <w:b w:val="0"/>
          <w:bCs w:val="0"/>
          <w:highlight w:val="none"/>
          <w:lang w:eastAsia="zh-CN"/>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任：刘光斌</w:t>
      </w:r>
    </w:p>
    <w:p w14:paraId="46B45BBC">
      <w:pPr>
        <w:rPr>
          <w:rFonts w:hint="eastAsia" w:hAnsi="宋体" w:eastAsia="宋体" w:cs="宋体"/>
          <w:b w:val="0"/>
          <w:bCs w:val="0"/>
          <w:highlight w:val="none"/>
          <w:lang w:eastAsia="zh-CN"/>
        </w:rPr>
      </w:pPr>
      <w:r>
        <w:rPr>
          <w:rFonts w:hint="eastAsia" w:hAnsi="宋体" w:cs="宋体"/>
          <w:b w:val="0"/>
          <w:bCs w:val="0"/>
          <w:highlight w:val="none"/>
        </w:rPr>
        <w:t>副主任：聂郁道</w:t>
      </w:r>
    </w:p>
    <w:p w14:paraId="0C9199DB">
      <w:pPr>
        <w:pStyle w:val="2"/>
        <w:rPr>
          <w:rFonts w:hint="eastAsia"/>
          <w:highlight w:val="none"/>
        </w:rPr>
      </w:pPr>
      <w:r>
        <w:rPr>
          <w:highlight w:val="none"/>
        </w:rPr>
        <w:br w:type="page"/>
      </w:r>
      <w:r>
        <w:rPr>
          <w:rFonts w:hint="eastAsia"/>
          <w:highlight w:val="none"/>
        </w:rPr>
        <w:t>经济管理</w:t>
      </w:r>
    </w:p>
    <w:p w14:paraId="01076EFA">
      <w:pPr>
        <w:pStyle w:val="3"/>
        <w:bidi w:val="0"/>
        <w:rPr>
          <w:rFonts w:hint="eastAsia"/>
          <w:highlight w:val="none"/>
        </w:rPr>
      </w:pPr>
      <w:r>
        <w:rPr>
          <w:rFonts w:hint="eastAsia"/>
          <w:highlight w:val="none"/>
        </w:rPr>
        <w:t>发展和改革</w:t>
      </w:r>
    </w:p>
    <w:p w14:paraId="5022A74C">
      <w:pPr>
        <w:pStyle w:val="4"/>
        <w:bidi w:val="0"/>
        <w:rPr>
          <w:rFonts w:hint="eastAsia"/>
          <w:highlight w:val="none"/>
        </w:rPr>
      </w:pPr>
      <w:r>
        <w:rPr>
          <w:rFonts w:hint="eastAsia"/>
          <w:highlight w:val="none"/>
        </w:rPr>
        <w:t>【概况】</w:t>
      </w:r>
    </w:p>
    <w:p w14:paraId="01656FBE">
      <w:pPr>
        <w:rPr>
          <w:rFonts w:hint="eastAsia" w:hAnsi="宋体" w:cs="宋体"/>
          <w:highlight w:val="none"/>
        </w:rPr>
      </w:pPr>
      <w:r>
        <w:rPr>
          <w:rFonts w:hint="eastAsia" w:hAnsi="宋体" w:cs="宋体"/>
          <w:highlight w:val="none"/>
        </w:rPr>
        <w:t>南雄市发展和改革局是负责研究提出全市国民经济和社会发展战略、发展规划和政策、进行总量平衡、结构调整，指导总体经济体制改革的宏观调控部门。代管南雄市重点建设项目办公室，加挂南雄市物价局牌子。下设办公室、综合规划、投资管理、社会发展、价格和收费、价格检查、价调金管理、价格监测和成本调查等8个股室。核定机关行政编制21名，后勤编制1名。其中：局长1名，副局长2名、纪检组长1名，总经济师1名，工会主席1名。下属1个事业单位，为价格认证中心，事业编制2名。此外，市政府重点建设项目办公室核定事业编制3名，其中主任1名，由市发改局副局长兼任。</w:t>
      </w:r>
    </w:p>
    <w:p w14:paraId="2B0AA8B7">
      <w:pPr>
        <w:rPr>
          <w:rFonts w:hint="eastAsia" w:hAnsi="宋体" w:cs="宋体"/>
          <w:highlight w:val="none"/>
        </w:rPr>
      </w:pPr>
      <w:r>
        <w:rPr>
          <w:rFonts w:hint="eastAsia" w:hAnsi="宋体" w:cs="宋体"/>
          <w:highlight w:val="none"/>
        </w:rPr>
        <w:t>2015年地区生产总值完成125亿元，同比增长10</w:t>
      </w:r>
      <w:r>
        <w:rPr>
          <w:rFonts w:hint="eastAsia" w:ascii="MingLiU_HKSCS" w:hAnsi="MingLiU_HKSCS" w:eastAsia="MingLiU_HKSCS" w:cs="MingLiU_HKSCS"/>
          <w:highlight w:val="none"/>
        </w:rPr>
        <w:t>.</w:t>
      </w:r>
      <w:r>
        <w:rPr>
          <w:rFonts w:hint="eastAsia" w:hAnsi="宋体" w:cs="宋体"/>
          <w:highlight w:val="none"/>
        </w:rPr>
        <w:t>2%。其中，第一产业完成25</w:t>
      </w:r>
      <w:r>
        <w:rPr>
          <w:rFonts w:hint="eastAsia" w:ascii="MingLiU_HKSCS" w:hAnsi="MingLiU_HKSCS" w:eastAsia="MingLiU_HKSCS" w:cs="MingLiU_HKSCS"/>
          <w:highlight w:val="none"/>
        </w:rPr>
        <w:t>.</w:t>
      </w:r>
      <w:r>
        <w:rPr>
          <w:rFonts w:hint="eastAsia" w:hAnsi="宋体" w:cs="宋体"/>
          <w:highlight w:val="none"/>
        </w:rPr>
        <w:t>9亿元，同比增长4</w:t>
      </w:r>
      <w:r>
        <w:rPr>
          <w:rFonts w:hint="eastAsia" w:ascii="MingLiU_HKSCS" w:hAnsi="MingLiU_HKSCS" w:eastAsia="MingLiU_HKSCS" w:cs="MingLiU_HKSCS"/>
          <w:highlight w:val="none"/>
        </w:rPr>
        <w:t>.</w:t>
      </w:r>
      <w:r>
        <w:rPr>
          <w:rFonts w:hint="eastAsia" w:hAnsi="宋体" w:cs="宋体"/>
          <w:highlight w:val="none"/>
        </w:rPr>
        <w:t>2%；第二产业完成50</w:t>
      </w:r>
      <w:r>
        <w:rPr>
          <w:rFonts w:hint="eastAsia" w:ascii="MingLiU_HKSCS" w:hAnsi="MingLiU_HKSCS" w:eastAsia="MingLiU_HKSCS" w:cs="MingLiU_HKSCS"/>
          <w:highlight w:val="none"/>
        </w:rPr>
        <w:t>.</w:t>
      </w:r>
      <w:r>
        <w:rPr>
          <w:rFonts w:hint="eastAsia" w:hAnsi="宋体" w:cs="宋体"/>
          <w:highlight w:val="none"/>
        </w:rPr>
        <w:t>1亿元，同比增长15</w:t>
      </w:r>
      <w:r>
        <w:rPr>
          <w:rFonts w:hint="eastAsia" w:ascii="MingLiU_HKSCS" w:hAnsi="MingLiU_HKSCS" w:eastAsia="MingLiU_HKSCS" w:cs="MingLiU_HKSCS"/>
          <w:highlight w:val="none"/>
        </w:rPr>
        <w:t>.</w:t>
      </w:r>
      <w:r>
        <w:rPr>
          <w:rFonts w:hint="eastAsia" w:hAnsi="宋体" w:cs="宋体"/>
          <w:highlight w:val="none"/>
        </w:rPr>
        <w:t>4%；第三产业完成49亿元，同比增长7</w:t>
      </w:r>
      <w:r>
        <w:rPr>
          <w:rFonts w:hint="eastAsia" w:ascii="MingLiU_HKSCS" w:hAnsi="MingLiU_HKSCS" w:eastAsia="MingLiU_HKSCS" w:cs="MingLiU_HKSCS"/>
          <w:highlight w:val="none"/>
        </w:rPr>
        <w:t>.</w:t>
      </w:r>
      <w:r>
        <w:rPr>
          <w:rFonts w:hint="eastAsia" w:hAnsi="宋体" w:cs="宋体"/>
          <w:highlight w:val="none"/>
        </w:rPr>
        <w:t>8%。三次产业结构为20</w:t>
      </w:r>
      <w:r>
        <w:rPr>
          <w:rFonts w:hint="eastAsia" w:ascii="MingLiU_HKSCS" w:hAnsi="MingLiU_HKSCS" w:eastAsia="MingLiU_HKSCS" w:cs="MingLiU_HKSCS"/>
          <w:highlight w:val="none"/>
        </w:rPr>
        <w:t>.</w:t>
      </w:r>
      <w:r>
        <w:rPr>
          <w:rFonts w:hint="eastAsia" w:hAnsi="宋体" w:cs="宋体"/>
          <w:highlight w:val="none"/>
        </w:rPr>
        <w:t>7 ∶40</w:t>
      </w:r>
      <w:r>
        <w:rPr>
          <w:rFonts w:hint="eastAsia" w:ascii="MingLiU_HKSCS" w:hAnsi="MingLiU_HKSCS" w:eastAsia="MingLiU_HKSCS" w:cs="MingLiU_HKSCS"/>
          <w:highlight w:val="none"/>
        </w:rPr>
        <w:t>.</w:t>
      </w:r>
      <w:r>
        <w:rPr>
          <w:rFonts w:hint="eastAsia" w:hAnsi="宋体" w:cs="宋体"/>
          <w:highlight w:val="none"/>
        </w:rPr>
        <w:t>1 ∶39</w:t>
      </w:r>
      <w:r>
        <w:rPr>
          <w:rFonts w:hint="eastAsia" w:ascii="MingLiU_HKSCS" w:hAnsi="MingLiU_HKSCS" w:eastAsia="MingLiU_HKSCS" w:cs="MingLiU_HKSCS"/>
          <w:highlight w:val="none"/>
        </w:rPr>
        <w:t>.</w:t>
      </w:r>
      <w:r>
        <w:rPr>
          <w:rFonts w:hint="eastAsia" w:hAnsi="宋体" w:cs="宋体"/>
          <w:highlight w:val="none"/>
        </w:rPr>
        <w:t>2，产业结构进一步优化。</w:t>
      </w:r>
    </w:p>
    <w:p w14:paraId="18CD1588">
      <w:pPr>
        <w:pStyle w:val="4"/>
        <w:bidi w:val="0"/>
        <w:rPr>
          <w:rFonts w:hint="eastAsia"/>
          <w:highlight w:val="none"/>
        </w:rPr>
      </w:pPr>
      <w:r>
        <w:rPr>
          <w:rFonts w:hint="eastAsia"/>
          <w:highlight w:val="none"/>
        </w:rPr>
        <w:t>【组织编制发展规划】</w:t>
      </w:r>
    </w:p>
    <w:p w14:paraId="5D0DA472">
      <w:pPr>
        <w:rPr>
          <w:rFonts w:hint="eastAsia" w:hAnsi="宋体" w:cs="宋体"/>
          <w:highlight w:val="none"/>
        </w:rPr>
      </w:pPr>
      <w:r>
        <w:rPr>
          <w:rFonts w:hint="eastAsia" w:hAnsi="宋体" w:cs="宋体"/>
          <w:highlight w:val="none"/>
        </w:rPr>
        <w:t>编制下达年度南雄国民经济和社会发展计划，强化季度、年度经济运行分析工作，做好年度计划组织实施工作。2015年编制对全市经济社会科学发展具有指导意义计划指标体系</w:t>
      </w:r>
      <w:r>
        <w:rPr>
          <w:rFonts w:hint="eastAsia" w:hAnsi="宋体" w:cs="宋体"/>
          <w:highlight w:val="none"/>
          <w:lang w:eastAsia="zh-CN"/>
        </w:rPr>
        <w:t>，</w:t>
      </w:r>
      <w:r>
        <w:rPr>
          <w:rFonts w:hint="eastAsia" w:hAnsi="宋体" w:cs="宋体"/>
          <w:highlight w:val="none"/>
        </w:rPr>
        <w:t>下达年度发展计划，指明全市经济社会发展方向。</w:t>
      </w:r>
    </w:p>
    <w:p w14:paraId="2A0B567E">
      <w:pPr>
        <w:pStyle w:val="4"/>
        <w:bidi w:val="0"/>
        <w:rPr>
          <w:rFonts w:hint="eastAsia"/>
          <w:highlight w:val="none"/>
        </w:rPr>
      </w:pPr>
      <w:r>
        <w:rPr>
          <w:rFonts w:hint="eastAsia"/>
          <w:highlight w:val="none"/>
        </w:rPr>
        <w:t>【争取项目资金】</w:t>
      </w:r>
    </w:p>
    <w:p w14:paraId="65F8F2D7">
      <w:pPr>
        <w:rPr>
          <w:rFonts w:hint="eastAsia" w:hAnsi="宋体" w:cs="宋体"/>
          <w:highlight w:val="none"/>
        </w:rPr>
      </w:pPr>
      <w:r>
        <w:rPr>
          <w:rFonts w:hint="eastAsia" w:hAnsi="宋体" w:cs="宋体"/>
          <w:highlight w:val="none"/>
        </w:rPr>
        <w:t>按照市委、市政府开展“项目落实年”的部署，开展向上争项目、争资金、争政策，2015年争取国家、省项目（资金）6项，争取上级资金7724万元，其中中央资金6592万元，省级资金1132万元。</w:t>
      </w:r>
    </w:p>
    <w:p w14:paraId="56B156FF">
      <w:pPr>
        <w:pStyle w:val="4"/>
        <w:bidi w:val="0"/>
        <w:rPr>
          <w:rFonts w:hint="eastAsia"/>
          <w:highlight w:val="none"/>
        </w:rPr>
      </w:pPr>
      <w:r>
        <w:rPr>
          <w:rFonts w:hint="eastAsia"/>
          <w:highlight w:val="none"/>
        </w:rPr>
        <w:t>【重点项目建设】</w:t>
      </w:r>
    </w:p>
    <w:p w14:paraId="6F5B88CB">
      <w:pPr>
        <w:rPr>
          <w:rFonts w:hint="eastAsia" w:hAnsi="宋体" w:cs="宋体"/>
          <w:highlight w:val="none"/>
        </w:rPr>
      </w:pPr>
      <w:r>
        <w:rPr>
          <w:rFonts w:hint="eastAsia" w:hAnsi="宋体" w:cs="宋体"/>
          <w:highlight w:val="none"/>
        </w:rPr>
        <w:t>2015年全市安排重点项目39个，年度计划投资31</w:t>
      </w:r>
      <w:r>
        <w:rPr>
          <w:rFonts w:hint="eastAsia" w:ascii="MingLiU_HKSCS" w:hAnsi="MingLiU_HKSCS" w:eastAsia="MingLiU_HKSCS" w:cs="MingLiU_HKSCS"/>
          <w:highlight w:val="none"/>
        </w:rPr>
        <w:t>.</w:t>
      </w:r>
      <w:r>
        <w:rPr>
          <w:rFonts w:hint="eastAsia" w:hAnsi="宋体" w:cs="宋体"/>
          <w:highlight w:val="none"/>
        </w:rPr>
        <w:t>6亿元，实际完成率为125%。其中列入省级在建重点项目1个，即南雄产业转移工业园，全年计划完成投资11亿元，已完成投资28</w:t>
      </w:r>
      <w:r>
        <w:rPr>
          <w:rFonts w:hint="eastAsia" w:ascii="MingLiU_HKSCS" w:hAnsi="MingLiU_HKSCS" w:eastAsia="MingLiU_HKSCS" w:cs="MingLiU_HKSCS"/>
          <w:highlight w:val="none"/>
        </w:rPr>
        <w:t>.</w:t>
      </w:r>
      <w:r>
        <w:rPr>
          <w:rFonts w:hint="eastAsia" w:hAnsi="宋体" w:cs="宋体"/>
          <w:highlight w:val="none"/>
        </w:rPr>
        <w:t>3亿元，完成率为257</w:t>
      </w:r>
      <w:r>
        <w:rPr>
          <w:rFonts w:hint="eastAsia" w:ascii="MingLiU_HKSCS" w:hAnsi="MingLiU_HKSCS" w:eastAsia="MingLiU_HKSCS" w:cs="MingLiU_HKSCS"/>
          <w:highlight w:val="none"/>
        </w:rPr>
        <w:t>.</w:t>
      </w:r>
      <w:r>
        <w:rPr>
          <w:rFonts w:hint="eastAsia" w:hAnsi="宋体" w:cs="宋体"/>
          <w:highlight w:val="none"/>
        </w:rPr>
        <w:t>2%；列入韶关市在建重点项目4个，即南雄产业转移工业园、建材五金大市场、清景农业生态休闲度假区和雄州公园，全年计划投资14亿元，实际完成投资31</w:t>
      </w:r>
      <w:r>
        <w:rPr>
          <w:rFonts w:hint="eastAsia" w:ascii="MingLiU_HKSCS" w:hAnsi="MingLiU_HKSCS" w:eastAsia="MingLiU_HKSCS" w:cs="MingLiU_HKSCS"/>
          <w:highlight w:val="none"/>
        </w:rPr>
        <w:t>.</w:t>
      </w:r>
      <w:r>
        <w:rPr>
          <w:rFonts w:hint="eastAsia" w:hAnsi="宋体" w:cs="宋体"/>
          <w:highlight w:val="none"/>
        </w:rPr>
        <w:t>4亿元，完成率为224</w:t>
      </w:r>
      <w:r>
        <w:rPr>
          <w:rFonts w:hint="eastAsia" w:ascii="MingLiU_HKSCS" w:hAnsi="MingLiU_HKSCS" w:eastAsia="MingLiU_HKSCS" w:cs="MingLiU_HKSCS"/>
          <w:highlight w:val="none"/>
        </w:rPr>
        <w:t>.</w:t>
      </w:r>
      <w:r>
        <w:rPr>
          <w:rFonts w:hint="eastAsia" w:hAnsi="宋体" w:cs="宋体"/>
          <w:highlight w:val="none"/>
        </w:rPr>
        <w:t>3%。</w:t>
      </w:r>
    </w:p>
    <w:p w14:paraId="6A4B19F8">
      <w:pPr>
        <w:pStyle w:val="4"/>
        <w:bidi w:val="0"/>
        <w:rPr>
          <w:rFonts w:hint="eastAsia"/>
          <w:highlight w:val="none"/>
        </w:rPr>
      </w:pPr>
      <w:r>
        <w:rPr>
          <w:rFonts w:hint="eastAsia"/>
          <w:highlight w:val="none"/>
        </w:rPr>
        <w:t>【华电集团热电冷联供项目】</w:t>
      </w:r>
    </w:p>
    <w:p w14:paraId="2C84F9D5">
      <w:pPr>
        <w:rPr>
          <w:rFonts w:hint="eastAsia" w:hAnsi="宋体" w:cs="宋体"/>
          <w:highlight w:val="none"/>
        </w:rPr>
      </w:pPr>
      <w:r>
        <w:rPr>
          <w:rFonts w:hint="eastAsia" w:hAnsi="宋体" w:cs="宋体"/>
          <w:highlight w:val="none"/>
        </w:rPr>
        <w:t>华电南雄热电冷联供项目历经7年取得突破性进展，4月22日获得环保部项目环境影响报告批复；5月28日，项目获得广东省发改委正式批复。8月28日，项目初步设计通过审查。项目前期工作圆满结束。</w:t>
      </w:r>
    </w:p>
    <w:p w14:paraId="48C4DFC3">
      <w:pPr>
        <w:pStyle w:val="4"/>
        <w:bidi w:val="0"/>
        <w:rPr>
          <w:rFonts w:hint="eastAsia"/>
          <w:highlight w:val="none"/>
        </w:rPr>
      </w:pPr>
      <w:r>
        <w:rPr>
          <w:rFonts w:hint="eastAsia"/>
          <w:highlight w:val="none"/>
        </w:rPr>
        <w:t>【犁牛坪风电场项目】</w:t>
      </w:r>
    </w:p>
    <w:p w14:paraId="7335E301">
      <w:pPr>
        <w:rPr>
          <w:rFonts w:hint="eastAsia" w:hAnsi="宋体" w:cs="宋体"/>
          <w:highlight w:val="none"/>
        </w:rPr>
      </w:pPr>
      <w:r>
        <w:rPr>
          <w:rFonts w:hint="eastAsia" w:hAnsi="宋体" w:cs="宋体"/>
          <w:highlight w:val="none"/>
        </w:rPr>
        <w:t>南雄犁牛坪风电场项目建设规模为49</w:t>
      </w:r>
      <w:r>
        <w:rPr>
          <w:rFonts w:hint="eastAsia" w:ascii="MingLiU_HKSCS" w:hAnsi="MingLiU_HKSCS" w:eastAsia="MingLiU_HKSCS" w:cs="MingLiU_HKSCS"/>
          <w:highlight w:val="none"/>
        </w:rPr>
        <w:t>.</w:t>
      </w:r>
      <w:r>
        <w:rPr>
          <w:rFonts w:hint="eastAsia" w:hAnsi="宋体" w:cs="宋体"/>
          <w:highlight w:val="none"/>
        </w:rPr>
        <w:t>5兆瓦，总投资4</w:t>
      </w:r>
      <w:r>
        <w:rPr>
          <w:rFonts w:hint="eastAsia" w:ascii="MingLiU_HKSCS" w:hAnsi="MingLiU_HKSCS" w:eastAsia="MingLiU_HKSCS" w:cs="MingLiU_HKSCS"/>
          <w:highlight w:val="none"/>
        </w:rPr>
        <w:t>.</w:t>
      </w:r>
      <w:r>
        <w:rPr>
          <w:rFonts w:hint="eastAsia" w:hAnsi="宋体" w:cs="宋体"/>
          <w:highlight w:val="none"/>
        </w:rPr>
        <w:t>38亿元，2015年3月16日获得省发改委核准批复（粤发改能新函〔2016〕1012号），并于11月正式动工建设。</w:t>
      </w:r>
    </w:p>
    <w:p w14:paraId="261A7615">
      <w:pPr>
        <w:pStyle w:val="4"/>
        <w:bidi w:val="0"/>
        <w:rPr>
          <w:rFonts w:hint="eastAsia"/>
          <w:highlight w:val="none"/>
        </w:rPr>
      </w:pPr>
      <w:r>
        <w:rPr>
          <w:rFonts w:hint="eastAsia"/>
          <w:highlight w:val="none"/>
        </w:rPr>
        <w:t>【“十三五”规划】</w:t>
      </w:r>
    </w:p>
    <w:p w14:paraId="1FFBEE73">
      <w:pPr>
        <w:rPr>
          <w:rFonts w:hint="eastAsia" w:hAnsi="宋体" w:cs="宋体"/>
          <w:highlight w:val="none"/>
        </w:rPr>
      </w:pPr>
      <w:r>
        <w:rPr>
          <w:rFonts w:hint="eastAsia" w:hAnsi="宋体" w:cs="宋体"/>
          <w:highlight w:val="none"/>
        </w:rPr>
        <w:t>市发改局牵头编制南雄市“十三五”规划纲要，于年初委托广东工业大学管理学院规划团队编制。此项工作从2015年3月至2016年1月，已全面完成南雄市“十三五”发展规划编制工作，并经市十四届人大人民代表大会第六次会议审核通过，绘就南雄未来五年发展蓝图。</w:t>
      </w:r>
    </w:p>
    <w:p w14:paraId="60A1DC47">
      <w:pPr>
        <w:pStyle w:val="4"/>
        <w:bidi w:val="0"/>
        <w:rPr>
          <w:rFonts w:hint="eastAsia"/>
          <w:highlight w:val="none"/>
        </w:rPr>
      </w:pPr>
      <w:r>
        <w:rPr>
          <w:rFonts w:hint="eastAsia"/>
          <w:highlight w:val="none"/>
        </w:rPr>
        <w:t>【公车改革】</w:t>
      </w:r>
    </w:p>
    <w:p w14:paraId="2ACC87E4">
      <w:pPr>
        <w:rPr>
          <w:rFonts w:hint="eastAsia" w:hAnsi="宋体" w:cs="宋体"/>
          <w:highlight w:val="none"/>
        </w:rPr>
      </w:pPr>
      <w:r>
        <w:rPr>
          <w:rFonts w:hint="eastAsia" w:hAnsi="宋体" w:cs="宋体"/>
          <w:highlight w:val="none"/>
        </w:rPr>
        <w:t>南雄市公务用车制度改革于2015年5月启动，到12月底基本结束。涉及参改单位96个，涉及参改车辆451辆（市直机关405辆，乡镇49辆），核定保留车辆270辆（市直机关225辆，乡镇45辆），取消车辆181辆（市直机关177辆，乡镇4辆）。车补按时按标准发放，经核定取消公务用车已全部封存停驶，按照《南雄市镇（街道）公务用车制度改革实施意见》进行处置车辆拍卖、司勤人员安置等工作。</w:t>
      </w:r>
    </w:p>
    <w:p w14:paraId="24C3CFAE">
      <w:pPr>
        <w:pStyle w:val="4"/>
        <w:bidi w:val="0"/>
        <w:rPr>
          <w:rFonts w:hint="eastAsia"/>
          <w:highlight w:val="none"/>
        </w:rPr>
      </w:pPr>
      <w:r>
        <w:rPr>
          <w:rFonts w:hint="eastAsia"/>
          <w:highlight w:val="none"/>
        </w:rPr>
        <w:t>【县域经济社会科学发展考核】</w:t>
      </w:r>
    </w:p>
    <w:p w14:paraId="17DB4DE1">
      <w:pPr>
        <w:rPr>
          <w:rFonts w:hint="eastAsia" w:hAnsi="宋体" w:cs="宋体"/>
          <w:highlight w:val="none"/>
        </w:rPr>
      </w:pPr>
      <w:r>
        <w:rPr>
          <w:rFonts w:hint="eastAsia" w:hAnsi="宋体" w:cs="宋体"/>
          <w:highlight w:val="none"/>
        </w:rPr>
        <w:t>2015年南雄市在韶关县（市、区）经济社会科学发展考核中获得第一名，总得分108</w:t>
      </w:r>
      <w:r>
        <w:rPr>
          <w:rFonts w:hint="eastAsia" w:ascii="MingLiU_HKSCS" w:hAnsi="MingLiU_HKSCS" w:eastAsia="MingLiU_HKSCS" w:cs="MingLiU_HKSCS"/>
          <w:highlight w:val="none"/>
        </w:rPr>
        <w:t>.</w:t>
      </w:r>
      <w:r>
        <w:rPr>
          <w:rFonts w:hint="eastAsia" w:hAnsi="宋体" w:cs="宋体"/>
          <w:highlight w:val="none"/>
        </w:rPr>
        <w:t>9分（总计120分），其中，经济指标得分率为89</w:t>
      </w:r>
      <w:r>
        <w:rPr>
          <w:rFonts w:hint="eastAsia" w:ascii="MingLiU_HKSCS" w:hAnsi="MingLiU_HKSCS" w:eastAsia="MingLiU_HKSCS" w:cs="MingLiU_HKSCS"/>
          <w:highlight w:val="none"/>
        </w:rPr>
        <w:t>.</w:t>
      </w:r>
      <w:r>
        <w:rPr>
          <w:rFonts w:hint="eastAsia" w:hAnsi="宋体" w:cs="宋体"/>
          <w:highlight w:val="none"/>
        </w:rPr>
        <w:t>9%，社会指标得分率为90</w:t>
      </w:r>
      <w:r>
        <w:rPr>
          <w:rFonts w:hint="eastAsia" w:ascii="MingLiU_HKSCS" w:hAnsi="MingLiU_HKSCS" w:eastAsia="MingLiU_HKSCS" w:cs="MingLiU_HKSCS"/>
          <w:highlight w:val="none"/>
        </w:rPr>
        <w:t>.</w:t>
      </w:r>
      <w:r>
        <w:rPr>
          <w:rFonts w:hint="eastAsia" w:hAnsi="宋体" w:cs="宋体"/>
          <w:highlight w:val="none"/>
        </w:rPr>
        <w:t>8%，人民生活指标得分率为89</w:t>
      </w:r>
      <w:r>
        <w:rPr>
          <w:rFonts w:hint="eastAsia" w:ascii="MingLiU_HKSCS" w:hAnsi="MingLiU_HKSCS" w:eastAsia="MingLiU_HKSCS" w:cs="MingLiU_HKSCS"/>
          <w:highlight w:val="none"/>
        </w:rPr>
        <w:t>.</w:t>
      </w:r>
      <w:r>
        <w:rPr>
          <w:rFonts w:hint="eastAsia" w:hAnsi="宋体" w:cs="宋体"/>
          <w:highlight w:val="none"/>
        </w:rPr>
        <w:t>4%，资源环境指标得分率为93</w:t>
      </w:r>
      <w:r>
        <w:rPr>
          <w:rFonts w:hint="eastAsia" w:ascii="MingLiU_HKSCS" w:hAnsi="MingLiU_HKSCS" w:eastAsia="MingLiU_HKSCS" w:cs="MingLiU_HKSCS"/>
          <w:highlight w:val="none"/>
        </w:rPr>
        <w:t>.</w:t>
      </w:r>
      <w:r>
        <w:rPr>
          <w:rFonts w:hint="eastAsia" w:hAnsi="宋体" w:cs="宋体"/>
          <w:highlight w:val="none"/>
        </w:rPr>
        <w:t>9%。</w:t>
      </w:r>
    </w:p>
    <w:p w14:paraId="3FEC3B61">
      <w:pPr>
        <w:pStyle w:val="4"/>
        <w:bidi w:val="0"/>
        <w:rPr>
          <w:rFonts w:hint="eastAsia"/>
          <w:highlight w:val="none"/>
        </w:rPr>
      </w:pPr>
      <w:r>
        <w:rPr>
          <w:rFonts w:hint="eastAsia"/>
          <w:highlight w:val="none"/>
        </w:rPr>
        <w:t>【价格管理】</w:t>
      </w:r>
    </w:p>
    <w:p w14:paraId="5479E7B0">
      <w:pPr>
        <w:rPr>
          <w:rFonts w:hint="eastAsia" w:hAnsi="宋体" w:eastAsia="宋体" w:cs="宋体"/>
          <w:highlight w:val="none"/>
          <w:lang w:eastAsia="zh-CN"/>
        </w:rPr>
      </w:pPr>
      <w:r>
        <w:rPr>
          <w:rFonts w:hint="eastAsia" w:hAnsi="宋体" w:cs="宋体"/>
          <w:highlight w:val="none"/>
        </w:rPr>
        <w:t>按照《政府制定价格行为规则》的规定，在2015年11月25日召开水价听证会，依时完成居民生活用水阶梯价格制度。做好《广东省定价目录（2015年版）》《行政事业性收费目录》《经营服务性目录》贯彻工作。并开展早晚稻、烤烟3个品种常规调查及直报调查、农户种植意向、农户农资购买等专项调查任务，调查点分布在全市5个乡镇，农调户15户，形成较完整成本工作调查体系。上报《气候适宜，早稻增产增收》等9篇调查分析报告，并在省价格成本调查队《广东价格成本》公开发表《南雄市2015年售粮收益增加存粮降》1篇。年内开通价格投诉“12358”四级联网，快速有效地调处各类价格投诉，2015年受理各种投诉34宗，调处率100%。</w:t>
      </w:r>
      <w:r>
        <w:rPr>
          <w:rFonts w:hint="eastAsia" w:hAnsi="宋体" w:cs="宋体"/>
          <w:highlight w:val="none"/>
          <w:lang w:eastAsia="zh-CN"/>
        </w:rPr>
        <w:t>（</w:t>
      </w:r>
      <w:r>
        <w:rPr>
          <w:rFonts w:hint="eastAsia" w:hAnsi="宋体" w:cs="宋体"/>
          <w:highlight w:val="none"/>
        </w:rPr>
        <w:t>曾莉萍</w:t>
      </w:r>
      <w:r>
        <w:rPr>
          <w:rFonts w:hint="eastAsia" w:hAnsi="宋体" w:cs="宋体"/>
          <w:highlight w:val="none"/>
          <w:lang w:eastAsia="zh-CN"/>
        </w:rPr>
        <w:t>）</w:t>
      </w:r>
    </w:p>
    <w:p w14:paraId="4D06D1C3">
      <w:pPr>
        <w:rPr>
          <w:rFonts w:hint="eastAsia" w:hAnsi="宋体" w:eastAsia="宋体" w:cs="宋体"/>
          <w:b w:val="0"/>
          <w:bCs w:val="0"/>
          <w:highlight w:val="none"/>
          <w:lang w:eastAsia="zh-CN"/>
        </w:rPr>
      </w:pPr>
      <w:r>
        <w:rPr>
          <w:rFonts w:hint="eastAsia" w:hAnsi="宋体" w:cs="宋体"/>
          <w:b w:val="0"/>
          <w:bCs w:val="0"/>
          <w:highlight w:val="none"/>
        </w:rPr>
        <w:t>附：2015年市发改局领导班子成员名单</w:t>
      </w:r>
    </w:p>
    <w:p w14:paraId="5798AC54">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长：黄文儒（4月任）</w:t>
      </w:r>
    </w:p>
    <w:p w14:paraId="0390BE16">
      <w:pPr>
        <w:rPr>
          <w:rFonts w:hint="eastAsia" w:hAnsi="宋体" w:eastAsia="宋体" w:cs="宋体"/>
          <w:b w:val="0"/>
          <w:bCs w:val="0"/>
          <w:highlight w:val="none"/>
          <w:lang w:eastAsia="zh-CN"/>
        </w:rPr>
      </w:pPr>
      <w:r>
        <w:rPr>
          <w:rFonts w:hint="eastAsia" w:hAnsi="宋体" w:cs="宋体"/>
          <w:b w:val="0"/>
          <w:bCs w:val="0"/>
          <w:highlight w:val="none"/>
        </w:rPr>
        <w:t>副局长：李指源 游伦芳</w:t>
      </w:r>
    </w:p>
    <w:p w14:paraId="62DA2B49">
      <w:pPr>
        <w:rPr>
          <w:rFonts w:hint="eastAsia" w:hAnsi="宋体" w:eastAsia="宋体" w:cs="宋体"/>
          <w:b w:val="0"/>
          <w:bCs w:val="0"/>
          <w:highlight w:val="none"/>
          <w:lang w:eastAsia="zh-CN"/>
        </w:rPr>
      </w:pPr>
      <w:r>
        <w:rPr>
          <w:rFonts w:hint="eastAsia" w:hAnsi="宋体" w:cs="宋体"/>
          <w:b w:val="0"/>
          <w:bCs w:val="0"/>
          <w:highlight w:val="none"/>
        </w:rPr>
        <w:t>纪检组长：刘金华</w:t>
      </w:r>
    </w:p>
    <w:p w14:paraId="1E5165B4">
      <w:pPr>
        <w:rPr>
          <w:rFonts w:hint="eastAsia" w:hAnsi="宋体" w:eastAsia="宋体" w:cs="宋体"/>
          <w:b w:val="0"/>
          <w:bCs w:val="0"/>
          <w:highlight w:val="none"/>
          <w:lang w:eastAsia="zh-CN"/>
        </w:rPr>
      </w:pPr>
      <w:r>
        <w:rPr>
          <w:rFonts w:hint="eastAsia" w:hAnsi="宋体" w:cs="宋体"/>
          <w:b w:val="0"/>
          <w:bCs w:val="0"/>
          <w:highlight w:val="none"/>
        </w:rPr>
        <w:t>总经济师：潘雄辉</w:t>
      </w:r>
    </w:p>
    <w:p w14:paraId="05321C70">
      <w:pPr>
        <w:rPr>
          <w:rFonts w:hint="eastAsia" w:hAnsi="宋体" w:eastAsia="宋体" w:cs="宋体"/>
          <w:b w:val="0"/>
          <w:bCs w:val="0"/>
          <w:highlight w:val="none"/>
          <w:lang w:eastAsia="zh-CN"/>
        </w:rPr>
      </w:pPr>
      <w:r>
        <w:rPr>
          <w:rFonts w:hint="eastAsia" w:hAnsi="宋体" w:cs="宋体"/>
          <w:b w:val="0"/>
          <w:bCs w:val="0"/>
          <w:highlight w:val="none"/>
        </w:rPr>
        <w:t>工会主席：张</w:t>
      </w:r>
      <w:r>
        <w:rPr>
          <w:rFonts w:hint="eastAsia" w:hAnsi="宋体" w:cs="宋体"/>
          <w:b w:val="0"/>
          <w:bCs w:val="0"/>
          <w:highlight w:val="none"/>
          <w:lang w:val="en-US" w:eastAsia="zh-CN"/>
        </w:rPr>
        <w:t xml:space="preserve">  </w:t>
      </w:r>
      <w:r>
        <w:rPr>
          <w:rFonts w:hint="eastAsia" w:hAnsi="宋体" w:cs="宋体"/>
          <w:b w:val="0"/>
          <w:bCs w:val="0"/>
          <w:highlight w:val="none"/>
        </w:rPr>
        <w:t>炎</w:t>
      </w:r>
    </w:p>
    <w:p w14:paraId="2E4F6FD3">
      <w:pPr>
        <w:pStyle w:val="3"/>
        <w:bidi w:val="0"/>
        <w:rPr>
          <w:rFonts w:hint="eastAsia"/>
          <w:highlight w:val="none"/>
        </w:rPr>
      </w:pPr>
      <w:r>
        <w:rPr>
          <w:rFonts w:hint="eastAsia"/>
          <w:highlight w:val="none"/>
        </w:rPr>
        <w:t>统计</w:t>
      </w:r>
    </w:p>
    <w:p w14:paraId="2085408F">
      <w:pPr>
        <w:pStyle w:val="4"/>
        <w:bidi w:val="0"/>
        <w:rPr>
          <w:rFonts w:hint="eastAsia"/>
          <w:highlight w:val="none"/>
        </w:rPr>
      </w:pPr>
      <w:r>
        <w:rPr>
          <w:rFonts w:hint="eastAsia"/>
          <w:highlight w:val="none"/>
        </w:rPr>
        <w:t>【概况】</w:t>
      </w:r>
    </w:p>
    <w:p w14:paraId="3B20B633">
      <w:pPr>
        <w:rPr>
          <w:rFonts w:hint="eastAsia" w:hAnsi="宋体" w:cs="宋体"/>
          <w:highlight w:val="none"/>
        </w:rPr>
      </w:pPr>
      <w:r>
        <w:rPr>
          <w:rFonts w:hint="eastAsia" w:hAnsi="宋体" w:cs="宋体"/>
          <w:highlight w:val="none"/>
        </w:rPr>
        <w:t>南雄市统计局为市人民政府工作部门，主要工作职责是组织实施全市国民经济核算和人口、经济、农业等重大市情市力普查，汇总、整理和提供有关市情市力方面的统计数据；组织实施农林牧渔业、工业、建筑业、批发和零售业、住宿和餐饮业、房地产业、租赁和商务服务业、居民服务和其他服务业、文化体育和娱乐业以及装卸搬运和其他运输服务业、仓储业、计算机服务业、软件业、科技交流和推广服务业、社会福利业等统计调查，收集、汇总、整理和提供有关调查的统计数据，综合整理和提供地质勘查、旅游、交通运输、邮政、教育、卫生、社会保障、公用事业等基本统计数据；组织实施能源、投资、消费、价格、收入、科技、人口、劳动力、社会发展基本情况、环境基本状况等统计调查，收集、汇总、整理和提供有关调查的统计数据；定期发布国民经济和社会发展情况的统计信息；对国民经济、社会发展、科技进步和资源环境等情况进行统计分析、统计预测和统计监督，向市委、市政府及有关部门提供统计信息和咨询建议。局机关行政编制10名。其中：局长1名、副局长2名；股长6名、副股长1名；后勤服务人员2名。内设办公室、综合法制股、工业交通统计股、能源统计股、社会投资股、农村贸易股等6个股（室）。2015年实有11人，其中行政编制9人，后勤服务人员2人。由统计局挂靠管理的I类事业单位市普查中心，核定事业编制8名，其中主任1名，副主任1名，2015年实有在岗人员8人。2015年，市统计局在韶关统计系统17个专业考核中，取得了5个第一名、3个第二名、4个第三名及统计服务得分第一、总分排名第一的成绩。3月，被南雄市政府评为南雄市第三次全国经济普查先进集体；4月，被韶关市统计局评为2014年统计业务优秀单位，被南雄市人大常委会确定为通报表扬单位；6月，市统计局党支部被市直工委评为先进党支部。</w:t>
      </w:r>
    </w:p>
    <w:p w14:paraId="01E9E25D">
      <w:pPr>
        <w:pStyle w:val="4"/>
        <w:bidi w:val="0"/>
        <w:rPr>
          <w:rFonts w:hint="eastAsia"/>
          <w:highlight w:val="none"/>
        </w:rPr>
      </w:pPr>
      <w:r>
        <w:rPr>
          <w:rFonts w:hint="eastAsia"/>
          <w:highlight w:val="none"/>
        </w:rPr>
        <w:t>【县级机构建设】</w:t>
      </w:r>
    </w:p>
    <w:p w14:paraId="4E73973D">
      <w:pPr>
        <w:rPr>
          <w:rFonts w:hint="eastAsia" w:hAnsi="宋体" w:cs="宋体"/>
          <w:highlight w:val="none"/>
        </w:rPr>
      </w:pPr>
      <w:r>
        <w:rPr>
          <w:rFonts w:hint="eastAsia" w:hAnsi="宋体" w:cs="宋体"/>
          <w:highlight w:val="none"/>
        </w:rPr>
        <w:t>通过统计机构和统计人员、统计调查、统计服务等6个方面的努力，市统计局已达到县级统计机构规范化建设标准，并在多年统计工作中积累一套经验，创造不少新颖做法，被省统计局评为先进县局，在省、韶关市召开统计基层基础建设工作会议上作为学习典型向其他县局推广。</w:t>
      </w:r>
    </w:p>
    <w:p w14:paraId="41344BB5">
      <w:pPr>
        <w:pStyle w:val="4"/>
        <w:bidi w:val="0"/>
        <w:rPr>
          <w:rFonts w:hint="eastAsia"/>
          <w:highlight w:val="none"/>
        </w:rPr>
      </w:pPr>
      <w:r>
        <w:rPr>
          <w:rFonts w:hint="eastAsia"/>
          <w:highlight w:val="none"/>
        </w:rPr>
        <w:t>【镇级机构建设】</w:t>
      </w:r>
    </w:p>
    <w:p w14:paraId="74301DA6">
      <w:pPr>
        <w:rPr>
          <w:rFonts w:hint="eastAsia" w:hAnsi="宋体" w:cs="宋体"/>
          <w:highlight w:val="none"/>
        </w:rPr>
      </w:pPr>
      <w:r>
        <w:rPr>
          <w:rFonts w:hint="eastAsia" w:hAnsi="宋体" w:cs="宋体"/>
          <w:highlight w:val="none"/>
        </w:rPr>
        <w:t>2015年，市统计局2次分赴各镇（街道），对镇级统计基础工作进行半年或年终检查。重点检查全市18个镇（街）在硬件设施、人员配备和统计经费方面的保障情况；统计资料装订、归档、保管和镇、村台账，以及统计法律法规宣传和业务培训开展情况。在9月14日韶关复查中，代表南雄迎检的邓坊镇、主田镇分别获得106分和100分的成绩，其中邓坊镇排名韶关市第一名，受到韶关通报表扬。</w:t>
      </w:r>
    </w:p>
    <w:p w14:paraId="3C20C066">
      <w:pPr>
        <w:pStyle w:val="4"/>
        <w:bidi w:val="0"/>
        <w:rPr>
          <w:rFonts w:hint="eastAsia"/>
          <w:highlight w:val="none"/>
        </w:rPr>
      </w:pPr>
      <w:r>
        <w:rPr>
          <w:rFonts w:hint="eastAsia"/>
          <w:highlight w:val="none"/>
        </w:rPr>
        <w:t>【企业基础建设】</w:t>
      </w:r>
    </w:p>
    <w:p w14:paraId="3459E15F">
      <w:pPr>
        <w:rPr>
          <w:rFonts w:hint="eastAsia" w:hAnsi="宋体" w:cs="宋体"/>
          <w:highlight w:val="none"/>
        </w:rPr>
      </w:pPr>
      <w:r>
        <w:rPr>
          <w:rFonts w:hint="eastAsia" w:hAnsi="宋体" w:cs="宋体"/>
          <w:highlight w:val="none"/>
        </w:rPr>
        <w:t>2015年8月至9月，市统计局对辖内68家纳入常规统计的“三上”（规模以上工业企业、限额以上批发零售及住宿餐饮企业、资质以内建筑业企业和房地产开发企业，下同）企业进行统计执法大检查。各组检查人员通过实地考察企业办公环境、人员配备、制度建设情况，查看企业财务、会计报表，逐一对比统计报表和统计台账等方式，了解企业的统计基础规范化建设情况。针对检查中发现部分企业存在统计基础不完善情况，市统计局联合行业主管部门对其进行业务指导、督促整改和跟踪落实。</w:t>
      </w:r>
    </w:p>
    <w:p w14:paraId="58FAFA06">
      <w:pPr>
        <w:pStyle w:val="4"/>
        <w:bidi w:val="0"/>
        <w:rPr>
          <w:rFonts w:hint="eastAsia"/>
          <w:highlight w:val="none"/>
        </w:rPr>
      </w:pPr>
      <w:r>
        <w:rPr>
          <w:rFonts w:hint="eastAsia"/>
          <w:highlight w:val="none"/>
        </w:rPr>
        <w:t>【人口抽样调查】</w:t>
      </w:r>
    </w:p>
    <w:p w14:paraId="21565D61">
      <w:pPr>
        <w:rPr>
          <w:rFonts w:hint="eastAsia" w:hAnsi="宋体" w:cs="宋体"/>
          <w:highlight w:val="none"/>
        </w:rPr>
      </w:pPr>
      <w:r>
        <w:rPr>
          <w:rFonts w:hint="eastAsia" w:hAnsi="宋体" w:cs="宋体"/>
          <w:highlight w:val="none"/>
        </w:rPr>
        <w:t>2015年是国务院确定的全国1%人口抽样调查年。其调查标准时点是2015年11月1日零时。调查对象为抽中调查小区内的全部人口（不包括港澳台居民和外国人）。南雄有16个镇（街道）或园区的68个调查小区被国家抽中承担本次人口抽样调查。成立南雄市2015年全国1%人口抽样调查工作协调小组及其办公室，由统计局局长肖梅山任组长。市统计局具体承担此次调查任务，通过明确各成员单位职责、抽调工作人员组成内设机构、加强业务培训、深入调查小区调研指导等手段，做好有关前期准备工作和试点工作。11月1日进入正式入户调查登记阶段后，市统计局指导各小区调查指导员和入户调查员按部就班实施调查。至11月15日完成全部调查任务，完成登记5616户，合19879人。11月下旬，进行查漏补缺和重点指标核实修正工作，以及行业、职业编码工作。至12月1日，人口抽样调查工作已完成所有入户调查、编码和数据上报工作。</w:t>
      </w:r>
    </w:p>
    <w:p w14:paraId="17164935">
      <w:pPr>
        <w:pStyle w:val="4"/>
        <w:bidi w:val="0"/>
        <w:rPr>
          <w:rFonts w:hint="eastAsia"/>
          <w:highlight w:val="none"/>
        </w:rPr>
      </w:pPr>
      <w:r>
        <w:rPr>
          <w:rFonts w:hint="eastAsia"/>
          <w:highlight w:val="none"/>
        </w:rPr>
        <w:t>【报表归口管理】</w:t>
      </w:r>
    </w:p>
    <w:p w14:paraId="27095509">
      <w:pPr>
        <w:rPr>
          <w:rFonts w:hint="eastAsia" w:hAnsi="宋体" w:cs="宋体"/>
          <w:highlight w:val="none"/>
        </w:rPr>
      </w:pPr>
      <w:r>
        <w:rPr>
          <w:rFonts w:hint="eastAsia" w:hAnsi="宋体" w:cs="宋体"/>
          <w:highlight w:val="none"/>
        </w:rPr>
        <w:t>要求行业主管部门履行工作职责，根据统计工作需要定期或不定期深入企业指导开展统计工作，帮助企业解决统计上的问题和困难，确保南雄经济健康发展；指导企业建立健全统计台账、原始记录等统计资料，不断规范企业统计工作行为。2015年，全市有214家“三上”企业建立“一企一档”资料，占全部联网直报企业的100%；督促联网直报企业统计员实行持证上岗，当年组织69人参与统计从业资格证考试。</w:t>
      </w:r>
    </w:p>
    <w:p w14:paraId="1834A9B1">
      <w:pPr>
        <w:pStyle w:val="4"/>
        <w:bidi w:val="0"/>
        <w:rPr>
          <w:rFonts w:hint="eastAsia"/>
          <w:highlight w:val="none"/>
        </w:rPr>
      </w:pPr>
      <w:r>
        <w:rPr>
          <w:rFonts w:hint="eastAsia"/>
          <w:highlight w:val="none"/>
        </w:rPr>
        <w:t>【部门联合联动】</w:t>
      </w:r>
    </w:p>
    <w:p w14:paraId="7BBA4FFC">
      <w:pPr>
        <w:rPr>
          <w:rFonts w:hint="eastAsia" w:hAnsi="宋体" w:cs="宋体"/>
          <w:highlight w:val="none"/>
        </w:rPr>
      </w:pPr>
      <w:r>
        <w:rPr>
          <w:rFonts w:hint="eastAsia" w:hAnsi="宋体" w:cs="宋体"/>
          <w:highlight w:val="none"/>
        </w:rPr>
        <w:t>联合经信、住建、园区、旅游、药监等部门，开展工业、贸易业、重点服务业的调研，深入企业实地了解生产经营情况，掌握基层第一手资料；共同促进新增“三上”企业工作。2015年申报和新增“三上”企业26家。其中，建筑业1家、房地产业2家、批发业4家、零售业3家、住宿业2家、餐饮业1家、服务业4家、工业9家。</w:t>
      </w:r>
    </w:p>
    <w:p w14:paraId="0A08CDE3">
      <w:pPr>
        <w:pStyle w:val="4"/>
        <w:bidi w:val="0"/>
        <w:rPr>
          <w:rFonts w:hint="eastAsia"/>
          <w:highlight w:val="none"/>
        </w:rPr>
      </w:pPr>
      <w:r>
        <w:rPr>
          <w:rFonts w:hint="eastAsia"/>
          <w:highlight w:val="none"/>
        </w:rPr>
        <w:t>【充实干部队伍】</w:t>
      </w:r>
    </w:p>
    <w:p w14:paraId="437CA8F7">
      <w:pPr>
        <w:rPr>
          <w:rFonts w:hint="eastAsia" w:hAnsi="宋体" w:cs="宋体"/>
          <w:highlight w:val="none"/>
        </w:rPr>
      </w:pPr>
      <w:r>
        <w:rPr>
          <w:rFonts w:hint="eastAsia" w:hAnsi="宋体" w:cs="宋体"/>
          <w:highlight w:val="none"/>
        </w:rPr>
        <w:t>申请增加1名经济普查中心人员编制，并从界址镇政府和南亩中学分别选调1名干部，充实到局机关和下属经济普查中心队伍里面担任一定职务，保证人员数量和工作效率。</w:t>
      </w:r>
    </w:p>
    <w:p w14:paraId="46B76239">
      <w:pPr>
        <w:pStyle w:val="4"/>
        <w:bidi w:val="0"/>
        <w:rPr>
          <w:rFonts w:hint="eastAsia"/>
          <w:highlight w:val="none"/>
        </w:rPr>
      </w:pPr>
      <w:r>
        <w:rPr>
          <w:rFonts w:hint="eastAsia"/>
          <w:highlight w:val="none"/>
        </w:rPr>
        <w:t>【提高人员素质】</w:t>
      </w:r>
    </w:p>
    <w:p w14:paraId="2AECCBED">
      <w:pPr>
        <w:rPr>
          <w:rFonts w:hint="eastAsia" w:hAnsi="宋体" w:cs="宋体"/>
          <w:highlight w:val="none"/>
        </w:rPr>
      </w:pPr>
      <w:r>
        <w:rPr>
          <w:rFonts w:hint="eastAsia" w:hAnsi="宋体" w:cs="宋体"/>
          <w:highlight w:val="none"/>
        </w:rPr>
        <w:t>动员局机关和下属事业单位干部参加社工考试和统计中级职称考试。在2014年已完成社工持证人数目标的前提下，2015年继续动员并支持其他干部报考，最终又有2人通过考试，加上2014年通过人数，市统计局已有5人通过社工考试，完成市下达任务的500%；另外，动员3人参加统计中级职称考试，最终有1人通过。举办统计从业资格证考试和统计继续教育。联合行业主管部门动员69名未取得从业资格证的企业统计员报名参考，最终67人通过考试，成为持证上岗合法统计员；组织2011年、2013年已领取统计从业资格证书的56人参加统计继续教育，最终全部通过考核。举办各专业统计员培训班。2015年，市统计局举办各类业务培训32场次，含内部培训、企业统计员培训和政府部门统计员培训。2015年11月，市统计局参加韶关市政府统计系统岗位技能竞赛，获得优秀县（市、区）局奖暨团体第二名成绩。</w:t>
      </w:r>
    </w:p>
    <w:p w14:paraId="32FD04C2">
      <w:pPr>
        <w:pStyle w:val="4"/>
        <w:bidi w:val="0"/>
        <w:rPr>
          <w:rFonts w:hint="eastAsia"/>
          <w:highlight w:val="none"/>
        </w:rPr>
      </w:pPr>
      <w:r>
        <w:rPr>
          <w:rFonts w:hint="eastAsia"/>
          <w:highlight w:val="none"/>
        </w:rPr>
        <w:t>【特定统计服务】</w:t>
      </w:r>
    </w:p>
    <w:p w14:paraId="2E67CD16">
      <w:pPr>
        <w:rPr>
          <w:rFonts w:hint="eastAsia" w:hAnsi="宋体" w:cs="宋体"/>
          <w:highlight w:val="none"/>
        </w:rPr>
      </w:pPr>
      <w:r>
        <w:rPr>
          <w:rFonts w:hint="eastAsia" w:hAnsi="宋体" w:cs="宋体"/>
          <w:highlight w:val="none"/>
        </w:rPr>
        <w:t>编发统计期刊。2015年市统计局共编辑并向全市副科级以上单位印发《南雄统计》28期、《南雄统计月报》10期，编印2013年和2014年统计年鉴。发送经济短讯。每月主要经济数据确定后，通过“短、平、快”方式向市领导发送经济短讯，告之全市经济发展动态和在韶关市的排名。统计信息宣传和咨询服务。2015年，市统计局为市委全会、人大会议、市政府工作会议和GDP联席会议提供统计数据。全年向市领导报送各类内参材料8篇次，编印统计分析28篇。专业人员撰写的调研分析报告，有7篇次被市、县两级党委、政府刊物采用，其中《韶关调研》采用1篇，《政府工作》采用3篇，《南雄通讯》采用3篇。撰写统计信息，被南雄政府网采用4篇，被韶关统计网站采用48篇。</w:t>
      </w:r>
    </w:p>
    <w:p w14:paraId="6692F266">
      <w:pPr>
        <w:pStyle w:val="4"/>
        <w:bidi w:val="0"/>
        <w:rPr>
          <w:rFonts w:hint="eastAsia"/>
          <w:highlight w:val="none"/>
        </w:rPr>
      </w:pPr>
      <w:r>
        <w:rPr>
          <w:rFonts w:hint="eastAsia"/>
          <w:highlight w:val="none"/>
        </w:rPr>
        <w:t>【经济普查资料开发】</w:t>
      </w:r>
    </w:p>
    <w:p w14:paraId="2914A1F8">
      <w:pPr>
        <w:rPr>
          <w:rFonts w:hint="eastAsia" w:hAnsi="宋体" w:cs="宋体"/>
          <w:highlight w:val="none"/>
        </w:rPr>
      </w:pPr>
      <w:r>
        <w:rPr>
          <w:rFonts w:hint="eastAsia" w:hAnsi="宋体" w:cs="宋体"/>
          <w:highlight w:val="none"/>
        </w:rPr>
        <w:t>第三次全国经济普查有关数据已确定并发布，市统计局组织8个专业的业务骨干对经济普查数据资料进行研究开发，历时45天，撰写专题报告8篇，并对本次经济普查工作进行总结，编印《南雄市第三次全国经济普查资料开发汇编》，分发至全市各副科级以上单位。</w:t>
      </w:r>
    </w:p>
    <w:p w14:paraId="3BFBF159">
      <w:pPr>
        <w:pStyle w:val="4"/>
        <w:bidi w:val="0"/>
        <w:rPr>
          <w:rFonts w:hint="eastAsia"/>
          <w:highlight w:val="none"/>
        </w:rPr>
      </w:pPr>
      <w:r>
        <w:rPr>
          <w:rFonts w:hint="eastAsia"/>
          <w:highlight w:val="none"/>
        </w:rPr>
        <w:t>【调研报告】</w:t>
      </w:r>
    </w:p>
    <w:p w14:paraId="19653D4D">
      <w:pPr>
        <w:rPr>
          <w:rFonts w:hint="eastAsia" w:hAnsi="宋体" w:cs="宋体"/>
          <w:highlight w:val="none"/>
        </w:rPr>
      </w:pPr>
      <w:r>
        <w:rPr>
          <w:rFonts w:hint="eastAsia" w:hAnsi="宋体" w:cs="宋体"/>
          <w:highlight w:val="none"/>
        </w:rPr>
        <w:t>4月，市统计局向各业务股室布置开展调研任务。各股室围绕本专业统计工作和行业发展情况，通过实地考察和调查了解，并与行业主管部门共享信息资料，撰写6篇调研文章，其中4篇获得市领导批示。</w:t>
      </w:r>
    </w:p>
    <w:p w14:paraId="1740A157">
      <w:pPr>
        <w:pStyle w:val="4"/>
        <w:bidi w:val="0"/>
        <w:rPr>
          <w:rFonts w:hint="eastAsia"/>
          <w:highlight w:val="none"/>
        </w:rPr>
      </w:pPr>
      <w:r>
        <w:rPr>
          <w:rFonts w:hint="eastAsia"/>
          <w:highlight w:val="none"/>
        </w:rPr>
        <w:t>【《统计之声》】</w:t>
      </w:r>
    </w:p>
    <w:p w14:paraId="2B40FE23">
      <w:pPr>
        <w:rPr>
          <w:rFonts w:hint="eastAsia" w:hAnsi="宋体" w:cs="宋体"/>
          <w:highlight w:val="none"/>
        </w:rPr>
      </w:pPr>
      <w:r>
        <w:rPr>
          <w:rFonts w:hint="eastAsia" w:hAnsi="宋体" w:cs="宋体"/>
          <w:highlight w:val="none"/>
        </w:rPr>
        <w:t>2015年，市统计局收集、汇总并筛选出2005—2014年发表过的优秀统计分析报告49篇，收录进《统计之声》，编印成册，并分发至全市副科级以上单位。</w:t>
      </w:r>
    </w:p>
    <w:p w14:paraId="6D7A29E8">
      <w:pPr>
        <w:pStyle w:val="4"/>
        <w:bidi w:val="0"/>
        <w:rPr>
          <w:rFonts w:hint="eastAsia"/>
          <w:highlight w:val="none"/>
        </w:rPr>
      </w:pPr>
      <w:r>
        <w:rPr>
          <w:rFonts w:hint="eastAsia"/>
          <w:highlight w:val="none"/>
        </w:rPr>
        <w:t>【党建工作】</w:t>
      </w:r>
    </w:p>
    <w:p w14:paraId="1F54D59B">
      <w:pPr>
        <w:rPr>
          <w:rFonts w:hint="eastAsia" w:hAnsi="宋体" w:cs="宋体"/>
          <w:highlight w:val="none"/>
        </w:rPr>
      </w:pPr>
      <w:r>
        <w:rPr>
          <w:rFonts w:hint="eastAsia" w:hAnsi="宋体" w:cs="宋体"/>
          <w:highlight w:val="none"/>
        </w:rPr>
        <w:t>研究制定《南雄市统计局2015年党风廉政建设和反腐败工作任务分解表》，对重点任务和工作责任分解细化、责任到人。组织干部职工学习十八届三中、四中、五中全会精神，开展以“守纪律、讲规矩、作表率”为主题的纪律教育学习月活动。到爱国主义教育基地——中共五岭地委旧址参观，接受革命传统教育和爱国主义教育；组织“一把手”及家属到南雄人民法院开展旁听案件庭审警示教育活动。组织在职党员参加进社区志愿服务活动，2015年组织8批、45人次参加社区清洁卫生活动，组织3人次参加市直工委组织的机关党员志愿服务进社区活动，组织10人次到雄州街道敬老院开展敬老爱老志愿活动。发展党员。2015年，支部教育考察预备党员2名，吸收预备党员1名。截至2015年12月31日，支部有党员22名，其中正式党员20名，预备党员2名。</w:t>
      </w:r>
    </w:p>
    <w:p w14:paraId="37DABD36">
      <w:pPr>
        <w:pStyle w:val="4"/>
        <w:bidi w:val="0"/>
        <w:rPr>
          <w:rFonts w:hint="eastAsia"/>
          <w:highlight w:val="none"/>
        </w:rPr>
      </w:pPr>
      <w:r>
        <w:rPr>
          <w:rFonts w:hint="eastAsia"/>
          <w:highlight w:val="none"/>
        </w:rPr>
        <w:t>【对口帮扶工作】</w:t>
      </w:r>
    </w:p>
    <w:p w14:paraId="0B8D7C0F">
      <w:pPr>
        <w:rPr>
          <w:rFonts w:hint="eastAsia" w:hAnsi="宋体" w:cs="宋体"/>
          <w:highlight w:val="none"/>
        </w:rPr>
      </w:pPr>
      <w:r>
        <w:rPr>
          <w:rFonts w:hint="eastAsia" w:hAnsi="宋体" w:cs="宋体"/>
          <w:highlight w:val="none"/>
        </w:rPr>
        <w:t>2015年，市统计局继续对口帮扶乌迳镇龙迳村，组织开展调研和结对帮扶活动5次，走访慰问困难老党员和贫困户11户次，扶持发展资金1</w:t>
      </w:r>
      <w:r>
        <w:rPr>
          <w:rFonts w:hint="eastAsia" w:ascii="MingLiU_HKSCS" w:hAnsi="MingLiU_HKSCS" w:eastAsia="MingLiU_HKSCS" w:cs="MingLiU_HKSCS"/>
          <w:highlight w:val="none"/>
        </w:rPr>
        <w:t>.</w:t>
      </w:r>
      <w:r>
        <w:rPr>
          <w:rFonts w:hint="eastAsia" w:hAnsi="宋体" w:cs="宋体"/>
          <w:highlight w:val="none"/>
        </w:rPr>
        <w:t>41万元，帮助龙迳村委会加强组织建设和计划生育工作，扶持党建经费2000元。（谭坚斌）</w:t>
      </w:r>
    </w:p>
    <w:p w14:paraId="2E902F36">
      <w:pPr>
        <w:rPr>
          <w:rFonts w:hint="eastAsia" w:hAnsi="宋体" w:eastAsia="宋体" w:cs="宋体"/>
          <w:b w:val="0"/>
          <w:bCs w:val="0"/>
          <w:highlight w:val="none"/>
          <w:lang w:eastAsia="zh-CN"/>
        </w:rPr>
      </w:pPr>
      <w:r>
        <w:rPr>
          <w:rFonts w:hint="eastAsia" w:hAnsi="宋体" w:cs="宋体"/>
          <w:b w:val="0"/>
          <w:bCs w:val="0"/>
          <w:highlight w:val="none"/>
        </w:rPr>
        <w:t>附：2015年市统计局领导班子成员名单</w:t>
      </w:r>
    </w:p>
    <w:p w14:paraId="3D8A4EEB">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长：肖梅山</w:t>
      </w:r>
    </w:p>
    <w:p w14:paraId="68706C32">
      <w:pPr>
        <w:rPr>
          <w:rFonts w:hint="eastAsia" w:hAnsi="宋体" w:cs="宋体"/>
          <w:b w:val="0"/>
          <w:bCs w:val="0"/>
          <w:highlight w:val="none"/>
        </w:rPr>
      </w:pPr>
      <w:r>
        <w:rPr>
          <w:rFonts w:hint="eastAsia" w:hAnsi="宋体" w:cs="宋体"/>
          <w:b w:val="0"/>
          <w:bCs w:val="0"/>
          <w:highlight w:val="none"/>
        </w:rPr>
        <w:t>副局长：刘宏星 曾文彬</w:t>
      </w:r>
    </w:p>
    <w:p w14:paraId="66B5CF27">
      <w:pPr>
        <w:pStyle w:val="3"/>
        <w:bidi w:val="0"/>
        <w:rPr>
          <w:rFonts w:hint="eastAsia" w:eastAsia="宋体"/>
          <w:highlight w:val="none"/>
          <w:lang w:eastAsia="zh-CN"/>
        </w:rPr>
      </w:pPr>
      <w:r>
        <w:rPr>
          <w:rFonts w:hint="eastAsia"/>
          <w:highlight w:val="none"/>
        </w:rPr>
        <w:t>农村调查</w:t>
      </w:r>
    </w:p>
    <w:p w14:paraId="41B05B19">
      <w:pPr>
        <w:pStyle w:val="4"/>
        <w:bidi w:val="0"/>
        <w:rPr>
          <w:rFonts w:hint="eastAsia"/>
          <w:highlight w:val="none"/>
        </w:rPr>
      </w:pPr>
      <w:r>
        <w:rPr>
          <w:rFonts w:hint="eastAsia"/>
          <w:highlight w:val="none"/>
        </w:rPr>
        <w:t>【概况】</w:t>
      </w:r>
    </w:p>
    <w:p w14:paraId="786B14B0">
      <w:pPr>
        <w:rPr>
          <w:rFonts w:hint="eastAsia" w:hAnsi="宋体" w:cs="宋体"/>
          <w:highlight w:val="none"/>
        </w:rPr>
      </w:pPr>
      <w:r>
        <w:rPr>
          <w:rFonts w:hint="eastAsia" w:hAnsi="宋体" w:cs="宋体"/>
          <w:highlight w:val="none"/>
        </w:rPr>
        <w:t>国家统计局南雄调查队（简称“调查队”）是国家统计局的派出机构，为正科级参公事业单位，既是政府统计调查机构，也是统计执法机构，依法独立行使统计调查、统计监督的职权，独立上报调查结果，并对上报的调查资料的真实性负责。主要职责是：完成国家统计局布置的各项统计调查任务；完成国家统计局广东调查总队（简称“广东总队”）交办的调查任务；协助地方统计局完成重大国情国力普查任务；负责查处调查队组织实施的统计调查中发生的统计违法行为；完成国家统计局和广东总队以及由总队委托地级以上市调查队交办的其他事项；经批准，接受地方政府委托的有关调查任务。2015年，高效圆满地完成了农产量和农作物播种面积、主要畜禽监测、城乡一体化住户、分市县住户、全国月度劳动力调查、农民工监测、农产品生产价格、农产品中间消耗、居民消费价格等常规调查任务和广东群众幸福感测评调查、2014年广东党风廉政建设民意调查、广东省基本公共服务均等化公众满意度调查等专项调查工作。同时，党风廉政建设、人事教育、财务管理、法制宣传、节能减排、党建、政务公开、综合业务、保密等工作全面铺开，积极响应扶贫济困方略，积极帮扶南雄市乌迳镇田心村脱贫致富，各项工作都取得了较好的成效。调查队下设办公室、住户调查股、农业调查股3个股室。核定事业编制8名，在职5名。其中：队长1名，副队长1名，纪检员1名。</w:t>
      </w:r>
    </w:p>
    <w:p w14:paraId="24FF43ED">
      <w:pPr>
        <w:pStyle w:val="4"/>
        <w:bidi w:val="0"/>
        <w:rPr>
          <w:rFonts w:hint="eastAsia"/>
          <w:highlight w:val="none"/>
        </w:rPr>
      </w:pPr>
      <w:r>
        <w:rPr>
          <w:rFonts w:hint="eastAsia"/>
          <w:highlight w:val="none"/>
        </w:rPr>
        <w:t>【纪律教育】</w:t>
      </w:r>
    </w:p>
    <w:p w14:paraId="4B9E861A">
      <w:pPr>
        <w:rPr>
          <w:rFonts w:hint="eastAsia" w:hAnsi="宋体" w:cs="宋体"/>
          <w:highlight w:val="none"/>
        </w:rPr>
      </w:pPr>
      <w:r>
        <w:rPr>
          <w:rFonts w:hint="eastAsia" w:hAnsi="宋体" w:cs="宋体"/>
          <w:highlight w:val="none"/>
        </w:rPr>
        <w:t>调查队不断强化对党的纪律执行情况、中央八项规定落实情况、领导干部履行职责情况和行使权力情况的监督检查。2015年，坚持把改进工作作风、从严治队，着力解决“不严不实”问题作为一项持久工作来抓，以“严”和“实”的态度认真查摆问题，制定整改措施，贯彻落实到位，形成长效机制。重点学习党的十八届五中全会、习近平总书记系列重要讲话精神、李克强总理、张高丽副总理等中央领导人对统计工作的重要批示以及国家统计局、总队党风廉政建设和反腐倡廉工作部署。结合“三严三实”和纪律教育月专题教育活动的开展，将《党章》、《中国共产党廉洁自律准则》、《中国共产党纪律处分条例》、中央八项规定等党纪政纪条规内容纳入了学习计划，并要求党员干部撰写相应内容的学习笔记。进行警示教育。从典型案例中接受教育，促使党员领导干部自觉坚守思想道德防线，自觉坚守廉洁从政底线，自觉坚守党纪国法红线。截至12月30日，纪检监察员共组织全体队员观看党风廉政教育片10次</w:t>
      </w:r>
      <w:r>
        <w:rPr>
          <w:rFonts w:hint="eastAsia" w:hAnsi="宋体" w:cs="宋体"/>
          <w:highlight w:val="none"/>
          <w:lang w:eastAsia="zh-CN"/>
        </w:rPr>
        <w:t>，</w:t>
      </w:r>
      <w:r>
        <w:rPr>
          <w:rFonts w:hint="eastAsia" w:hAnsi="宋体" w:cs="宋体"/>
          <w:highlight w:val="none"/>
        </w:rPr>
        <w:t>参观基地廉政教育4次</w:t>
      </w:r>
      <w:r>
        <w:rPr>
          <w:rFonts w:hint="eastAsia" w:hAnsi="宋体" w:cs="宋体"/>
          <w:highlight w:val="none"/>
          <w:lang w:eastAsia="zh-CN"/>
        </w:rPr>
        <w:t>，</w:t>
      </w:r>
      <w:r>
        <w:rPr>
          <w:rFonts w:hint="eastAsia" w:hAnsi="宋体" w:cs="宋体"/>
          <w:highlight w:val="none"/>
        </w:rPr>
        <w:t>集中学习16次，参加韶关调查队党组扩大学习会议7次，撰写学习心得153篇。</w:t>
      </w:r>
    </w:p>
    <w:p w14:paraId="7D0178DA">
      <w:pPr>
        <w:pStyle w:val="4"/>
        <w:bidi w:val="0"/>
        <w:rPr>
          <w:rFonts w:hint="eastAsia"/>
          <w:highlight w:val="none"/>
        </w:rPr>
      </w:pPr>
      <w:r>
        <w:rPr>
          <w:rFonts w:hint="eastAsia"/>
          <w:highlight w:val="none"/>
        </w:rPr>
        <w:t>【队伍建设】</w:t>
      </w:r>
    </w:p>
    <w:p w14:paraId="0E098586">
      <w:pPr>
        <w:rPr>
          <w:rFonts w:hint="eastAsia" w:hAnsi="宋体" w:cs="宋体"/>
          <w:highlight w:val="none"/>
        </w:rPr>
      </w:pPr>
      <w:r>
        <w:rPr>
          <w:rFonts w:hint="eastAsia" w:hAnsi="宋体" w:cs="宋体"/>
          <w:highlight w:val="none"/>
        </w:rPr>
        <w:t>2015年，调查队开展调查业务培训工作，落实总队相关精神，制定2015年培训计划。响应国家局、总队部署，安排1名业务骨干赴四川省成都市成都信息工程大学龙泉校区参加国家统计局第9期全国统计系统专业知识提高培训班；参加总队有关处室在市办举办的办公行政、政务信息、统计执法以及相关业务培训，按时参加总队举办各种业务培训会议，学习业务制度，并结合南雄实际情况总结经验，强化调查业务素质；9月9日、10日，集中对辅助调查员开展调查业务岗位知识培训，此外，采取下乡进村入户实地辅导的方式，采用丰富培训方法，强化调查业务素质，大大提高辅助调查员岗位知识水平，取得良好效果。</w:t>
      </w:r>
    </w:p>
    <w:p w14:paraId="00475BAE">
      <w:pPr>
        <w:pStyle w:val="4"/>
        <w:bidi w:val="0"/>
        <w:rPr>
          <w:rFonts w:hint="eastAsia"/>
          <w:highlight w:val="none"/>
        </w:rPr>
      </w:pPr>
      <w:r>
        <w:rPr>
          <w:rFonts w:hint="eastAsia"/>
          <w:highlight w:val="none"/>
        </w:rPr>
        <w:t>【农业调查】</w:t>
      </w:r>
    </w:p>
    <w:p w14:paraId="28D971A1">
      <w:pPr>
        <w:rPr>
          <w:rFonts w:hint="eastAsia" w:hAnsi="宋体" w:cs="宋体"/>
          <w:highlight w:val="none"/>
        </w:rPr>
      </w:pPr>
      <w:r>
        <w:rPr>
          <w:rFonts w:hint="eastAsia" w:hAnsi="宋体" w:cs="宋体"/>
          <w:highlight w:val="none"/>
        </w:rPr>
        <w:t>2015年是主要畜禽调查和第三次全国农业普查调查工作准备之年，在国家统计局和广东总队统一部署下，学习国家统计局和广东总队精神，参加广东总队业务部署和培训会议，学习业务知识，统筹规划调查工作，在人员少、任务重的情况下，攻坚克难完成主要畜禽监测调查样本轮换摸底工作。同时，全面贯彻落实第三次全国农业普查领导小组组长、国务院副总理汪洋关于进一步完善普查方案、做好下一阶段工作重要指示精神，国务院《关于开展第三次全国农业普查的通知》精神，广东总队关于第三次全国农业普查指示和会议精神，扎实有序地推进农业普查各项准备工作，未雨绸缪，为2016年第三次全国农业普查打好基础，铺好路基。</w:t>
      </w:r>
    </w:p>
    <w:p w14:paraId="3C8F429E">
      <w:pPr>
        <w:pStyle w:val="4"/>
        <w:bidi w:val="0"/>
        <w:rPr>
          <w:rFonts w:hint="eastAsia"/>
          <w:highlight w:val="none"/>
        </w:rPr>
      </w:pPr>
      <w:r>
        <w:rPr>
          <w:rFonts w:hint="eastAsia"/>
          <w:highlight w:val="none"/>
        </w:rPr>
        <w:t>【住户调查】</w:t>
      </w:r>
    </w:p>
    <w:p w14:paraId="1E1E08F0">
      <w:pPr>
        <w:rPr>
          <w:rFonts w:hint="eastAsia" w:hAnsi="宋体" w:cs="宋体"/>
          <w:highlight w:val="none"/>
        </w:rPr>
      </w:pPr>
      <w:r>
        <w:rPr>
          <w:rFonts w:hint="eastAsia" w:hAnsi="宋体" w:cs="宋体"/>
          <w:highlight w:val="none"/>
        </w:rPr>
        <w:t>做好城乡一体化住户调查样本轮换开户工作。强化培训力度，采用培训会议的形式对本队人员和辅助调查员进行换户流程、原则、开户技巧等方面的集中强化培训，提升业务素质；优化样本户抽取，优选记账户，选取高质量、接受能力强、记账仔细、认真负责的记账户，从根源上保证数据质量；深入走访，在确保辅助调查员规范操作基础上，与记账户深入沟通、宣传住户调查工作。2015年，南雄分市县住户调查样本数量为170户，分布在17个小区（村居）。根据170户调查结果显示，2015年市城乡居民人均可支配收入为16538</w:t>
      </w:r>
      <w:r>
        <w:rPr>
          <w:rFonts w:hint="eastAsia" w:ascii="MingLiU_HKSCS" w:hAnsi="MingLiU_HKSCS" w:eastAsia="MingLiU_HKSCS" w:cs="MingLiU_HKSCS"/>
          <w:highlight w:val="none"/>
        </w:rPr>
        <w:t>.</w:t>
      </w:r>
      <w:r>
        <w:rPr>
          <w:rFonts w:hint="eastAsia" w:hAnsi="宋体" w:cs="宋体"/>
          <w:highlight w:val="none"/>
        </w:rPr>
        <w:t>1元，同比增长10</w:t>
      </w:r>
      <w:r>
        <w:rPr>
          <w:rFonts w:hint="eastAsia" w:ascii="MingLiU_HKSCS" w:hAnsi="MingLiU_HKSCS" w:eastAsia="MingLiU_HKSCS" w:cs="MingLiU_HKSCS"/>
          <w:highlight w:val="none"/>
        </w:rPr>
        <w:t>.</w:t>
      </w:r>
      <w:r>
        <w:rPr>
          <w:rFonts w:hint="eastAsia" w:hAnsi="宋体" w:cs="宋体"/>
          <w:highlight w:val="none"/>
        </w:rPr>
        <w:t>10%，其中：城镇居民人均可支配收入为20455</w:t>
      </w:r>
      <w:r>
        <w:rPr>
          <w:rFonts w:hint="eastAsia" w:ascii="MingLiU_HKSCS" w:hAnsi="MingLiU_HKSCS" w:eastAsia="MingLiU_HKSCS" w:cs="MingLiU_HKSCS"/>
          <w:highlight w:val="none"/>
        </w:rPr>
        <w:t>.</w:t>
      </w:r>
      <w:r>
        <w:rPr>
          <w:rFonts w:hint="eastAsia" w:hAnsi="宋体" w:cs="宋体"/>
          <w:highlight w:val="none"/>
        </w:rPr>
        <w:t>7元，同比增长9</w:t>
      </w:r>
      <w:r>
        <w:rPr>
          <w:rFonts w:hint="eastAsia" w:ascii="MingLiU_HKSCS" w:hAnsi="MingLiU_HKSCS" w:eastAsia="MingLiU_HKSCS" w:cs="MingLiU_HKSCS"/>
          <w:highlight w:val="none"/>
        </w:rPr>
        <w:t>.</w:t>
      </w:r>
      <w:r>
        <w:rPr>
          <w:rFonts w:hint="eastAsia" w:hAnsi="宋体" w:cs="宋体"/>
          <w:highlight w:val="none"/>
        </w:rPr>
        <w:t>80%；农村居民人均可支配收入为11106</w:t>
      </w:r>
      <w:r>
        <w:rPr>
          <w:rFonts w:hint="eastAsia" w:ascii="MingLiU_HKSCS" w:hAnsi="MingLiU_HKSCS" w:eastAsia="MingLiU_HKSCS" w:cs="MingLiU_HKSCS"/>
          <w:highlight w:val="none"/>
        </w:rPr>
        <w:t>.</w:t>
      </w:r>
      <w:r>
        <w:rPr>
          <w:rFonts w:hint="eastAsia" w:hAnsi="宋体" w:cs="宋体"/>
          <w:highlight w:val="none"/>
        </w:rPr>
        <w:t>8元，同比增长10</w:t>
      </w:r>
      <w:r>
        <w:rPr>
          <w:rFonts w:hint="eastAsia" w:ascii="MingLiU_HKSCS" w:hAnsi="MingLiU_HKSCS" w:eastAsia="MingLiU_HKSCS" w:cs="MingLiU_HKSCS"/>
          <w:highlight w:val="none"/>
        </w:rPr>
        <w:t>.</w:t>
      </w:r>
      <w:r>
        <w:rPr>
          <w:rFonts w:hint="eastAsia" w:hAnsi="宋体" w:cs="宋体"/>
          <w:highlight w:val="none"/>
        </w:rPr>
        <w:t>90%。</w:t>
      </w:r>
    </w:p>
    <w:p w14:paraId="6822E659">
      <w:pPr>
        <w:rPr>
          <w:rFonts w:hint="eastAsia" w:hAnsi="宋体" w:cs="宋体"/>
          <w:highlight w:val="none"/>
        </w:rPr>
      </w:pPr>
      <w:r>
        <w:rPr>
          <w:rFonts w:hint="eastAsia" w:hAnsi="宋体" w:cs="宋体"/>
          <w:highlight w:val="none"/>
        </w:rPr>
        <w:t>随着社会发展，科技进步，信息化智能化手段在统计调查上的应用不断进步，记账工作也由30多年纸介质账本正在转变为手机或电脑等电子产品记账，2015年，初步赛选10户作为电子记账试点，为以后逐步全面推广电子记账积累经验。</w:t>
      </w:r>
    </w:p>
    <w:p w14:paraId="4782250B">
      <w:pPr>
        <w:pStyle w:val="4"/>
        <w:bidi w:val="0"/>
        <w:rPr>
          <w:rFonts w:hint="eastAsia"/>
          <w:highlight w:val="none"/>
        </w:rPr>
      </w:pPr>
      <w:r>
        <w:rPr>
          <w:rFonts w:hint="eastAsia"/>
          <w:highlight w:val="none"/>
        </w:rPr>
        <w:t>【全国月度劳动力调查】</w:t>
      </w:r>
    </w:p>
    <w:p w14:paraId="31FD08B1">
      <w:pPr>
        <w:rPr>
          <w:rFonts w:hint="eastAsia" w:hAnsi="宋体" w:cs="宋体"/>
          <w:highlight w:val="none"/>
        </w:rPr>
      </w:pPr>
      <w:r>
        <w:rPr>
          <w:rFonts w:hint="eastAsia" w:hAnsi="宋体" w:cs="宋体"/>
          <w:highlight w:val="none"/>
        </w:rPr>
        <w:t>为更加真实准确、灵敏及时地反映就业、失业状况，更好地为国家宏观调控和经济发展新常态服务，国家统计局建立全国月度劳动力调查制度，并于2015年7月实施。南雄抽中12个样本小区，以全面采用手持电子终端（PDA）采集调查数据的方式开展劳动力调查试调查。</w:t>
      </w:r>
    </w:p>
    <w:p w14:paraId="71589CE6">
      <w:pPr>
        <w:pStyle w:val="4"/>
        <w:bidi w:val="0"/>
        <w:rPr>
          <w:rFonts w:hint="eastAsia"/>
          <w:highlight w:val="none"/>
        </w:rPr>
      </w:pPr>
      <w:r>
        <w:rPr>
          <w:rFonts w:hint="eastAsia"/>
          <w:highlight w:val="none"/>
        </w:rPr>
        <w:t>【依法治统】</w:t>
      </w:r>
    </w:p>
    <w:p w14:paraId="66C383F4">
      <w:pPr>
        <w:rPr>
          <w:rFonts w:hint="eastAsia" w:hAnsi="宋体" w:cs="宋体"/>
          <w:highlight w:val="none"/>
        </w:rPr>
      </w:pPr>
      <w:r>
        <w:rPr>
          <w:rFonts w:hint="eastAsia" w:hAnsi="宋体" w:cs="宋体"/>
          <w:highlight w:val="none"/>
        </w:rPr>
        <w:t>2015年南雄队成立以队长陈伦明同志任组长统计法治宣传活动领导小组，明确此次统计法治宣传活动的具体分工。于12月开展以12月4日“国家宪法日”和12月8日《统计法》颁布纪念日为主要时点，以宪法和统计法为主要宣传内容的系列统计法治宣传教育活动。同时，利用各项调查工作年报下乡时机，深入田间地头，走进千家万户，以唠家常、讲案例等通俗易懂的形式向群众、调查户、辅助调查员等大力宣传宪法和统计法知识，真正做到统计法规进村，宪法宣传到户。不仅向全社会宣传统计法治知识，也让南雄调查队全体干部职工受到教育，为今后依法调查、依法统计打下了坚实的基础。</w:t>
      </w:r>
    </w:p>
    <w:p w14:paraId="53478D39">
      <w:pPr>
        <w:pStyle w:val="4"/>
        <w:bidi w:val="0"/>
        <w:rPr>
          <w:rFonts w:hint="eastAsia"/>
          <w:highlight w:val="none"/>
        </w:rPr>
      </w:pPr>
      <w:r>
        <w:rPr>
          <w:rFonts w:hint="eastAsia"/>
          <w:highlight w:val="none"/>
        </w:rPr>
        <w:t>【统计服务】</w:t>
      </w:r>
    </w:p>
    <w:p w14:paraId="71A8FC8D">
      <w:pPr>
        <w:rPr>
          <w:rFonts w:hint="eastAsia" w:hAnsi="宋体" w:cs="宋体"/>
          <w:highlight w:val="none"/>
        </w:rPr>
      </w:pPr>
      <w:r>
        <w:rPr>
          <w:rFonts w:hint="eastAsia" w:hAnsi="宋体" w:cs="宋体"/>
          <w:highlight w:val="none"/>
        </w:rPr>
        <w:t>2015年，南雄队上报70篇政务信息，广东总队及其他处室内网刊登篇数为21篇；上报经济信息10篇，总队内网刊登篇数为3篇，其中：2015年度市县（区）国家调查队优秀统计分析报告评选中，由信息员原佛光、曾志明撰写《白酒产业发展的问题与建议》获得二等奖；由信息员郭谋富、陈慧洋撰写的《畜牧业发展调研报告》获得三等奖。上报统计信息1篇。（刘伊芸）</w:t>
      </w:r>
    </w:p>
    <w:p w14:paraId="3D6B3C14">
      <w:pPr>
        <w:rPr>
          <w:rFonts w:hint="eastAsia" w:hAnsi="宋体" w:eastAsia="宋体" w:cs="宋体"/>
          <w:b w:val="0"/>
          <w:bCs w:val="0"/>
          <w:highlight w:val="none"/>
          <w:lang w:eastAsia="zh-CN"/>
        </w:rPr>
      </w:pPr>
      <w:r>
        <w:rPr>
          <w:rFonts w:hint="eastAsia" w:hAnsi="宋体" w:cs="宋体"/>
          <w:b w:val="0"/>
          <w:bCs w:val="0"/>
          <w:highlight w:val="none"/>
        </w:rPr>
        <w:t>附：2015年国家统计局南雄调查队领导班子成员名单</w:t>
      </w:r>
    </w:p>
    <w:p w14:paraId="7492E5F6">
      <w:pPr>
        <w:rPr>
          <w:rFonts w:hint="eastAsia" w:hAnsi="宋体" w:eastAsia="宋体" w:cs="宋体"/>
          <w:b w:val="0"/>
          <w:bCs w:val="0"/>
          <w:highlight w:val="none"/>
          <w:lang w:eastAsia="zh-CN"/>
        </w:rPr>
      </w:pPr>
      <w:r>
        <w:rPr>
          <w:rFonts w:hint="eastAsia" w:hAnsi="宋体" w:cs="宋体"/>
          <w:b w:val="0"/>
          <w:bCs w:val="0"/>
          <w:highlight w:val="none"/>
        </w:rPr>
        <w:t>队</w:t>
      </w:r>
      <w:r>
        <w:rPr>
          <w:rFonts w:hint="eastAsia" w:hAnsi="宋体" w:cs="宋体"/>
          <w:b w:val="0"/>
          <w:bCs w:val="0"/>
          <w:highlight w:val="none"/>
          <w:lang w:val="en-US" w:eastAsia="zh-CN"/>
        </w:rPr>
        <w:t xml:space="preserve">  </w:t>
      </w:r>
      <w:r>
        <w:rPr>
          <w:rFonts w:hint="eastAsia" w:hAnsi="宋体" w:cs="宋体"/>
          <w:b w:val="0"/>
          <w:bCs w:val="0"/>
          <w:highlight w:val="none"/>
        </w:rPr>
        <w:t>长：陈伦明</w:t>
      </w:r>
    </w:p>
    <w:p w14:paraId="385F296C">
      <w:pPr>
        <w:rPr>
          <w:rFonts w:hint="eastAsia" w:hAnsi="宋体" w:eastAsia="宋体" w:cs="宋体"/>
          <w:b w:val="0"/>
          <w:bCs w:val="0"/>
          <w:highlight w:val="none"/>
          <w:lang w:eastAsia="zh-CN"/>
        </w:rPr>
      </w:pPr>
      <w:r>
        <w:rPr>
          <w:rFonts w:hint="eastAsia" w:hAnsi="宋体" w:cs="宋体"/>
          <w:b w:val="0"/>
          <w:bCs w:val="0"/>
          <w:highlight w:val="none"/>
        </w:rPr>
        <w:t>副队长：蔡仁生</w:t>
      </w:r>
    </w:p>
    <w:p w14:paraId="516A0431">
      <w:pPr>
        <w:rPr>
          <w:rFonts w:hint="eastAsia" w:hAnsi="宋体" w:cs="宋体"/>
          <w:b w:val="0"/>
          <w:bCs w:val="0"/>
          <w:highlight w:val="none"/>
        </w:rPr>
      </w:pPr>
      <w:r>
        <w:rPr>
          <w:rFonts w:hint="eastAsia" w:hAnsi="宋体" w:cs="宋体"/>
          <w:b w:val="0"/>
          <w:bCs w:val="0"/>
          <w:highlight w:val="none"/>
        </w:rPr>
        <w:t>纪检员：郭谋富</w:t>
      </w:r>
    </w:p>
    <w:p w14:paraId="09B2E3A5">
      <w:pPr>
        <w:pStyle w:val="3"/>
        <w:bidi w:val="0"/>
        <w:rPr>
          <w:rFonts w:hint="eastAsia"/>
          <w:highlight w:val="none"/>
        </w:rPr>
      </w:pPr>
      <w:r>
        <w:rPr>
          <w:rFonts w:hint="eastAsia"/>
          <w:highlight w:val="none"/>
        </w:rPr>
        <w:t>审计</w:t>
      </w:r>
    </w:p>
    <w:p w14:paraId="67DA16E2">
      <w:pPr>
        <w:pStyle w:val="4"/>
        <w:bidi w:val="0"/>
        <w:rPr>
          <w:rFonts w:hint="eastAsia"/>
          <w:highlight w:val="none"/>
        </w:rPr>
      </w:pPr>
      <w:r>
        <w:rPr>
          <w:rFonts w:hint="eastAsia"/>
          <w:highlight w:val="none"/>
        </w:rPr>
        <w:t>【概况】</w:t>
      </w:r>
    </w:p>
    <w:p w14:paraId="0716E507">
      <w:pPr>
        <w:rPr>
          <w:rFonts w:hint="eastAsia" w:hAnsi="宋体" w:cs="宋体"/>
          <w:highlight w:val="none"/>
        </w:rPr>
      </w:pPr>
      <w:r>
        <w:rPr>
          <w:rFonts w:hint="eastAsia" w:hAnsi="宋体" w:cs="宋体"/>
          <w:highlight w:val="none"/>
        </w:rPr>
        <w:t>市审计局是市人民政府组成部门，根据市政府办《关于印发南雄市审计局主要职责内设机构和人员编制规定的通知》，赋予审计监督的职能，内设办公室、法规审理股、经济责任审计办公室、财税金融与外资审计股、行政事业与经贸审计股、农业与资源环保审计股六个股室，2015年末，市审计局在职人员15人，其中行政管理人员5人，审计业务人员8人，工勤人员2人。</w:t>
      </w:r>
    </w:p>
    <w:p w14:paraId="36777F8C">
      <w:pPr>
        <w:rPr>
          <w:rFonts w:hint="eastAsia" w:hAnsi="宋体" w:cs="宋体"/>
          <w:highlight w:val="none"/>
        </w:rPr>
      </w:pPr>
      <w:r>
        <w:rPr>
          <w:rFonts w:hint="eastAsia" w:hAnsi="宋体" w:cs="宋体"/>
          <w:highlight w:val="none"/>
        </w:rPr>
        <w:t>2015年，完成审计项目24项，查出管理不规范金额1</w:t>
      </w:r>
      <w:r>
        <w:rPr>
          <w:rFonts w:hint="eastAsia" w:ascii="MingLiU_HKSCS" w:hAnsi="MingLiU_HKSCS" w:eastAsia="MingLiU_HKSCS" w:cs="MingLiU_HKSCS"/>
          <w:highlight w:val="none"/>
        </w:rPr>
        <w:t>.</w:t>
      </w:r>
      <w:r>
        <w:rPr>
          <w:rFonts w:hint="eastAsia" w:hAnsi="宋体" w:cs="宋体"/>
          <w:highlight w:val="none"/>
        </w:rPr>
        <w:t>39亿元，非金额计量问题37个，提出审计建议22条。通过审计整改，上缴财政2157</w:t>
      </w:r>
      <w:r>
        <w:rPr>
          <w:rFonts w:hint="eastAsia" w:ascii="MingLiU_HKSCS" w:hAnsi="MingLiU_HKSCS" w:eastAsia="MingLiU_HKSCS" w:cs="MingLiU_HKSCS"/>
          <w:highlight w:val="none"/>
        </w:rPr>
        <w:t>.</w:t>
      </w:r>
      <w:r>
        <w:rPr>
          <w:rFonts w:hint="eastAsia" w:hAnsi="宋体" w:cs="宋体"/>
          <w:highlight w:val="none"/>
        </w:rPr>
        <w:t>48万元，清理盘活财政存量资金1</w:t>
      </w:r>
      <w:r>
        <w:rPr>
          <w:rFonts w:hint="eastAsia" w:ascii="MingLiU_HKSCS" w:hAnsi="MingLiU_HKSCS" w:eastAsia="MingLiU_HKSCS" w:cs="MingLiU_HKSCS"/>
          <w:highlight w:val="none"/>
        </w:rPr>
        <w:t>.</w:t>
      </w:r>
      <w:r>
        <w:rPr>
          <w:rFonts w:hint="eastAsia" w:hAnsi="宋体" w:cs="宋体"/>
          <w:highlight w:val="none"/>
        </w:rPr>
        <w:t>84亿元，切实发挥审计为经济社会发展保驾护航职能作用。</w:t>
      </w:r>
    </w:p>
    <w:p w14:paraId="0A94E97E">
      <w:pPr>
        <w:pStyle w:val="4"/>
        <w:bidi w:val="0"/>
        <w:rPr>
          <w:rFonts w:hint="eastAsia"/>
          <w:highlight w:val="none"/>
        </w:rPr>
      </w:pPr>
      <w:r>
        <w:rPr>
          <w:rFonts w:hint="eastAsia"/>
          <w:highlight w:val="none"/>
        </w:rPr>
        <w:t>【队伍建设】</w:t>
      </w:r>
    </w:p>
    <w:p w14:paraId="3210036F">
      <w:pPr>
        <w:rPr>
          <w:rFonts w:hint="eastAsia" w:hAnsi="宋体" w:cs="宋体"/>
          <w:highlight w:val="none"/>
        </w:rPr>
      </w:pPr>
      <w:r>
        <w:rPr>
          <w:rFonts w:hint="eastAsia" w:hAnsi="宋体" w:cs="宋体"/>
          <w:highlight w:val="none"/>
        </w:rPr>
        <w:t>2015年，市审计局不断规范运行机制，加强党支部各项建设和抓好队伍教育管理。开展党的群众路线教育实践活动整改落实情况“回头看”工作，对整改落实、专项整治进展、制度建设等方面情况进行自查，查漏补缺，进一步巩固实践活动成果。组织开展党日活动和党员志愿活动。结合“植树节”和绿化南雄行动，组织全体党员干部前往里东村开展义务植树活动；结合“双学双比”活动和巩卫工作开展卫生整治活动，组织全体党员干部对林荫路老局大院进行清理；结合市委“党员进社区开展志愿服务活动”的开展，组织党员到新城西社区和民主社区慰问困难群众、打扫街道卫生；响应上级党组织号召，组织党员积极捐献互助金。做好党务公开工作。局党支部对党员的基本情况、党费收缴情况、党员“双向承诺”事项和支部的动态及时进行公开公示，有效约束和规范党员干部的执政行为，提高党员干部反腐倡廉的自觉性。开展专题党课活动。支部书记陈宏华以践行“三严三实”为题为全体人员上专题党课；支部副书记朱志康围绕保密专题为审计人员展开授课。</w:t>
      </w:r>
    </w:p>
    <w:p w14:paraId="4B6AB322">
      <w:pPr>
        <w:pStyle w:val="4"/>
        <w:bidi w:val="0"/>
        <w:rPr>
          <w:rFonts w:hint="eastAsia"/>
          <w:highlight w:val="none"/>
        </w:rPr>
      </w:pPr>
      <w:r>
        <w:rPr>
          <w:rFonts w:hint="eastAsia"/>
          <w:highlight w:val="none"/>
        </w:rPr>
        <w:t>【预算执行审计】</w:t>
      </w:r>
    </w:p>
    <w:p w14:paraId="154E022A">
      <w:pPr>
        <w:rPr>
          <w:rFonts w:hint="eastAsia" w:hAnsi="宋体" w:cs="宋体"/>
          <w:highlight w:val="none"/>
        </w:rPr>
      </w:pPr>
      <w:r>
        <w:rPr>
          <w:rFonts w:hint="eastAsia" w:hAnsi="宋体" w:cs="宋体"/>
          <w:highlight w:val="none"/>
        </w:rPr>
        <w:t>2015年，市审计局按照加强政府“全口径”预算审查监督的要求，对2014年度本级预算执行和其他财政收支情况进行审计。对市财政收支预算编制的真实性、完整性、规范性以及执行效益效果情况进行审计，分析评价预算执行总体状况，重点关注预算收入归集的情况，审查税收收入完成情况、非税收入征收、解缴、管理和“收支两条线”执行情况；从财政资金管理的安全性、合规性、效益性着手，重点关注市本级财政存量增量资金规模和结构情况，核实财政资金在国库和商业银行账户的结存数额，核实财政资金在地方性商业银行的存款安全性，揭示资金管理存在的安全隐患，并分析原因，提出加强管理、促进盘活资金的审计建议；从关注市重点项目资金的管理使用情况着手，对山区和农村边远地区义务教育学校教师岗位津贴、农村边远地区乡镇卫生院医务人员岗位津贴、森林培育和计生事业经费等专项资金进行审计，促进提高财政资金使用效益。并对基层卫生机构药品采购资金进行审计调查，防范新增政府债务；对古市镇、澜河镇、市民政局和市环保局2014年预算执行情况进行延伸审计。对个别单位存在项目资金监督管理不到位、非税收入管理、资产管理和公务接待管理等不规范问题，及时下达审计决定，责令相关单位严格执行有关规定，保证财政资金合规使用。</w:t>
      </w:r>
    </w:p>
    <w:p w14:paraId="6EB4C66D">
      <w:pPr>
        <w:pStyle w:val="4"/>
        <w:bidi w:val="0"/>
        <w:rPr>
          <w:rFonts w:hint="eastAsia"/>
          <w:highlight w:val="none"/>
        </w:rPr>
      </w:pPr>
      <w:r>
        <w:rPr>
          <w:rFonts w:hint="eastAsia"/>
          <w:highlight w:val="none"/>
        </w:rPr>
        <w:t>【经济责任审计】</w:t>
      </w:r>
    </w:p>
    <w:p w14:paraId="641F058C">
      <w:pPr>
        <w:rPr>
          <w:rFonts w:hint="eastAsia" w:hAnsi="宋体" w:cs="宋体"/>
          <w:highlight w:val="none"/>
        </w:rPr>
      </w:pPr>
      <w:r>
        <w:rPr>
          <w:rFonts w:hint="eastAsia" w:hAnsi="宋体" w:cs="宋体"/>
          <w:highlight w:val="none"/>
        </w:rPr>
        <w:t>2015年完成经济责任审计项目11项，查出管理不规范金额2638万元，切实发挥经济责任审计在规范财经管理、维护经济秩序、加强对权力制约和监督、促进党风廉政建设和反腐败等方面的预警防范作用。调整市经济责任审计工作领导小组成员，由市长担任组长，通过强化领导小组责任，促进经济责任审计工作的协调配合和高效有序开展；拓展经济责任审计内容。将领导干部履行法定职责、贯彻执行中央重大决策部署和</w:t>
      </w:r>
      <w:r>
        <w:rPr>
          <w:rFonts w:hint="eastAsia" w:cs="宋体"/>
          <w:highlight w:val="none"/>
          <w:lang w:val="en-US" w:eastAsia="zh-CN"/>
        </w:rPr>
        <w:t>中央</w:t>
      </w:r>
      <w:r>
        <w:rPr>
          <w:rFonts w:hint="eastAsia" w:hAnsi="宋体" w:cs="宋体"/>
          <w:highlight w:val="none"/>
        </w:rPr>
        <w:t>八项规定、厉行节约反对浪费以及遵守廉洁自律有关规定情况纳入必审内容，加强对权力监督，促进廉洁政府建设；对乡镇党政主要领导干部经济责任审计中发现的项目资金管理不规范等比较突出以及共性问题，形成专题工作报告报送市委、市政府主要领导，并在镇党委书记、镇长参加专题会议上通报审计相关情况；扩大2015年全市乡镇（街道）党政主要领导干部经济责任异地同步审计结果运用范围，要求各乡镇对照审计反映的问题开展自查及整改工作，规范乡镇经济管理行为，提升财政财务管理水平；向新上任党政主要领导干部发出告知书20份，使新任领导干部明确应履行经济责任，增强领导干部经济管理的</w:t>
      </w:r>
      <w:r>
        <w:rPr>
          <w:rFonts w:hint="eastAsia" w:cs="宋体"/>
          <w:highlight w:val="none"/>
          <w:lang w:eastAsia="zh-CN"/>
        </w:rPr>
        <w:t>法治意识</w:t>
      </w:r>
      <w:r>
        <w:rPr>
          <w:rFonts w:hint="eastAsia" w:hAnsi="宋体" w:cs="宋体"/>
          <w:highlight w:val="none"/>
        </w:rPr>
        <w:t>、风险意识和责任意识，促进领导干部守法守纪守规尽责；抽调1人参加省厅组织县（市、区）党政主要领导干部经济责任异地同步审计工作，抽调3人参加韶关市审计局组织的镇党委书记、镇长经济责任异地同步审计工作，并协助韶关市审计组对油山镇、南亩镇审计工作。</w:t>
      </w:r>
    </w:p>
    <w:p w14:paraId="1CC6EA62">
      <w:pPr>
        <w:pStyle w:val="4"/>
        <w:bidi w:val="0"/>
        <w:rPr>
          <w:rFonts w:hint="eastAsia"/>
          <w:highlight w:val="none"/>
        </w:rPr>
      </w:pPr>
      <w:r>
        <w:rPr>
          <w:rFonts w:hint="eastAsia"/>
          <w:highlight w:val="none"/>
        </w:rPr>
        <w:t>【稳增长跟踪审计】</w:t>
      </w:r>
    </w:p>
    <w:p w14:paraId="65D66F53">
      <w:pPr>
        <w:rPr>
          <w:rFonts w:hint="eastAsia" w:hAnsi="宋体" w:cs="宋体"/>
          <w:highlight w:val="none"/>
        </w:rPr>
      </w:pPr>
      <w:r>
        <w:rPr>
          <w:rFonts w:hint="eastAsia" w:hAnsi="宋体" w:cs="宋体"/>
          <w:highlight w:val="none"/>
        </w:rPr>
        <w:t>2015年，市审计局发挥重大政策落实“督查员”作用，对贯彻落实稳增长促改革调结构惠民生防风险政策措施情况进行跟踪审计，重点审计城镇保障性安居工程、中小河流治理、横江灌区节水改造等重大水利建设工程、垃圾填埋场等城市基础设施建设项目资金19026</w:t>
      </w:r>
      <w:r>
        <w:rPr>
          <w:rFonts w:hint="eastAsia" w:ascii="MingLiU_HKSCS" w:hAnsi="MingLiU_HKSCS" w:eastAsia="MingLiU_HKSCS" w:cs="MingLiU_HKSCS"/>
          <w:highlight w:val="none"/>
        </w:rPr>
        <w:t>.</w:t>
      </w:r>
      <w:r>
        <w:rPr>
          <w:rFonts w:hint="eastAsia" w:hAnsi="宋体" w:cs="宋体"/>
          <w:highlight w:val="none"/>
        </w:rPr>
        <w:t>38万元；中央彩票公益金支持南雄革命老区扶贫开发项目、农村低收入住房困难户住房改造专项等扶贫资金1234</w:t>
      </w:r>
      <w:r>
        <w:rPr>
          <w:rFonts w:hint="eastAsia" w:ascii="MingLiU_HKSCS" w:hAnsi="MingLiU_HKSCS" w:eastAsia="MingLiU_HKSCS" w:cs="MingLiU_HKSCS"/>
          <w:highlight w:val="none"/>
        </w:rPr>
        <w:t>.</w:t>
      </w:r>
      <w:r>
        <w:rPr>
          <w:rFonts w:hint="eastAsia" w:hAnsi="宋体" w:cs="宋体"/>
          <w:highlight w:val="none"/>
        </w:rPr>
        <w:t>55万元，医疗救助、低保资金等社会救助和保障资金2905</w:t>
      </w:r>
      <w:r>
        <w:rPr>
          <w:rFonts w:hint="eastAsia" w:ascii="MingLiU_HKSCS" w:hAnsi="MingLiU_HKSCS" w:eastAsia="MingLiU_HKSCS" w:cs="MingLiU_HKSCS"/>
          <w:highlight w:val="none"/>
        </w:rPr>
        <w:t>.</w:t>
      </w:r>
      <w:r>
        <w:rPr>
          <w:rFonts w:hint="eastAsia" w:hAnsi="宋体" w:cs="宋体"/>
          <w:highlight w:val="none"/>
        </w:rPr>
        <w:t>91万元。通过审计，推动中央和省委、省政府关于稳增长、促改革、调结构、惠民生、防风险政策措施落实到位，促进南雄经济平稳运行、健康发展。</w:t>
      </w:r>
    </w:p>
    <w:p w14:paraId="53FEA3D3">
      <w:pPr>
        <w:pStyle w:val="4"/>
        <w:bidi w:val="0"/>
        <w:rPr>
          <w:rFonts w:hint="eastAsia"/>
          <w:highlight w:val="none"/>
        </w:rPr>
      </w:pPr>
      <w:r>
        <w:rPr>
          <w:rFonts w:hint="eastAsia"/>
          <w:highlight w:val="none"/>
        </w:rPr>
        <w:t>【审计亮点工作】</w:t>
      </w:r>
    </w:p>
    <w:p w14:paraId="72C31D93">
      <w:pPr>
        <w:rPr>
          <w:rFonts w:hint="eastAsia" w:hAnsi="宋体" w:cs="宋体"/>
          <w:highlight w:val="none"/>
        </w:rPr>
      </w:pPr>
      <w:r>
        <w:rPr>
          <w:rFonts w:hint="eastAsia" w:hAnsi="宋体" w:cs="宋体"/>
          <w:highlight w:val="none"/>
        </w:rPr>
        <w:t>2015年，市审计局开展以提高政府投资效益、加强国有资本、国有资产运营管理为目标的“政府投资民生项目审计”和“国有资本（资产）运营审计”亮点工作，进一步提升审计绩效，更好地发挥审计在守护公共利益、推进“廉洁政府、俭朴政府、法治政府”建设等方面的保障功能。加强对政府投资民生项目审计。对城市排污管网、火车站场及配套项目、浈江路、沿江东西路人行道升级改造、雄州公园园林景观绿化工程等19个重点民生建设项目进行审计，审计资金23075</w:t>
      </w:r>
      <w:r>
        <w:rPr>
          <w:rFonts w:hint="eastAsia" w:ascii="MingLiU_HKSCS" w:hAnsi="MingLiU_HKSCS" w:eastAsia="MingLiU_HKSCS" w:cs="MingLiU_HKSCS"/>
          <w:highlight w:val="none"/>
        </w:rPr>
        <w:t>.</w:t>
      </w:r>
      <w:r>
        <w:rPr>
          <w:rFonts w:hint="eastAsia" w:hAnsi="宋体" w:cs="宋体"/>
          <w:highlight w:val="none"/>
        </w:rPr>
        <w:t>64万元，查出管理不规范金额248</w:t>
      </w:r>
      <w:r>
        <w:rPr>
          <w:rFonts w:hint="eastAsia" w:ascii="MingLiU_HKSCS" w:hAnsi="MingLiU_HKSCS" w:eastAsia="MingLiU_HKSCS" w:cs="MingLiU_HKSCS"/>
          <w:highlight w:val="none"/>
        </w:rPr>
        <w:t>.</w:t>
      </w:r>
      <w:r>
        <w:rPr>
          <w:rFonts w:hint="eastAsia" w:hAnsi="宋体" w:cs="宋体"/>
          <w:highlight w:val="none"/>
        </w:rPr>
        <w:t>74万元，查出非金额问题5个。通过审计，督促相关部门把好管理关、质量关和结算关，规范项目资金管理。加大对国有资本（资产）运营审计力度。对市政公司、城投公司、浈江电业公司、金叶公司、液化气公司等10个企业的2014年度的损益、执行国有资本经营收益分配制度以及股权收益情况进行审计调查，通过审计，有效促进国有企业加强经营管理，提高运营效益，规范国有资本的收益分配和上缴行为；对公共资产管理中心、国资办、公共物业经营管理中心的国有资产经营管理及租金收缴情况进行审计，通过审计，促进提高国有资产管理水平和效益，堵塞管理漏洞，督促企业上缴利润和相关单位清缴租金收入125</w:t>
      </w:r>
      <w:r>
        <w:rPr>
          <w:rFonts w:hint="eastAsia" w:ascii="MingLiU_HKSCS" w:hAnsi="MingLiU_HKSCS" w:eastAsia="MingLiU_HKSCS" w:cs="MingLiU_HKSCS"/>
          <w:highlight w:val="none"/>
        </w:rPr>
        <w:t>.</w:t>
      </w:r>
      <w:r>
        <w:rPr>
          <w:rFonts w:hint="eastAsia" w:hAnsi="宋体" w:cs="宋体"/>
          <w:highlight w:val="none"/>
        </w:rPr>
        <w:t>16万元。</w:t>
      </w:r>
    </w:p>
    <w:p w14:paraId="06D09ACC">
      <w:pPr>
        <w:pStyle w:val="4"/>
        <w:bidi w:val="0"/>
        <w:rPr>
          <w:rFonts w:hint="eastAsia"/>
          <w:highlight w:val="none"/>
        </w:rPr>
      </w:pPr>
      <w:r>
        <w:rPr>
          <w:rFonts w:hint="eastAsia"/>
          <w:highlight w:val="none"/>
        </w:rPr>
        <w:t>【“三公”经费审计】</w:t>
      </w:r>
    </w:p>
    <w:p w14:paraId="036C0D43">
      <w:pPr>
        <w:rPr>
          <w:rFonts w:hint="eastAsia" w:hAnsi="宋体" w:cs="宋体"/>
          <w:highlight w:val="none"/>
        </w:rPr>
      </w:pPr>
      <w:r>
        <w:rPr>
          <w:rFonts w:hint="eastAsia" w:hAnsi="宋体" w:cs="宋体"/>
          <w:highlight w:val="none"/>
        </w:rPr>
        <w:t>2015年，加大对“三公”经费等专项经费审计力度，加强了对“三公”经费、会议费、培训费、津补贴、楼堂馆所建设等经费审计，审计资金621</w:t>
      </w:r>
      <w:r>
        <w:rPr>
          <w:rFonts w:hint="eastAsia" w:ascii="MingLiU_HKSCS" w:hAnsi="MingLiU_HKSCS" w:eastAsia="MingLiU_HKSCS" w:cs="MingLiU_HKSCS"/>
          <w:highlight w:val="none"/>
        </w:rPr>
        <w:t>.</w:t>
      </w:r>
      <w:r>
        <w:rPr>
          <w:rFonts w:hint="eastAsia" w:hAnsi="宋体" w:cs="宋体"/>
          <w:highlight w:val="none"/>
        </w:rPr>
        <w:t>37万元。从经费预算、资金使用、效益效果和制度建设4个层面查找分析存在问题并提出审计建议，有效促进“三公”经费、会议费等消费控制支出，规范了津补贴发放，从而降低行政成本，提高财政资金使用效益。</w:t>
      </w:r>
    </w:p>
    <w:p w14:paraId="2AB942BB">
      <w:pPr>
        <w:pStyle w:val="4"/>
        <w:bidi w:val="0"/>
        <w:rPr>
          <w:rFonts w:hint="eastAsia"/>
          <w:highlight w:val="none"/>
        </w:rPr>
      </w:pPr>
      <w:r>
        <w:rPr>
          <w:rFonts w:hint="eastAsia"/>
          <w:highlight w:val="none"/>
        </w:rPr>
        <w:t>【其他审计】</w:t>
      </w:r>
    </w:p>
    <w:p w14:paraId="577AFCF9">
      <w:pPr>
        <w:rPr>
          <w:rFonts w:hint="eastAsia" w:hAnsi="宋体" w:cs="宋体"/>
          <w:highlight w:val="none"/>
        </w:rPr>
      </w:pPr>
      <w:r>
        <w:rPr>
          <w:rFonts w:hint="eastAsia" w:hAnsi="宋体" w:cs="宋体"/>
          <w:highlight w:val="none"/>
        </w:rPr>
        <w:t>2015年，市审计局探索行业、系统综合审计，推进审计全覆盖。对水务、城管系统本部和下属单位2014年度财政、财务收支进行审计。揭示主管部门对下属单位疏于监管，导致下属单位财务管理混乱问题，促进部门和单位建立预算管理内部监督制度，严肃财经纪律。对市国土局下属国土资源测绘队收取的测绘工程产品费的使用管理情况进行审计，促进部门规范预算收支管理。（邬惠雄）</w:t>
      </w:r>
    </w:p>
    <w:p w14:paraId="087DBDF3">
      <w:pPr>
        <w:rPr>
          <w:rFonts w:hint="eastAsia" w:hAnsi="宋体" w:eastAsia="宋体" w:cs="宋体"/>
          <w:b w:val="0"/>
          <w:bCs w:val="0"/>
          <w:highlight w:val="none"/>
          <w:lang w:eastAsia="zh-CN"/>
        </w:rPr>
      </w:pPr>
      <w:r>
        <w:rPr>
          <w:rFonts w:hint="eastAsia" w:hAnsi="宋体" w:cs="宋体"/>
          <w:b w:val="0"/>
          <w:bCs w:val="0"/>
          <w:highlight w:val="none"/>
        </w:rPr>
        <w:t>附：2015年市审计局领导班子成员名单</w:t>
      </w:r>
    </w:p>
    <w:p w14:paraId="615E5A42">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长：陈宏华</w:t>
      </w:r>
    </w:p>
    <w:p w14:paraId="2DD8E169">
      <w:pPr>
        <w:rPr>
          <w:rFonts w:hint="eastAsia" w:hAnsi="宋体" w:eastAsia="宋体" w:cs="宋体"/>
          <w:b w:val="0"/>
          <w:bCs w:val="0"/>
          <w:highlight w:val="none"/>
          <w:lang w:eastAsia="zh-CN"/>
        </w:rPr>
      </w:pPr>
      <w:r>
        <w:rPr>
          <w:rFonts w:hint="eastAsia" w:hAnsi="宋体" w:cs="宋体"/>
          <w:b w:val="0"/>
          <w:bCs w:val="0"/>
          <w:highlight w:val="none"/>
        </w:rPr>
        <w:t>副局长：朱志康 何小华</w:t>
      </w:r>
    </w:p>
    <w:p w14:paraId="09F1BAB0">
      <w:pPr>
        <w:pStyle w:val="3"/>
        <w:bidi w:val="0"/>
        <w:rPr>
          <w:rFonts w:hint="eastAsia" w:eastAsia="宋体"/>
          <w:highlight w:val="none"/>
          <w:lang w:eastAsia="zh-CN"/>
        </w:rPr>
      </w:pPr>
      <w:r>
        <w:rPr>
          <w:rFonts w:hint="eastAsia"/>
          <w:highlight w:val="none"/>
        </w:rPr>
        <w:t>市场监督管理</w:t>
      </w:r>
    </w:p>
    <w:p w14:paraId="627B66E5">
      <w:pPr>
        <w:pStyle w:val="4"/>
        <w:bidi w:val="0"/>
        <w:rPr>
          <w:rFonts w:hint="eastAsia"/>
          <w:highlight w:val="none"/>
        </w:rPr>
      </w:pPr>
      <w:r>
        <w:rPr>
          <w:rFonts w:hint="eastAsia"/>
          <w:highlight w:val="none"/>
        </w:rPr>
        <w:t>【概况】</w:t>
      </w:r>
    </w:p>
    <w:p w14:paraId="2F376CF1">
      <w:pPr>
        <w:rPr>
          <w:rFonts w:hint="eastAsia" w:hAnsi="宋体" w:cs="宋体"/>
          <w:highlight w:val="none"/>
        </w:rPr>
      </w:pPr>
      <w:r>
        <w:rPr>
          <w:rFonts w:hint="eastAsia" w:hAnsi="宋体" w:cs="宋体"/>
          <w:highlight w:val="none"/>
        </w:rPr>
        <w:t>南雄市市场监督管理局2015年8月24日成立，加挂市工商行政管理局、市质量技术监督局牌子，将原市工商行政管理局、市质量技术监督局的职责划入该市市场监督管理局，是市人民政府工作部门。局机关设职能股室10个，办公室</w:t>
      </w:r>
      <w:r>
        <w:rPr>
          <w:rFonts w:hint="eastAsia" w:hAnsi="宋体" w:cs="宋体"/>
          <w:highlight w:val="none"/>
          <w:lang w:eastAsia="zh-CN"/>
        </w:rPr>
        <w:t>（</w:t>
      </w:r>
      <w:r>
        <w:rPr>
          <w:rFonts w:hint="eastAsia" w:hAnsi="宋体" w:cs="宋体"/>
          <w:highlight w:val="none"/>
        </w:rPr>
        <w:t>加挂信息中心牌子</w:t>
      </w:r>
      <w:r>
        <w:rPr>
          <w:rFonts w:hint="eastAsia" w:hAnsi="宋体" w:cs="宋体"/>
          <w:highlight w:val="none"/>
          <w:lang w:eastAsia="zh-CN"/>
        </w:rPr>
        <w:t>）</w:t>
      </w:r>
      <w:r>
        <w:rPr>
          <w:rFonts w:hint="eastAsia" w:hAnsi="宋体" w:cs="宋体"/>
          <w:highlight w:val="none"/>
        </w:rPr>
        <w:t>、人事监察股（加挂督察队牌子）、政策法规股、登记注册股、企业监督管理股、经济检查股</w:t>
      </w:r>
      <w:r>
        <w:rPr>
          <w:rFonts w:hint="eastAsia" w:hAnsi="宋体" w:cs="宋体"/>
          <w:highlight w:val="none"/>
          <w:lang w:eastAsia="zh-CN"/>
        </w:rPr>
        <w:t>（</w:t>
      </w:r>
      <w:r>
        <w:rPr>
          <w:rFonts w:hint="eastAsia" w:hAnsi="宋体" w:cs="宋体"/>
          <w:highlight w:val="none"/>
        </w:rPr>
        <w:t>加挂消费者权益保护股牌子</w:t>
      </w:r>
      <w:r>
        <w:rPr>
          <w:rFonts w:hint="eastAsia" w:hAnsi="宋体" w:cs="宋体"/>
          <w:highlight w:val="none"/>
          <w:lang w:eastAsia="zh-CN"/>
        </w:rPr>
        <w:t>）</w:t>
      </w:r>
      <w:r>
        <w:rPr>
          <w:rFonts w:hint="eastAsia" w:hAnsi="宋体" w:cs="宋体"/>
          <w:highlight w:val="none"/>
        </w:rPr>
        <w:t>、商标广告管理股、市场规范管理股（加挂网络商品交易监管股牌子）、质量计量股、特种设备安全监察股。1个直属行政机构：经济检查大队。7个派出机构：雄州分局、乌迳分局、黄坑分局、湖口分局、水口分局、珠玑分局、澜河分局。3个所属事业单位：南雄市市场监督管理局机关服务中心、南雄市消费者权益保护委员会（南雄市12315投诉举报中心）、南雄市质量技术监督检测所。系统人数225人，在职人数148人，机关81人，分局67人；离休干部3人，退休干部74人。</w:t>
      </w:r>
    </w:p>
    <w:p w14:paraId="71C1BB9F">
      <w:pPr>
        <w:pStyle w:val="4"/>
        <w:bidi w:val="0"/>
        <w:rPr>
          <w:rFonts w:hint="eastAsia"/>
          <w:highlight w:val="none"/>
        </w:rPr>
      </w:pPr>
      <w:r>
        <w:rPr>
          <w:rFonts w:hint="eastAsia"/>
          <w:highlight w:val="none"/>
        </w:rPr>
        <w:t>【工商登记与服务】</w:t>
      </w:r>
    </w:p>
    <w:p w14:paraId="1412B55B">
      <w:pPr>
        <w:rPr>
          <w:rFonts w:hint="eastAsia" w:hAnsi="宋体" w:cs="宋体"/>
          <w:highlight w:val="none"/>
        </w:rPr>
      </w:pPr>
      <w:r>
        <w:rPr>
          <w:rFonts w:hint="eastAsia" w:hAnsi="宋体" w:cs="宋体"/>
          <w:highlight w:val="none"/>
        </w:rPr>
        <w:t>立足工商登记职能</w:t>
      </w:r>
      <w:r>
        <w:rPr>
          <w:rFonts w:hint="eastAsia" w:hAnsi="宋体" w:cs="宋体"/>
          <w:highlight w:val="none"/>
          <w:lang w:eastAsia="zh-CN"/>
        </w:rPr>
        <w:t>，</w:t>
      </w:r>
      <w:r>
        <w:rPr>
          <w:rFonts w:hint="eastAsia" w:hAnsi="宋体" w:cs="宋体"/>
          <w:highlight w:val="none"/>
        </w:rPr>
        <w:t>以商事制度改革为主线，全面推进工商注册制度便利化，服务地方经济发展。通过推进商事制度改革，持续激发市场活力，投资热情高涨，新登记注册企业和个体工商户快速增长。全市有各类企业2235户，农民专业合作社502户，个体工商户11866户。全市新登记市场主体1559户。农民专业合作社35户，成员649人，出资总额4518</w:t>
      </w:r>
      <w:r>
        <w:rPr>
          <w:rFonts w:hint="eastAsia" w:ascii="MingLiU_HKSCS" w:hAnsi="MingLiU_HKSCS" w:eastAsia="MingLiU_HKSCS" w:cs="MingLiU_HKSCS"/>
          <w:highlight w:val="none"/>
        </w:rPr>
        <w:t>.</w:t>
      </w:r>
      <w:r>
        <w:rPr>
          <w:rFonts w:hint="eastAsia" w:hAnsi="宋体" w:cs="宋体"/>
          <w:highlight w:val="none"/>
        </w:rPr>
        <w:t>21万元。个体工商户1332户，增长21</w:t>
      </w:r>
      <w:r>
        <w:rPr>
          <w:rFonts w:hint="eastAsia" w:ascii="MingLiU_HKSCS" w:hAnsi="MingLiU_HKSCS" w:eastAsia="MingLiU_HKSCS" w:cs="MingLiU_HKSCS"/>
          <w:highlight w:val="none"/>
        </w:rPr>
        <w:t>.</w:t>
      </w:r>
      <w:r>
        <w:rPr>
          <w:rFonts w:hint="eastAsia" w:hAnsi="宋体" w:cs="宋体"/>
          <w:highlight w:val="none"/>
        </w:rPr>
        <w:t>7%。</w:t>
      </w:r>
    </w:p>
    <w:p w14:paraId="3154291D">
      <w:pPr>
        <w:rPr>
          <w:rFonts w:hint="eastAsia" w:hAnsi="宋体" w:cs="宋体"/>
          <w:highlight w:val="none"/>
        </w:rPr>
      </w:pPr>
      <w:r>
        <w:rPr>
          <w:rFonts w:hint="eastAsia" w:hAnsi="宋体" w:cs="宋体"/>
          <w:highlight w:val="none"/>
        </w:rPr>
        <w:t>深化注册资本登记改革，降低创业成本。根据《广东省商事登记制度改革方案》要求，全面推进工商注册登记制度改革。新发展企业456户，增资变更登记53户，增资额达7</w:t>
      </w:r>
      <w:r>
        <w:rPr>
          <w:rFonts w:hint="eastAsia" w:ascii="MingLiU_HKSCS" w:hAnsi="MingLiU_HKSCS" w:eastAsia="MingLiU_HKSCS" w:cs="MingLiU_HKSCS"/>
          <w:highlight w:val="none"/>
        </w:rPr>
        <w:t>.</w:t>
      </w:r>
      <w:r>
        <w:rPr>
          <w:rFonts w:hint="eastAsia" w:hAnsi="宋体" w:cs="宋体"/>
          <w:highlight w:val="none"/>
        </w:rPr>
        <w:t>2亿元，核发新版的营业执照9872份。</w:t>
      </w:r>
    </w:p>
    <w:p w14:paraId="297CB5C6">
      <w:pPr>
        <w:rPr>
          <w:rFonts w:hint="eastAsia" w:hAnsi="宋体" w:cs="宋体"/>
          <w:highlight w:val="none"/>
        </w:rPr>
      </w:pPr>
      <w:r>
        <w:rPr>
          <w:rFonts w:hint="eastAsia" w:hAnsi="宋体" w:cs="宋体"/>
          <w:highlight w:val="none"/>
        </w:rPr>
        <w:t>严格执行省政府“两个目录”，降低准入门槛。遵照“宽进严管”和“非禁即入”原则，办理涉及工商登记前置改后置审批各类企业和个体工商户。共登记涉及“两个目录”企业198户，个体工商户976户。还创新性推出《南雄市工商行政管理局行政指导提示书》，实施行政告知制度，送达《行政指导提示书》1174份。</w:t>
      </w:r>
    </w:p>
    <w:p w14:paraId="3EE0C854">
      <w:pPr>
        <w:rPr>
          <w:rFonts w:hint="eastAsia" w:hAnsi="宋体" w:cs="宋体"/>
          <w:highlight w:val="none"/>
        </w:rPr>
      </w:pPr>
      <w:r>
        <w:rPr>
          <w:rFonts w:hint="eastAsia" w:hAnsi="宋体" w:cs="宋体"/>
          <w:highlight w:val="none"/>
        </w:rPr>
        <w:t>实行住所（经营场所）登记改革，减小企业负担。放宽申请住所、经营场所、营业场所工商登记，住宅改变为经营性用房、“一址多照”、“一照多址”等住所的条件。探索“一址多照”“一照多址”，在一定范围内，特别是“写字楼式”办公场所的登记，允许“一址多照”。最大限度地降低住所本身的登记要求，鼓励大众创业、万众创新。已经审批“一址多照”企业近80家、“一照多址”企业1家。</w:t>
      </w:r>
    </w:p>
    <w:p w14:paraId="0AFC1C9B">
      <w:pPr>
        <w:rPr>
          <w:rFonts w:hint="eastAsia" w:hAnsi="宋体" w:cs="宋体"/>
          <w:highlight w:val="none"/>
        </w:rPr>
      </w:pPr>
      <w:r>
        <w:rPr>
          <w:rFonts w:hint="eastAsia" w:hAnsi="宋体" w:cs="宋体"/>
          <w:highlight w:val="none"/>
        </w:rPr>
        <w:t>推进登记服务方式改革，推进注册登记全程电子化。登记注册窗口全面推行对企业名称预先核准、登记资料备案、补发营业执照实行“一人审核”制，做到即到即办，当场办结，实现“一站式”服务。全面推进网上办事，实行“网上登记、双向快递”，推进登记申报材料和营业执照电子化。通过网上办事大厅办结各类登记业务420宗，其中办理“网上登记、双向快递”登记业务1宗。</w:t>
      </w:r>
    </w:p>
    <w:p w14:paraId="2CE3D673">
      <w:pPr>
        <w:rPr>
          <w:rFonts w:hint="eastAsia" w:hAnsi="宋体" w:cs="宋体"/>
          <w:highlight w:val="none"/>
        </w:rPr>
      </w:pPr>
      <w:r>
        <w:rPr>
          <w:rFonts w:hint="eastAsia" w:hAnsi="宋体" w:cs="宋体"/>
          <w:highlight w:val="none"/>
        </w:rPr>
        <w:t>开展“三证合一”登记改革，简化审批程序。与国税、地税等部门积极协调配合，2015年9月1日起各类企业和农民专业合作社全面实施“三证合一”“一照一码”登记模式，通过“一窗受理、互联互通、信息共享”，由工商行政管理部门核发加载法人和其他组织统一社会信用代码的营业执照。全市共核发“三证合一、一照一码”营业执照318份，其中设立登记101份，变更、换照217份。</w:t>
      </w:r>
    </w:p>
    <w:p w14:paraId="323BE70B">
      <w:pPr>
        <w:rPr>
          <w:rFonts w:hint="eastAsia" w:hAnsi="宋体" w:cs="宋体"/>
          <w:highlight w:val="none"/>
        </w:rPr>
      </w:pPr>
      <w:r>
        <w:rPr>
          <w:rFonts w:hint="eastAsia" w:hAnsi="宋体" w:cs="宋体"/>
          <w:highlight w:val="none"/>
        </w:rPr>
        <w:t>助企融资，服务小微、扶持企业创新发展。针对现阶段企业融资难问题，充分发挥职能作用，深入企业调查研究，主动为企业和金融部门牵线搭桥，切实帮助企业解决融资难问题。先后为衡光、九盾、志一等园区企业和金友、浈江电业、古寨沟酒业等重点企业以及8个电站及其他微、小企业等22家企业办理动产抵押物登记，帮助企业融资近9000万元，登记股权出质12件，为6户企业融资1</w:t>
      </w:r>
      <w:r>
        <w:rPr>
          <w:rFonts w:hint="eastAsia" w:ascii="MingLiU_HKSCS" w:hAnsi="MingLiU_HKSCS" w:eastAsia="MingLiU_HKSCS" w:cs="MingLiU_HKSCS"/>
          <w:highlight w:val="none"/>
        </w:rPr>
        <w:t>.</w:t>
      </w:r>
      <w:r>
        <w:rPr>
          <w:rFonts w:hint="eastAsia" w:hAnsi="宋体" w:cs="宋体"/>
          <w:highlight w:val="none"/>
        </w:rPr>
        <w:t>06亿元。助企业融资近2亿元。</w:t>
      </w:r>
    </w:p>
    <w:p w14:paraId="6CF445D9">
      <w:pPr>
        <w:pStyle w:val="4"/>
        <w:bidi w:val="0"/>
        <w:rPr>
          <w:rFonts w:hint="eastAsia"/>
          <w:highlight w:val="none"/>
        </w:rPr>
      </w:pPr>
      <w:r>
        <w:rPr>
          <w:rFonts w:hint="eastAsia"/>
          <w:highlight w:val="none"/>
        </w:rPr>
        <w:t>【消费维权与民生】</w:t>
      </w:r>
    </w:p>
    <w:p w14:paraId="0DD99D3F">
      <w:pPr>
        <w:rPr>
          <w:rFonts w:hint="eastAsia" w:hAnsi="宋体" w:cs="宋体"/>
          <w:highlight w:val="none"/>
        </w:rPr>
      </w:pPr>
      <w:r>
        <w:rPr>
          <w:rFonts w:hint="eastAsia" w:hAnsi="宋体" w:cs="宋体"/>
          <w:highlight w:val="none"/>
        </w:rPr>
        <w:t>以解决消费纠纷投诉为切入点，更新维权理念、创新维权方式、完善维权机制，坚持把消费维权与案件查办结合起来，提升消费维权工作水平，努力营造安全放心的消费环境。</w:t>
      </w:r>
    </w:p>
    <w:p w14:paraId="23AE2512">
      <w:pPr>
        <w:rPr>
          <w:rFonts w:hint="eastAsia" w:hAnsi="宋体" w:cs="宋体"/>
          <w:highlight w:val="none"/>
        </w:rPr>
      </w:pPr>
      <w:r>
        <w:rPr>
          <w:rFonts w:hint="eastAsia" w:hAnsi="宋体" w:cs="宋体"/>
          <w:highlight w:val="none"/>
        </w:rPr>
        <w:t>以贯彻新《消费者权益保护法》为契机，推动建立消费维权社会共治新机制。为隆重纪念2015年“3·15国际消费者权益日”，广泛深入地宣传“携手共治、畅享消费”年主题，努力营造维护消费者合法权益的社会氛围。3月13日，市工商局、消委会在大润发广场组织大型现场宣传咨询活动，政府6个相关职能部门和21家企业（个体户）、消费者积极参与。活动现场向消费者散发各种宣传材料3000份，接待消费者1200人次，销毁假冒伪劣商品199件。在近年建立消费维权服务站基础上，深入企业，指导企业建立“顾客至上”的经营理念，6月24日邀请大润发、粤客隆、广客隆、洲发商行、万家福等十几家食品经营企业代表召开有关企业“实施新消法，肩负新责任”主题座谈会，加强企业自律意识，提高服务水平。</w:t>
      </w:r>
    </w:p>
    <w:p w14:paraId="15F1F17F">
      <w:pPr>
        <w:rPr>
          <w:rFonts w:hint="eastAsia" w:hAnsi="宋体" w:cs="宋体"/>
          <w:highlight w:val="none"/>
        </w:rPr>
      </w:pPr>
      <w:r>
        <w:rPr>
          <w:rFonts w:hint="eastAsia" w:hAnsi="宋体" w:cs="宋体"/>
          <w:highlight w:val="none"/>
        </w:rPr>
        <w:t>履行法定职能，受理消费者投诉。坚持群众利益无小事，受理每一位消费者的投诉，把因消费纠纷造成的社会矛盾消除在萌芽状态，调解双方的矛盾，维护社会的稳定。通过12315投诉举报平台、12365举报投诉平台、维权服务站及消委会申诉平台等，受理消费者投诉案件42宗，调解成功率100%，处理消费者投诉对比2014年同期增加40%，为消费者挽回经济损失10</w:t>
      </w:r>
      <w:r>
        <w:rPr>
          <w:rFonts w:hint="eastAsia" w:ascii="MingLiU_HKSCS" w:hAnsi="MingLiU_HKSCS" w:eastAsia="MingLiU_HKSCS" w:cs="MingLiU_HKSCS"/>
          <w:highlight w:val="none"/>
        </w:rPr>
        <w:t>.</w:t>
      </w:r>
      <w:r>
        <w:rPr>
          <w:rFonts w:hint="eastAsia" w:hAnsi="宋体" w:cs="宋体"/>
          <w:highlight w:val="none"/>
        </w:rPr>
        <w:t>4万元。通过政府OA系统受理群众来信37件，受理市委办网络问政股转办咨询投诉50件。落实市人大代表网络问政工作，及时调查处理并及时答复，对人大代表在“代表之声论坛”中提出意见建议。</w:t>
      </w:r>
    </w:p>
    <w:p w14:paraId="4D384A62">
      <w:pPr>
        <w:rPr>
          <w:rFonts w:hint="eastAsia" w:hAnsi="宋体" w:cs="宋体"/>
          <w:highlight w:val="none"/>
        </w:rPr>
      </w:pPr>
      <w:r>
        <w:rPr>
          <w:rFonts w:hint="eastAsia" w:hAnsi="宋体" w:cs="宋体"/>
          <w:highlight w:val="none"/>
        </w:rPr>
        <w:t>监管执法和查办案件贯穿于消费维权工作。加强有关重点领域的监管执法，严厉查处消费侵权案件，加强对12315诉求筛查，排查重大案件违法线索，推进“诉转案”工作。根据投诉人提供线索和诉求，2015年查办“诉转案”8宗，实现做到群众投诉有门，举报有路，诉求有果。严厉查处质量违法、假冒商标、虚假宣传、合同欺诈等侵害消费者权益案件，切实规范消费市场秩序。</w:t>
      </w:r>
    </w:p>
    <w:p w14:paraId="4DD2B5F0">
      <w:pPr>
        <w:pStyle w:val="4"/>
        <w:bidi w:val="0"/>
        <w:rPr>
          <w:rFonts w:hint="eastAsia"/>
          <w:highlight w:val="none"/>
        </w:rPr>
      </w:pPr>
      <w:r>
        <w:rPr>
          <w:rFonts w:hint="eastAsia"/>
          <w:highlight w:val="none"/>
        </w:rPr>
        <w:t>【市场监管与执法】</w:t>
      </w:r>
    </w:p>
    <w:p w14:paraId="4DE99A5C">
      <w:pPr>
        <w:rPr>
          <w:rFonts w:hint="eastAsia" w:hAnsi="宋体" w:cs="宋体"/>
          <w:highlight w:val="none"/>
        </w:rPr>
      </w:pPr>
      <w:r>
        <w:rPr>
          <w:rFonts w:hint="eastAsia" w:hAnsi="宋体" w:cs="宋体"/>
          <w:highlight w:val="none"/>
        </w:rPr>
        <w:t>切实发挥市场监管主力军作用，一手抓好市场监管体系建设，一手抓好市场监管执法推进，确保全市市场平稳有序。</w:t>
      </w:r>
    </w:p>
    <w:p w14:paraId="7C36E9EE">
      <w:pPr>
        <w:rPr>
          <w:rFonts w:hint="eastAsia" w:hAnsi="宋体" w:cs="宋体"/>
          <w:highlight w:val="none"/>
        </w:rPr>
      </w:pPr>
      <w:r>
        <w:rPr>
          <w:rFonts w:hint="eastAsia" w:hAnsi="宋体" w:cs="宋体"/>
          <w:highlight w:val="none"/>
        </w:rPr>
        <w:t>全面落实信用公示制度。引导市场主体履行公示义务，完成2013年、2014年度的企业、农专社、个体户年报工作，取得2013年和2014年企业年报率为86</w:t>
      </w:r>
      <w:r>
        <w:rPr>
          <w:rFonts w:hint="eastAsia" w:ascii="MingLiU_HKSCS" w:hAnsi="MingLiU_HKSCS" w:eastAsia="MingLiU_HKSCS" w:cs="MingLiU_HKSCS"/>
          <w:highlight w:val="none"/>
        </w:rPr>
        <w:t>.</w:t>
      </w:r>
      <w:r>
        <w:rPr>
          <w:rFonts w:hint="eastAsia" w:hAnsi="宋体" w:cs="宋体"/>
          <w:highlight w:val="none"/>
        </w:rPr>
        <w:t>56%、86</w:t>
      </w:r>
      <w:r>
        <w:rPr>
          <w:rFonts w:hint="eastAsia" w:ascii="MingLiU_HKSCS" w:hAnsi="MingLiU_HKSCS" w:eastAsia="MingLiU_HKSCS" w:cs="MingLiU_HKSCS"/>
          <w:highlight w:val="none"/>
        </w:rPr>
        <w:t>.</w:t>
      </w:r>
      <w:r>
        <w:rPr>
          <w:rFonts w:hint="eastAsia" w:hAnsi="宋体" w:cs="宋体"/>
          <w:highlight w:val="none"/>
        </w:rPr>
        <w:t>05%的好成绩，达到工商总局提出企业年报率要求，并保证企业信息公示制度在南雄市场经济环境中顺利过渡落地，强化各类市场主体的社会信用意识，为构建良好社会信用体系铺垫基石。</w:t>
      </w:r>
    </w:p>
    <w:p w14:paraId="11FA84D1">
      <w:pPr>
        <w:rPr>
          <w:rFonts w:hint="eastAsia" w:hAnsi="宋体" w:cs="宋体"/>
          <w:highlight w:val="none"/>
        </w:rPr>
      </w:pPr>
      <w:r>
        <w:rPr>
          <w:rFonts w:hint="eastAsia" w:hAnsi="宋体" w:cs="宋体"/>
          <w:highlight w:val="none"/>
        </w:rPr>
        <w:t>全面推行巡查改抽查，着力推行“双随机”抽查机制。2015年开展3次企业公示信息抽查，随机抽查市场主体430户，通过抽查发现15户市场主体因公示信息隐瞒真实情况和弄虚作假被列入经营异常名录，并采取相应的监管措施。</w:t>
      </w:r>
    </w:p>
    <w:p w14:paraId="11BF7560">
      <w:pPr>
        <w:rPr>
          <w:rFonts w:hint="eastAsia" w:hAnsi="宋体" w:cs="宋体"/>
          <w:highlight w:val="none"/>
        </w:rPr>
      </w:pPr>
      <w:r>
        <w:rPr>
          <w:rFonts w:hint="eastAsia" w:hAnsi="宋体" w:cs="宋体"/>
          <w:highlight w:val="none"/>
        </w:rPr>
        <w:t>逐步建立信用惩戒制度。全面建立经营异常名录管理制度，截至2015年底，全市有53户企业列入经营异常名录。实时公示失信行为信息，促进企业信用修复，有32户企业改正违法行为后申请移出经营异常名录。</w:t>
      </w:r>
    </w:p>
    <w:p w14:paraId="3A72AF93">
      <w:pPr>
        <w:rPr>
          <w:rFonts w:hint="eastAsia" w:hAnsi="宋体" w:cs="宋体"/>
          <w:highlight w:val="none"/>
        </w:rPr>
      </w:pPr>
      <w:r>
        <w:rPr>
          <w:rFonts w:hint="eastAsia" w:hAnsi="宋体" w:cs="宋体"/>
          <w:highlight w:val="none"/>
        </w:rPr>
        <w:t>推进市场诚信建设。深入推进“守合同重信用”企业信息公示工作，5户企业被省工商局公示为广东省2015年度“守合同重信用”公示企业。</w:t>
      </w:r>
    </w:p>
    <w:p w14:paraId="5E16CAD5">
      <w:pPr>
        <w:rPr>
          <w:rFonts w:hint="eastAsia" w:hAnsi="宋体" w:cs="宋体"/>
          <w:highlight w:val="none"/>
        </w:rPr>
      </w:pPr>
      <w:r>
        <w:rPr>
          <w:rFonts w:hint="eastAsia" w:hAnsi="宋体" w:cs="宋体"/>
          <w:highlight w:val="none"/>
        </w:rPr>
        <w:t>继续强化执法监管，市场监督管理系统2015年查处违法案件39宗，有力打击违法行为，规范市场秩序。突出重要领域监管。持续深化红盾护农行动，开展流通领域农资商品质量抽检和监管。组织开展房地产、汽车等市场专项整治。开展户外广告、房地产广告专项整治。汲取天津港特别重大火灾事故和电梯安全事故教训，配合主管部门开展安全生产大检查，组织“安全生产月”活动，加强安全督查。在局监管范围内没有发生一起因监管失职而导致生产安全事故。整治查处商标、虚假广告、售假等违法行为。加大整治查处商标侵权、虚假广告、售假等违法行为的工作力度。通过专项检查行动和举报投诉立案查处了10宗商标侵权案，查获的商标侵权案涉及驰名商标和著名商标“三星”“飘柔”“海飞丝”“潘婷”“舒肤佳”“二仙”等，有效地保护商标持有人专有使用权，保证商品质量，营造安全放心消费的环境。组织虚假违法广告专项整治行动。对发现存在违法行为6家房地产企业进行行政约谈、告诫，指出其发布广告存在违法行为，责令限期改正发布广告中的违法行为。对经过行政约谈、告诫还拒不改正违法行为3户房地产企业进行立案调查。通过整治，较短时间内扭转房地产广告市场乱象，消除房地产市场恶性竞争和因此产生社会群体事件等潜在的风险，促进房地产业健康发展。开展打击假冒伪劣违法行为。以打假办名义，组织7次打假专项行动，有效震慑假冒伪劣违法行为发生。2015年10月，联合烟草、公安等部门成功查办“粤北二号”非法经营烟草制品案，促进打假重点区域、重点市场、重点产品专项整治工作。</w:t>
      </w:r>
    </w:p>
    <w:p w14:paraId="71458667">
      <w:pPr>
        <w:rPr>
          <w:rFonts w:hint="eastAsia" w:hAnsi="宋体" w:cs="宋体"/>
          <w:highlight w:val="none"/>
        </w:rPr>
      </w:pPr>
      <w:r>
        <w:rPr>
          <w:rFonts w:hint="eastAsia" w:hAnsi="宋体" w:cs="宋体"/>
          <w:highlight w:val="none"/>
        </w:rPr>
        <w:t>开展“质量强市”活动，实施名牌带动战略。贯彻落实《南雄市质量强市实施意见》文件精神，将质量工作纳入考核体系。逐步建立并完善精细化工园区企业质量档案，引导企业在质量、环境等方面与先进企业接轨，帮助企业建立健全标准化、质量管理体系，加快认证步伐，提升市场竞争力。组织30余家中小微型企业开展质量管理培训活动，签订生产企业质量诚信承诺书。2015年主动协助康绿宝、阳普医疗2家生产企业2个产品申报广东名牌产品。截至2015年底，全市商标达到899件，新增注册商标160件，农民专业合作社商标26件，种养商标60件，培育3个广东名牌工业产品。</w:t>
      </w:r>
    </w:p>
    <w:p w14:paraId="4676EE0E">
      <w:pPr>
        <w:rPr>
          <w:rFonts w:hint="eastAsia" w:hAnsi="宋体" w:cs="宋体"/>
          <w:highlight w:val="none"/>
        </w:rPr>
      </w:pPr>
      <w:r>
        <w:rPr>
          <w:rFonts w:hint="eastAsia" w:hAnsi="宋体" w:cs="宋体"/>
          <w:highlight w:val="none"/>
        </w:rPr>
        <w:t>加强重点单位特种设备安全监察。全市特种设备安全运行，没有发生安全事故。采取“四结合”方式，加强对重点单位、重点场所特种设备安全监管，开展“打非治违”。出动检查人员349人次，检查特种设备使用单位92家次，检查施工现场2起次，检查特种设备310台次，发出《特种设备现场安全监督检查记录》92份，发出《特种设备安全监察指令书》10份，排查重大隐患设备34台（套），处理群众投诉特种设备安全6起。</w:t>
      </w:r>
    </w:p>
    <w:p w14:paraId="3732A0C5">
      <w:pPr>
        <w:rPr>
          <w:rFonts w:hint="eastAsia" w:hAnsi="宋体" w:cs="宋体"/>
          <w:highlight w:val="none"/>
          <w:vertAlign w:val="baseline"/>
        </w:rPr>
      </w:pPr>
      <w:r>
        <w:rPr>
          <w:rFonts w:hint="eastAsia" w:hAnsi="宋体" w:cs="宋体"/>
          <w:highlight w:val="none"/>
        </w:rPr>
        <w:t>加强计量监管。加强计量体系认证。指导企业合理配备能源计量器具，提高企业计量检测能力，鼓励企业开展测量管理体系认证工作。2015年全市有11家企业获得广东省计量保证体系三级认证。加强民生计量工作。加强全市各烟叶收购站烟叶收购计量监管，实施计量专项监督检查。检查中发现，各烟叶收购站能够按照国家标准要求进行定级，收购点使用烟叶收购专用电子秤计量合格证书均在有效期内。加强液化石油气充装站和加油机的计量监管。对该市5家液化气充装单位气瓶充装量进行定期巡查和突击抽查，出动检查人员132人</w:t>
      </w:r>
      <w:r>
        <w:rPr>
          <w:rFonts w:hint="eastAsia" w:hAnsi="宋体" w:cs="宋体"/>
          <w:highlight w:val="none"/>
          <w:lang w:eastAsia="zh-CN"/>
        </w:rPr>
        <w:t>（</w:t>
      </w:r>
      <w:r>
        <w:rPr>
          <w:rFonts w:hint="eastAsia" w:hAnsi="宋体" w:cs="宋体"/>
          <w:highlight w:val="none"/>
        </w:rPr>
        <w:t>次</w:t>
      </w:r>
      <w:r>
        <w:rPr>
          <w:rFonts w:hint="eastAsia" w:hAnsi="宋体" w:cs="宋体"/>
          <w:highlight w:val="none"/>
          <w:lang w:eastAsia="zh-CN"/>
        </w:rPr>
        <w:t>）</w:t>
      </w:r>
      <w:r>
        <w:rPr>
          <w:rFonts w:hint="eastAsia" w:hAnsi="宋体" w:cs="宋体"/>
          <w:highlight w:val="none"/>
        </w:rPr>
        <w:t>，未发现计量方面的违法违规行为。对22家加油站计量巡查，159支在用加油枪均检验合格，未发现损坏加油机铅封、擅自改动或拆装加油机等违法行为。继续推进计量器具免费检定工作。开展对集贸市场贸易用衡器、医疗卫生单位常用强检计量器具免费检定，做到全覆盖不漏检。免费检定集贸市场和医疗卫生单位1898家，检定计量器具2278台（件），免收检定费用8</w:t>
      </w:r>
      <w:r>
        <w:rPr>
          <w:rFonts w:hint="eastAsia" w:ascii="MingLiU_HKSCS" w:hAnsi="MingLiU_HKSCS" w:eastAsia="MingLiU_HKSCS" w:cs="MingLiU_HKSCS"/>
          <w:highlight w:val="none"/>
        </w:rPr>
        <w:t>.</w:t>
      </w:r>
      <w:r>
        <w:rPr>
          <w:rFonts w:hint="eastAsia" w:hAnsi="宋体" w:cs="宋体"/>
          <w:highlight w:val="none"/>
        </w:rPr>
        <w:t>98万元。严格执行涉企行政事业性单位计量器具免费检定工作。免征涉企行政事业性单位124家，检定计量器具1245台（件），免收检定费用3</w:t>
      </w:r>
      <w:r>
        <w:rPr>
          <w:rFonts w:hint="eastAsia" w:ascii="MingLiU_HKSCS" w:hAnsi="MingLiU_HKSCS" w:eastAsia="MingLiU_HKSCS" w:cs="MingLiU_HKSCS"/>
          <w:highlight w:val="none"/>
        </w:rPr>
        <w:t>.</w:t>
      </w:r>
      <w:r>
        <w:rPr>
          <w:rFonts w:hint="eastAsia" w:hAnsi="宋体" w:cs="宋体"/>
          <w:highlight w:val="none"/>
        </w:rPr>
        <w:t>2万元；完成强检计量器具5464台/件，其中：衡器类2448台/件，加油机495把，压力表431只，水表2090只。</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824E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F0F03E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715895"/>
                  <wp:effectExtent l="0" t="0" r="8890" b="8255"/>
                  <wp:docPr id="65" name="图片 217" descr="市场管理局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7" descr="市场管理局11"/>
                          <pic:cNvPicPr>
                            <a:picLocks noChangeAspect="1"/>
                          </pic:cNvPicPr>
                        </pic:nvPicPr>
                        <pic:blipFill>
                          <a:blip r:embed="rId70"/>
                          <a:stretch>
                            <a:fillRect/>
                          </a:stretch>
                        </pic:blipFill>
                        <pic:spPr>
                          <a:xfrm>
                            <a:off x="0" y="0"/>
                            <a:ext cx="3420110" cy="2715895"/>
                          </a:xfrm>
                          <a:prstGeom prst="rect">
                            <a:avLst/>
                          </a:prstGeom>
                          <a:noFill/>
                          <a:ln>
                            <a:noFill/>
                          </a:ln>
                        </pic:spPr>
                      </pic:pic>
                    </a:graphicData>
                  </a:graphic>
                </wp:inline>
              </w:drawing>
            </w:r>
          </w:p>
        </w:tc>
      </w:tr>
      <w:tr w14:paraId="70C89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23465B6">
            <w:pPr>
              <w:jc w:val="center"/>
              <w:rPr>
                <w:rFonts w:hint="eastAsia" w:hAnsi="宋体" w:cs="宋体"/>
                <w:highlight w:val="none"/>
                <w:vertAlign w:val="baseline"/>
              </w:rPr>
            </w:pPr>
            <w:r>
              <w:rPr>
                <w:rFonts w:hint="eastAsia" w:hAnsi="宋体" w:cs="宋体"/>
                <w:highlight w:val="none"/>
                <w:vertAlign w:val="baseline"/>
              </w:rPr>
              <w:t>新成立的南雄市市场</w:t>
            </w:r>
            <w:r>
              <w:rPr>
                <w:rFonts w:hint="eastAsia" w:cs="宋体"/>
                <w:highlight w:val="none"/>
                <w:vertAlign w:val="baseline"/>
                <w:lang w:val="en-US" w:eastAsia="zh-CN"/>
              </w:rPr>
              <w:t>监督</w:t>
            </w:r>
            <w:r>
              <w:rPr>
                <w:rFonts w:hint="eastAsia" w:hAnsi="宋体" w:cs="宋体"/>
                <w:highlight w:val="none"/>
                <w:vertAlign w:val="baseline"/>
              </w:rPr>
              <w:t>管理局</w:t>
            </w:r>
          </w:p>
        </w:tc>
      </w:tr>
    </w:tbl>
    <w:p w14:paraId="1EFA788E">
      <w:pPr>
        <w:rPr>
          <w:rFonts w:hint="eastAsia" w:hAnsi="宋体" w:cs="宋体"/>
          <w:highlight w:val="none"/>
        </w:rPr>
      </w:pPr>
      <w:r>
        <w:rPr>
          <w:rFonts w:hint="eastAsia" w:hAnsi="宋体" w:cs="宋体"/>
          <w:highlight w:val="none"/>
        </w:rPr>
        <w:t>加强广东省质量监督日用精细化工产品检验站建设。广东省质量监督日用精细化工产品检验站位于南雄市东莞大岭山</w:t>
      </w:r>
      <w:r>
        <w:rPr>
          <w:rFonts w:hint="eastAsia" w:hAnsi="宋体" w:cs="宋体"/>
          <w:highlight w:val="none"/>
          <w:lang w:eastAsia="zh-CN"/>
        </w:rPr>
        <w:t>（</w:t>
      </w:r>
      <w:r>
        <w:rPr>
          <w:rFonts w:hint="eastAsia" w:hAnsi="宋体" w:cs="宋体"/>
          <w:highlight w:val="none"/>
        </w:rPr>
        <w:t>南雄</w:t>
      </w:r>
      <w:r>
        <w:rPr>
          <w:rFonts w:hint="eastAsia" w:hAnsi="宋体" w:cs="宋体"/>
          <w:highlight w:val="none"/>
          <w:lang w:eastAsia="zh-CN"/>
        </w:rPr>
        <w:t>）</w:t>
      </w:r>
      <w:r>
        <w:rPr>
          <w:rFonts w:hint="eastAsia" w:hAnsi="宋体" w:cs="宋体"/>
          <w:highlight w:val="none"/>
        </w:rPr>
        <w:t>产业转移工业园</w:t>
      </w:r>
      <w:r>
        <w:rPr>
          <w:rFonts w:hint="eastAsia" w:hAnsi="宋体" w:cs="宋体"/>
          <w:highlight w:val="none"/>
          <w:lang w:eastAsia="zh-CN"/>
        </w:rPr>
        <w:t>（</w:t>
      </w:r>
      <w:r>
        <w:rPr>
          <w:rFonts w:hint="eastAsia" w:hAnsi="宋体" w:cs="宋体"/>
          <w:highlight w:val="none"/>
        </w:rPr>
        <w:t>原南雄市精细化工园</w:t>
      </w:r>
      <w:r>
        <w:rPr>
          <w:rFonts w:hint="eastAsia" w:hAnsi="宋体" w:cs="宋体"/>
          <w:highlight w:val="none"/>
          <w:lang w:eastAsia="zh-CN"/>
        </w:rPr>
        <w:t>）</w:t>
      </w:r>
      <w:r>
        <w:rPr>
          <w:rFonts w:hint="eastAsia" w:hAnsi="宋体" w:cs="宋体"/>
          <w:highlight w:val="none"/>
        </w:rPr>
        <w:t>发展一路6号。项目用地面积2793平方米，建有综合检验检测大楼1栋，占地面积530平方米，建筑面积2122平方米，为五层楼高框架结构建筑体。项目总投资超2000万元。完成检验站大楼、附属设施工程以及实验室内部装修，通过政府采购购置检验设备，2015年上半年完成检验设备已安装、调试到位，并开始试运行。该站通过计量体系资质认证和资质认定。2015年4月28日正式开展对外检测业务，服务园区企业。园区17家企业签订合作协议，和合作企业进行过多次检测检验项目，产品质量合格率达到100%。10月底，检验站承接省专项监督抽查检验任务，12月底全面完成100多家企业产品省抽检任务。该站将全面建成检、学、研一体化的技术服务平台，为精细化工产业持续、稳定、长远发展提供良好技术服务。</w:t>
      </w:r>
    </w:p>
    <w:p w14:paraId="5D0F01D7">
      <w:pPr>
        <w:pStyle w:val="4"/>
        <w:bidi w:val="0"/>
        <w:rPr>
          <w:rFonts w:hint="eastAsia"/>
          <w:highlight w:val="none"/>
        </w:rPr>
      </w:pPr>
      <w:r>
        <w:rPr>
          <w:rFonts w:hint="eastAsia"/>
          <w:highlight w:val="none"/>
        </w:rPr>
        <w:t>【队伍建设】</w:t>
      </w:r>
    </w:p>
    <w:p w14:paraId="2BA7F960">
      <w:pPr>
        <w:rPr>
          <w:rFonts w:hint="eastAsia" w:hAnsi="宋体" w:cs="宋体"/>
          <w:highlight w:val="none"/>
        </w:rPr>
      </w:pPr>
      <w:r>
        <w:rPr>
          <w:rFonts w:hint="eastAsia" w:hAnsi="宋体" w:cs="宋体"/>
          <w:highlight w:val="none"/>
        </w:rPr>
        <w:t>强化干部队伍建设，履职能力水平全面提升。主动适应新形势、新要求，围绕工商、质监职能转型升级，稳妥推进管理体制改革，夯实基层基础，提升履职能力。</w:t>
      </w:r>
    </w:p>
    <w:p w14:paraId="2FD89C6F">
      <w:pPr>
        <w:rPr>
          <w:rFonts w:hint="eastAsia" w:hAnsi="宋体" w:cs="宋体"/>
          <w:highlight w:val="none"/>
        </w:rPr>
      </w:pPr>
      <w:r>
        <w:rPr>
          <w:rFonts w:hint="eastAsia" w:hAnsi="宋体" w:cs="宋体"/>
          <w:highlight w:val="none"/>
        </w:rPr>
        <w:t>系统体制调整工作稳妥推进。认真贯彻落实体制调整实施方案，全面实施工商、质监部门由省级以下垂直管理向分级管理的体制调整，完成了人、财、物的移交工作，成为韶关市第一个率先圆满完成机构改革任务的县级市场监督管理局，系统体制调整工作实现平稳过渡。</w:t>
      </w:r>
    </w:p>
    <w:p w14:paraId="086127E2">
      <w:pPr>
        <w:rPr>
          <w:rFonts w:hint="eastAsia" w:hAnsi="宋体" w:cs="宋体"/>
          <w:highlight w:val="none"/>
        </w:rPr>
      </w:pPr>
      <w:r>
        <w:rPr>
          <w:rFonts w:hint="eastAsia" w:hAnsi="宋体" w:cs="宋体"/>
          <w:highlight w:val="none"/>
        </w:rPr>
        <w:t>党风政风行风建设全面加强。扎实开展“三严三实”专题教育，努力实现“转职能、转方式、转作风、树正气、树形象”，深入开展纪律教育学习月活动，开展“四风”整治，开展车改，严格规范监督管理，提高行政执行能力，进一步推动了政风行风和机关效能建设的不断深化。</w:t>
      </w:r>
    </w:p>
    <w:p w14:paraId="0D56FEC6">
      <w:pPr>
        <w:rPr>
          <w:rFonts w:hint="eastAsia" w:hAnsi="宋体" w:cs="宋体"/>
          <w:highlight w:val="none"/>
        </w:rPr>
      </w:pPr>
      <w:r>
        <w:rPr>
          <w:rFonts w:hint="eastAsia" w:hAnsi="宋体" w:cs="宋体"/>
          <w:highlight w:val="none"/>
        </w:rPr>
        <w:t>扎实推进法治市监建设。组织全系统干部认真学习新修改法律法规，提高干部依法行政能力和业务工作水平。把保密教育纳入“六五”普法规划，组织全体人员认真学习《保密法》等相关保密法律、法规和文件的精神，增强领导干部、涉密人员的保密法纪意识。作为负有工商、质监两大行政监管职能的执法单位，充分发挥职能优势，落实行政执法责任制，实行阳光执法，公正办案，大力开展打假、打私、打传以及消费维权活动，为社会经济发展保驾护航发挥市场监管主力军的作用。（王丽娜）</w:t>
      </w:r>
    </w:p>
    <w:p w14:paraId="3BCD6534">
      <w:pPr>
        <w:rPr>
          <w:rFonts w:hint="eastAsia" w:hAnsi="宋体" w:eastAsia="宋体" w:cs="宋体"/>
          <w:b w:val="0"/>
          <w:bCs w:val="0"/>
          <w:highlight w:val="none"/>
          <w:lang w:eastAsia="zh-CN"/>
        </w:rPr>
      </w:pPr>
      <w:r>
        <w:rPr>
          <w:rFonts w:hint="eastAsia" w:hAnsi="宋体" w:cs="宋体"/>
          <w:b w:val="0"/>
          <w:bCs w:val="0"/>
          <w:highlight w:val="none"/>
        </w:rPr>
        <w:t>附：2015年市市场监督管理局领导班子成员名单</w:t>
      </w:r>
    </w:p>
    <w:p w14:paraId="6C184347">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长：谭志良</w:t>
      </w:r>
    </w:p>
    <w:p w14:paraId="6C995BF2">
      <w:pPr>
        <w:rPr>
          <w:rFonts w:hint="eastAsia" w:hAnsi="宋体" w:eastAsia="宋体" w:cs="宋体"/>
          <w:b w:val="0"/>
          <w:bCs w:val="0"/>
          <w:highlight w:val="none"/>
          <w:lang w:eastAsia="zh-CN"/>
        </w:rPr>
      </w:pPr>
      <w:r>
        <w:rPr>
          <w:rFonts w:hint="eastAsia" w:hAnsi="宋体" w:cs="宋体"/>
          <w:b w:val="0"/>
          <w:bCs w:val="0"/>
          <w:highlight w:val="none"/>
        </w:rPr>
        <w:t>党组书记：张海南</w:t>
      </w:r>
    </w:p>
    <w:p w14:paraId="61CA596D">
      <w:pPr>
        <w:rPr>
          <w:rFonts w:hint="eastAsia" w:hAnsi="宋体" w:eastAsia="宋体" w:cs="宋体"/>
          <w:b w:val="0"/>
          <w:bCs w:val="0"/>
          <w:highlight w:val="none"/>
          <w:lang w:eastAsia="zh-CN"/>
        </w:rPr>
      </w:pPr>
      <w:r>
        <w:rPr>
          <w:rFonts w:hint="eastAsia" w:hAnsi="宋体" w:cs="宋体"/>
          <w:b w:val="0"/>
          <w:bCs w:val="0"/>
          <w:highlight w:val="none"/>
        </w:rPr>
        <w:t>副局长：黄哲勇 廖发文 熊文荣廖国红 董永洲</w:t>
      </w:r>
    </w:p>
    <w:p w14:paraId="1BE3DA46">
      <w:pPr>
        <w:pStyle w:val="3"/>
        <w:bidi w:val="0"/>
        <w:rPr>
          <w:rFonts w:hint="eastAsia"/>
          <w:highlight w:val="none"/>
        </w:rPr>
      </w:pPr>
      <w:r>
        <w:rPr>
          <w:rFonts w:hint="eastAsia"/>
          <w:highlight w:val="none"/>
        </w:rPr>
        <w:t>国土资源管理</w:t>
      </w:r>
    </w:p>
    <w:p w14:paraId="1402A056">
      <w:pPr>
        <w:pStyle w:val="4"/>
        <w:bidi w:val="0"/>
        <w:rPr>
          <w:rFonts w:hint="eastAsia"/>
          <w:highlight w:val="none"/>
        </w:rPr>
      </w:pPr>
      <w:r>
        <w:rPr>
          <w:rFonts w:hint="eastAsia"/>
          <w:highlight w:val="none"/>
        </w:rPr>
        <w:t>【概况】</w:t>
      </w:r>
    </w:p>
    <w:p w14:paraId="6C3D3E8F">
      <w:pPr>
        <w:rPr>
          <w:rFonts w:hint="eastAsia" w:hAnsi="宋体" w:cs="宋体"/>
          <w:highlight w:val="none"/>
        </w:rPr>
      </w:pPr>
      <w:r>
        <w:rPr>
          <w:rFonts w:hint="eastAsia" w:hAnsi="宋体" w:cs="宋体"/>
          <w:highlight w:val="none"/>
        </w:rPr>
        <w:t>南雄市国土局1986年成立，2001年国土局与地矿局合并组建国土资源局。全系统现有在编干部职工70人，内设办公室、人事监察股、规划用地股、土地市场管理股、地籍管理股、地质矿产资源管理股、执法监察大队、耕地保护股、测绘管理股、南雄市不动产登记局10个内设机构</w:t>
      </w:r>
      <w:r>
        <w:rPr>
          <w:rFonts w:hint="eastAsia" w:hAnsi="宋体" w:cs="宋体"/>
          <w:highlight w:val="none"/>
          <w:lang w:eastAsia="zh-CN"/>
        </w:rPr>
        <w:t>，</w:t>
      </w:r>
      <w:r>
        <w:rPr>
          <w:rFonts w:hint="eastAsia" w:hAnsi="宋体" w:cs="宋体"/>
          <w:highlight w:val="none"/>
        </w:rPr>
        <w:t>下辖土地开发整理中心、国土资源测绘队、不动产登记中心3个下属事业单位和18个镇（街道）国土资源所。获广东省国土资源厅奖励2015年新增建设用地指标150亩，被评为全国国土资源管理系统“六五”普法先进单位。</w:t>
      </w:r>
    </w:p>
    <w:p w14:paraId="4296A502">
      <w:pPr>
        <w:pStyle w:val="4"/>
        <w:bidi w:val="0"/>
        <w:rPr>
          <w:rFonts w:hint="eastAsia"/>
          <w:highlight w:val="none"/>
        </w:rPr>
      </w:pPr>
      <w:r>
        <w:rPr>
          <w:rFonts w:hint="eastAsia"/>
          <w:highlight w:val="none"/>
        </w:rPr>
        <w:t>【用地报批】</w:t>
      </w:r>
    </w:p>
    <w:p w14:paraId="0232B4C1">
      <w:pPr>
        <w:rPr>
          <w:rFonts w:hint="eastAsia" w:hAnsi="宋体" w:cs="宋体"/>
          <w:highlight w:val="none"/>
        </w:rPr>
      </w:pPr>
      <w:r>
        <w:rPr>
          <w:rFonts w:hint="eastAsia" w:hAnsi="宋体" w:cs="宋体"/>
          <w:highlight w:val="none"/>
        </w:rPr>
        <w:t>争取用地指标1739</w:t>
      </w:r>
      <w:r>
        <w:rPr>
          <w:rFonts w:hint="eastAsia" w:ascii="MingLiU_HKSCS" w:hAnsi="MingLiU_HKSCS" w:eastAsia="MingLiU_HKSCS" w:cs="MingLiU_HKSCS"/>
          <w:highlight w:val="none"/>
        </w:rPr>
        <w:t>.</w:t>
      </w:r>
      <w:r>
        <w:rPr>
          <w:rFonts w:hint="eastAsia" w:hAnsi="宋体" w:cs="宋体"/>
          <w:highlight w:val="none"/>
        </w:rPr>
        <w:t>36亩，组织6个批次1684</w:t>
      </w:r>
      <w:r>
        <w:rPr>
          <w:rFonts w:hint="eastAsia" w:ascii="MingLiU_HKSCS" w:hAnsi="MingLiU_HKSCS" w:eastAsia="MingLiU_HKSCS" w:cs="MingLiU_HKSCS"/>
          <w:highlight w:val="none"/>
        </w:rPr>
        <w:t>.</w:t>
      </w:r>
      <w:r>
        <w:rPr>
          <w:rFonts w:hint="eastAsia" w:hAnsi="宋体" w:cs="宋体"/>
          <w:highlight w:val="none"/>
        </w:rPr>
        <w:t>28亩建设用地，获上级国土资源部门批复1248</w:t>
      </w:r>
      <w:r>
        <w:rPr>
          <w:rFonts w:hint="eastAsia" w:ascii="MingLiU_HKSCS" w:hAnsi="MingLiU_HKSCS" w:eastAsia="MingLiU_HKSCS" w:cs="MingLiU_HKSCS"/>
          <w:highlight w:val="none"/>
        </w:rPr>
        <w:t>.</w:t>
      </w:r>
      <w:r>
        <w:rPr>
          <w:rFonts w:hint="eastAsia" w:hAnsi="宋体" w:cs="宋体"/>
          <w:highlight w:val="none"/>
        </w:rPr>
        <w:t>24亩，涉及华电项目、火车站至城区连接公路建设用地、北城区项目、新城中学异地新建、产业转移工业园等重点项目用地。犁牛坪风电场项目和前岭风电场项目用地预审获省厅批复同意。南雄市征地监管系统完成项目招投标，并在北城区项目、华电项目中运行使用。完成农村个人建房用地审批40宗、村集体建房用地1宗，面积4591</w:t>
      </w:r>
      <w:r>
        <w:rPr>
          <w:rFonts w:hint="eastAsia" w:ascii="MingLiU_HKSCS" w:hAnsi="MingLiU_HKSCS" w:eastAsia="MingLiU_HKSCS" w:cs="MingLiU_HKSCS"/>
          <w:highlight w:val="none"/>
        </w:rPr>
        <w:t>.</w:t>
      </w:r>
      <w:r>
        <w:rPr>
          <w:rFonts w:hint="eastAsia" w:hAnsi="宋体" w:cs="宋体"/>
          <w:highlight w:val="none"/>
        </w:rPr>
        <w:t>55平方米。完成其他项目拟用地申请规划核查6宗。完成2宗设施农用地备案工作，收取土地复垦保证金11520元。</w:t>
      </w:r>
    </w:p>
    <w:p w14:paraId="3728875E">
      <w:pPr>
        <w:pStyle w:val="4"/>
        <w:bidi w:val="0"/>
        <w:rPr>
          <w:rFonts w:hint="eastAsia"/>
          <w:highlight w:val="none"/>
        </w:rPr>
      </w:pPr>
      <w:r>
        <w:rPr>
          <w:rFonts w:hint="eastAsia"/>
          <w:highlight w:val="none"/>
        </w:rPr>
        <w:t>【规划修编】</w:t>
      </w:r>
    </w:p>
    <w:p w14:paraId="3A8CDCB5">
      <w:pPr>
        <w:rPr>
          <w:rFonts w:hint="eastAsia" w:hAnsi="宋体" w:cs="宋体"/>
          <w:highlight w:val="none"/>
        </w:rPr>
      </w:pPr>
      <w:r>
        <w:rPr>
          <w:rFonts w:hint="eastAsia" w:hAnsi="宋体" w:cs="宋体"/>
          <w:highlight w:val="none"/>
        </w:rPr>
        <w:t>完成江头镇有条件建设区使用方案、南雄市土地利用总体规划有条件建设区使用方案（北城区项目）编制工作。开展南雄市土地利用总体规划调整完善工作，调整地块202个。确定划定永久基本农田项目技术单位，并基本完成划定永久基本农田工作。完成南雄市2014年耕地质量等级年度更新评价项目编制工作。</w:t>
      </w:r>
    </w:p>
    <w:p w14:paraId="7200AC5E">
      <w:pPr>
        <w:pStyle w:val="4"/>
        <w:bidi w:val="0"/>
        <w:rPr>
          <w:rFonts w:hint="eastAsia"/>
          <w:highlight w:val="none"/>
        </w:rPr>
      </w:pPr>
      <w:r>
        <w:rPr>
          <w:rFonts w:hint="eastAsia"/>
          <w:highlight w:val="none"/>
        </w:rPr>
        <w:t>【城乡建设用地增减挂钩】</w:t>
      </w:r>
    </w:p>
    <w:p w14:paraId="4546E2D3">
      <w:pPr>
        <w:rPr>
          <w:rFonts w:hint="eastAsia" w:hAnsi="宋体" w:cs="宋体"/>
          <w:highlight w:val="none"/>
        </w:rPr>
      </w:pPr>
      <w:r>
        <w:rPr>
          <w:rFonts w:hint="eastAsia" w:hAnsi="宋体" w:cs="宋体"/>
          <w:highlight w:val="none"/>
        </w:rPr>
        <w:t>雄州街道项目区全面完工，归还周转指标42</w:t>
      </w:r>
      <w:r>
        <w:rPr>
          <w:rFonts w:hint="eastAsia" w:ascii="MingLiU_HKSCS" w:hAnsi="MingLiU_HKSCS" w:eastAsia="MingLiU_HKSCS" w:cs="MingLiU_HKSCS"/>
          <w:highlight w:val="none"/>
        </w:rPr>
        <w:t>.</w:t>
      </w:r>
      <w:r>
        <w:rPr>
          <w:rFonts w:hint="eastAsia" w:hAnsi="宋体" w:cs="宋体"/>
          <w:highlight w:val="none"/>
        </w:rPr>
        <w:t>62亩，其中耕地40</w:t>
      </w:r>
      <w:r>
        <w:rPr>
          <w:rFonts w:hint="eastAsia" w:ascii="MingLiU_HKSCS" w:hAnsi="MingLiU_HKSCS" w:eastAsia="MingLiU_HKSCS" w:cs="MingLiU_HKSCS"/>
          <w:highlight w:val="none"/>
        </w:rPr>
        <w:t>.</w:t>
      </w:r>
      <w:r>
        <w:rPr>
          <w:rFonts w:hint="eastAsia" w:hAnsi="宋体" w:cs="宋体"/>
          <w:highlight w:val="none"/>
        </w:rPr>
        <w:t>51亩；百顺镇、珠玑镇项目完成验收；古市镇项目基本完工；邓坊镇项目获省国土资源厅批复的拆旧复垦规模945</w:t>
      </w:r>
      <w:r>
        <w:rPr>
          <w:rFonts w:hint="eastAsia" w:ascii="MingLiU_HKSCS" w:hAnsi="MingLiU_HKSCS" w:eastAsia="MingLiU_HKSCS" w:cs="MingLiU_HKSCS"/>
          <w:highlight w:val="none"/>
        </w:rPr>
        <w:t>.</w:t>
      </w:r>
      <w:r>
        <w:rPr>
          <w:rFonts w:hint="eastAsia" w:hAnsi="宋体" w:cs="宋体"/>
          <w:highlight w:val="none"/>
        </w:rPr>
        <w:t>18亩，进行拆旧复垦工程建设。</w:t>
      </w:r>
    </w:p>
    <w:p w14:paraId="4347E0BB">
      <w:pPr>
        <w:pStyle w:val="4"/>
        <w:bidi w:val="0"/>
        <w:rPr>
          <w:rFonts w:hint="eastAsia"/>
          <w:highlight w:val="none"/>
        </w:rPr>
      </w:pPr>
      <w:r>
        <w:rPr>
          <w:rFonts w:hint="eastAsia"/>
          <w:highlight w:val="none"/>
        </w:rPr>
        <w:t>【土地供应及供后监管】</w:t>
      </w:r>
    </w:p>
    <w:p w14:paraId="6572E0FC">
      <w:pPr>
        <w:rPr>
          <w:rFonts w:hint="eastAsia" w:hAnsi="宋体" w:cs="宋体"/>
          <w:highlight w:val="none"/>
        </w:rPr>
      </w:pPr>
      <w:r>
        <w:rPr>
          <w:rFonts w:hint="eastAsia" w:hAnsi="宋体" w:cs="宋体"/>
          <w:highlight w:val="none"/>
        </w:rPr>
        <w:t>编制2015年土地供应计划。全市2015年供地482</w:t>
      </w:r>
      <w:r>
        <w:rPr>
          <w:rFonts w:hint="eastAsia" w:ascii="MingLiU_HKSCS" w:hAnsi="MingLiU_HKSCS" w:eastAsia="MingLiU_HKSCS" w:cs="MingLiU_HKSCS"/>
          <w:highlight w:val="none"/>
        </w:rPr>
        <w:t>.</w:t>
      </w:r>
      <w:r>
        <w:rPr>
          <w:rFonts w:hint="eastAsia" w:hAnsi="宋体" w:cs="宋体"/>
          <w:highlight w:val="none"/>
        </w:rPr>
        <w:t>59亩，其中无偿划拨供地7宗，面积75</w:t>
      </w:r>
      <w:r>
        <w:rPr>
          <w:rFonts w:hint="eastAsia" w:ascii="MingLiU_HKSCS" w:hAnsi="MingLiU_HKSCS" w:eastAsia="MingLiU_HKSCS" w:cs="MingLiU_HKSCS"/>
          <w:highlight w:val="none"/>
        </w:rPr>
        <w:t>.</w:t>
      </w:r>
      <w:r>
        <w:rPr>
          <w:rFonts w:hint="eastAsia" w:hAnsi="宋体" w:cs="宋体"/>
          <w:highlight w:val="none"/>
        </w:rPr>
        <w:t>66亩；协议出让47宗，出让面积1</w:t>
      </w:r>
      <w:r>
        <w:rPr>
          <w:rFonts w:hint="eastAsia" w:ascii="MingLiU_HKSCS" w:hAnsi="MingLiU_HKSCS" w:eastAsia="MingLiU_HKSCS" w:cs="MingLiU_HKSCS"/>
          <w:highlight w:val="none"/>
        </w:rPr>
        <w:t>.</w:t>
      </w:r>
      <w:r>
        <w:rPr>
          <w:rFonts w:hint="eastAsia" w:hAnsi="宋体" w:cs="宋体"/>
          <w:highlight w:val="none"/>
        </w:rPr>
        <w:t>725亩，收取出让金122</w:t>
      </w:r>
      <w:r>
        <w:rPr>
          <w:rFonts w:hint="eastAsia" w:ascii="MingLiU_HKSCS" w:hAnsi="MingLiU_HKSCS" w:eastAsia="MingLiU_HKSCS" w:cs="MingLiU_HKSCS"/>
          <w:highlight w:val="none"/>
        </w:rPr>
        <w:t>.</w:t>
      </w:r>
      <w:r>
        <w:rPr>
          <w:rFonts w:hint="eastAsia" w:hAnsi="宋体" w:cs="宋体"/>
          <w:highlight w:val="none"/>
        </w:rPr>
        <w:t>9417万元；签订出让合同的公开招拍挂出让土地18宗（均为网上交易），出让面积405</w:t>
      </w:r>
      <w:r>
        <w:rPr>
          <w:rFonts w:hint="eastAsia" w:ascii="MingLiU_HKSCS" w:hAnsi="MingLiU_HKSCS" w:eastAsia="MingLiU_HKSCS" w:cs="MingLiU_HKSCS"/>
          <w:highlight w:val="none"/>
        </w:rPr>
        <w:t>.</w:t>
      </w:r>
      <w:r>
        <w:rPr>
          <w:rFonts w:hint="eastAsia" w:hAnsi="宋体" w:cs="宋体"/>
          <w:highlight w:val="none"/>
        </w:rPr>
        <w:t>22亩，成交价款10996</w:t>
      </w:r>
      <w:r>
        <w:rPr>
          <w:rFonts w:hint="eastAsia" w:ascii="MingLiU_HKSCS" w:hAnsi="MingLiU_HKSCS" w:eastAsia="MingLiU_HKSCS" w:cs="MingLiU_HKSCS"/>
          <w:highlight w:val="none"/>
        </w:rPr>
        <w:t>.</w:t>
      </w:r>
      <w:r>
        <w:rPr>
          <w:rFonts w:hint="eastAsia" w:hAnsi="宋体" w:cs="宋体"/>
          <w:highlight w:val="none"/>
        </w:rPr>
        <w:t>3万元。开展节约集约利用评价工作，并上报市区域建设用地节约集约利用初始评价成果。</w:t>
      </w:r>
    </w:p>
    <w:p w14:paraId="48DFA0D8">
      <w:pPr>
        <w:pStyle w:val="4"/>
        <w:bidi w:val="0"/>
        <w:rPr>
          <w:rFonts w:hint="eastAsia"/>
          <w:highlight w:val="none"/>
        </w:rPr>
      </w:pPr>
      <w:r>
        <w:rPr>
          <w:rFonts w:hint="eastAsia"/>
          <w:highlight w:val="none"/>
        </w:rPr>
        <w:t>【“三旧”改造】</w:t>
      </w:r>
    </w:p>
    <w:p w14:paraId="2C6CBD20">
      <w:pPr>
        <w:rPr>
          <w:rFonts w:hint="eastAsia" w:hAnsi="宋体" w:cs="宋体"/>
          <w:highlight w:val="none"/>
        </w:rPr>
      </w:pPr>
      <w:r>
        <w:rPr>
          <w:rFonts w:hint="eastAsia" w:hAnsi="宋体" w:cs="宋体"/>
          <w:highlight w:val="none"/>
        </w:rPr>
        <w:t>雄南小区北侧、金友驾校项目、中山街地块一和地块二通过网上公开竞价确定改造主体；木制品厂、中医院南侧、花果山等3个项目的通过网上公开竞价确定收购企业且初步确定改造主体确定方案；河南街地块一、新城中学南侧、借村等3个项目开展收购企业确定的前期工作。完成2014年下半年和2015年上半年的“三旧”改造数据库增补入库工作。</w:t>
      </w:r>
    </w:p>
    <w:p w14:paraId="4CF841CE">
      <w:pPr>
        <w:pStyle w:val="4"/>
        <w:bidi w:val="0"/>
        <w:rPr>
          <w:rFonts w:hint="eastAsia"/>
          <w:highlight w:val="none"/>
        </w:rPr>
      </w:pPr>
      <w:r>
        <w:rPr>
          <w:rFonts w:hint="eastAsia"/>
          <w:highlight w:val="none"/>
        </w:rPr>
        <w:t>【耕地保护和土地开发】</w:t>
      </w:r>
    </w:p>
    <w:p w14:paraId="19B9BA6D">
      <w:pPr>
        <w:rPr>
          <w:rFonts w:hint="eastAsia" w:hAnsi="宋体" w:cs="宋体"/>
          <w:highlight w:val="none"/>
        </w:rPr>
      </w:pPr>
      <w:r>
        <w:rPr>
          <w:rFonts w:hint="eastAsia" w:hAnsi="宋体" w:cs="宋体"/>
          <w:highlight w:val="none"/>
        </w:rPr>
        <w:t>完成2014年度耕地保护责任目标任务，并通过省、市考核检查。高标准基本农田建设2012年项目获得韶关市级的验收确认函，2013年、2014年项目基本完工，2015年项目组织施工单位进场施工。建立基本农田保护经济补偿机制，实际安排2012年、2013年及2014年省级补助资金5301</w:t>
      </w:r>
      <w:r>
        <w:rPr>
          <w:rFonts w:hint="eastAsia" w:ascii="MingLiU_HKSCS" w:hAnsi="MingLiU_HKSCS" w:eastAsia="MingLiU_HKSCS" w:cs="MingLiU_HKSCS"/>
          <w:highlight w:val="none"/>
        </w:rPr>
        <w:t>.</w:t>
      </w:r>
      <w:r>
        <w:rPr>
          <w:rFonts w:hint="eastAsia" w:hAnsi="宋体" w:cs="宋体"/>
          <w:highlight w:val="none"/>
        </w:rPr>
        <w:t>8万元。基本完成2012年、2013年、2014年灾毁基本农田垦复项目。永久基本农田划定工作城市周边1</w:t>
      </w:r>
      <w:r>
        <w:rPr>
          <w:rFonts w:hint="eastAsia" w:ascii="MingLiU_HKSCS" w:hAnsi="MingLiU_HKSCS" w:eastAsia="MingLiU_HKSCS" w:cs="MingLiU_HKSCS"/>
          <w:highlight w:val="none"/>
        </w:rPr>
        <w:t>.</w:t>
      </w:r>
      <w:r>
        <w:rPr>
          <w:rFonts w:hint="eastAsia" w:hAnsi="宋体" w:cs="宋体"/>
          <w:highlight w:val="none"/>
        </w:rPr>
        <w:t>59万亩初步任务核实举证初步成果上报韶关。东莞市在南雄易地落实5000亩基本农田工作，做好地块面积的落实和图件资料准备等工作，并报韶关市人民政府批复。</w:t>
      </w:r>
    </w:p>
    <w:p w14:paraId="2198C5BC">
      <w:pPr>
        <w:pStyle w:val="4"/>
        <w:bidi w:val="0"/>
        <w:rPr>
          <w:rFonts w:hint="eastAsia"/>
          <w:highlight w:val="none"/>
        </w:rPr>
      </w:pPr>
      <w:r>
        <w:rPr>
          <w:rFonts w:hint="eastAsia"/>
          <w:highlight w:val="none"/>
        </w:rPr>
        <w:t>【土地执法】</w:t>
      </w:r>
    </w:p>
    <w:p w14:paraId="63D159CB">
      <w:pPr>
        <w:rPr>
          <w:rFonts w:hint="eastAsia" w:hAnsi="宋体" w:cs="宋体"/>
          <w:highlight w:val="none"/>
        </w:rPr>
      </w:pPr>
      <w:r>
        <w:rPr>
          <w:rFonts w:hint="eastAsia" w:hAnsi="宋体" w:cs="宋体"/>
          <w:highlight w:val="none"/>
        </w:rPr>
        <w:t>土地矿产卫片执法检查，经核查，2015年全市违法用地98宗，非立案处理78宗，落实处罚金额20</w:t>
      </w:r>
      <w:r>
        <w:rPr>
          <w:rFonts w:hint="eastAsia" w:ascii="MingLiU_HKSCS" w:hAnsi="MingLiU_HKSCS" w:eastAsia="MingLiU_HKSCS" w:cs="MingLiU_HKSCS"/>
          <w:highlight w:val="none"/>
        </w:rPr>
        <w:t>.</w:t>
      </w:r>
      <w:r>
        <w:rPr>
          <w:rFonts w:hint="eastAsia" w:hAnsi="宋体" w:cs="宋体"/>
          <w:highlight w:val="none"/>
        </w:rPr>
        <w:t>13万元。动态巡查下发《责令停止违法行为通知书》250份。加大“两违”整治工作力度，重点对珠玑、全安、湖口等地15宗违法用地采取强有力的整治行动。开展农村土地“三乱”专项治理，据摸底统计，全市62宗违法违规用地，总面积302</w:t>
      </w:r>
      <w:r>
        <w:rPr>
          <w:rFonts w:hint="eastAsia" w:ascii="MingLiU_HKSCS" w:hAnsi="MingLiU_HKSCS" w:eastAsia="MingLiU_HKSCS" w:cs="MingLiU_HKSCS"/>
          <w:highlight w:val="none"/>
        </w:rPr>
        <w:t>.</w:t>
      </w:r>
      <w:r>
        <w:rPr>
          <w:rFonts w:hint="eastAsia" w:hAnsi="宋体" w:cs="宋体"/>
          <w:highlight w:val="none"/>
        </w:rPr>
        <w:t>9671亩（耕地120</w:t>
      </w:r>
      <w:r>
        <w:rPr>
          <w:rFonts w:hint="eastAsia" w:ascii="MingLiU_HKSCS" w:hAnsi="MingLiU_HKSCS" w:eastAsia="MingLiU_HKSCS" w:cs="MingLiU_HKSCS"/>
          <w:highlight w:val="none"/>
        </w:rPr>
        <w:t>.</w:t>
      </w:r>
      <w:r>
        <w:rPr>
          <w:rFonts w:hint="eastAsia" w:hAnsi="宋体" w:cs="宋体"/>
          <w:highlight w:val="none"/>
        </w:rPr>
        <w:t>96亩），其中59宗乱占，1宗乱卖，2宗乱租。已拆除6宗，面积14</w:t>
      </w:r>
      <w:r>
        <w:rPr>
          <w:rFonts w:hint="eastAsia" w:ascii="MingLiU_HKSCS" w:hAnsi="MingLiU_HKSCS" w:eastAsia="MingLiU_HKSCS" w:cs="MingLiU_HKSCS"/>
          <w:highlight w:val="none"/>
        </w:rPr>
        <w:t>.</w:t>
      </w:r>
      <w:r>
        <w:rPr>
          <w:rFonts w:hint="eastAsia" w:hAnsi="宋体" w:cs="宋体"/>
          <w:highlight w:val="none"/>
        </w:rPr>
        <w:t>68亩；复垦复绿2宗，面积11</w:t>
      </w:r>
      <w:r>
        <w:rPr>
          <w:rFonts w:hint="eastAsia" w:ascii="MingLiU_HKSCS" w:hAnsi="MingLiU_HKSCS" w:eastAsia="MingLiU_HKSCS" w:cs="MingLiU_HKSCS"/>
          <w:highlight w:val="none"/>
        </w:rPr>
        <w:t>.</w:t>
      </w:r>
      <w:r>
        <w:rPr>
          <w:rFonts w:hint="eastAsia" w:hAnsi="宋体" w:cs="宋体"/>
          <w:highlight w:val="none"/>
        </w:rPr>
        <w:t>11亩。受理群众来电18宗，来信65宗，来访20宗。</w:t>
      </w:r>
    </w:p>
    <w:p w14:paraId="496EBDA6">
      <w:pPr>
        <w:pStyle w:val="4"/>
        <w:bidi w:val="0"/>
        <w:rPr>
          <w:rFonts w:hint="eastAsia"/>
          <w:highlight w:val="none"/>
        </w:rPr>
      </w:pPr>
      <w:r>
        <w:rPr>
          <w:rFonts w:hint="eastAsia"/>
          <w:highlight w:val="none"/>
        </w:rPr>
        <w:t>【地籍和测绘信息管理】</w:t>
      </w:r>
    </w:p>
    <w:p w14:paraId="445C3528">
      <w:pPr>
        <w:rPr>
          <w:rFonts w:hint="eastAsia" w:hAnsi="宋体" w:cs="宋体"/>
          <w:highlight w:val="none"/>
        </w:rPr>
      </w:pPr>
      <w:r>
        <w:rPr>
          <w:rFonts w:hint="eastAsia" w:hAnsi="宋体" w:cs="宋体"/>
          <w:highlight w:val="none"/>
        </w:rPr>
        <w:t>完成雄州街道宅基地调查统计调查统计数据库建设。全年办理国有土地使用证982本，集体土地使用证61本，抵押登记87宗。完成2014年土地年度变更调查和第一次全国地理国情普查。设立“南雄市不动产登记局”和“南雄市不动产登记中心”，建成南雄市不动产登记系统，颁发韶关市第一批不动产权证书。完成数字南雄地块空间框架建设项目、《一村一镇一地图》项目外业调绘、南雄市第一次地理国情普查、领导机关工作用图印刷工作。</w:t>
      </w:r>
    </w:p>
    <w:p w14:paraId="5B9A2829">
      <w:pPr>
        <w:pStyle w:val="4"/>
        <w:bidi w:val="0"/>
        <w:rPr>
          <w:rFonts w:hint="eastAsia"/>
          <w:highlight w:val="none"/>
        </w:rPr>
      </w:pPr>
      <w:r>
        <w:rPr>
          <w:rFonts w:hint="eastAsia"/>
          <w:highlight w:val="none"/>
        </w:rPr>
        <w:t>【矿政管理和地灾防治】</w:t>
      </w:r>
    </w:p>
    <w:p w14:paraId="4D6C40AB">
      <w:pPr>
        <w:rPr>
          <w:rFonts w:hint="eastAsia" w:hAnsi="宋体" w:cs="宋体"/>
          <w:b w:val="0"/>
          <w:bCs w:val="0"/>
          <w:highlight w:val="none"/>
        </w:rPr>
      </w:pPr>
      <w:r>
        <w:rPr>
          <w:rFonts w:hint="eastAsia" w:hAnsi="宋体" w:cs="宋体"/>
          <w:highlight w:val="none"/>
        </w:rPr>
        <w:t>完成探矿权年检初检工作，督促矿山企业及时缴交矿产资源补偿费及采矿权使用费。完成珠玑镇梅岭中站顺发石场、彤置富水泥山大石岭石场采矿权延续工作。办理1宗矿产资源压覆查询。发布实施《南雄市2015年度地质灾害防治方案》《南雄市突发地质灾害应急预案》，举办2015年度地质灾害避险应急演练，利用“6·25”全国土地日开展宣传活动。加强对澜河牛麻坑地质灾害隐患点治理项目的监管工作。开展节前安全生产大检查工作和夏季消防专</w:t>
      </w:r>
      <w:r>
        <w:rPr>
          <w:rFonts w:hint="eastAsia" w:hAnsi="宋体" w:cs="宋体"/>
          <w:b w:val="0"/>
          <w:bCs w:val="0"/>
          <w:highlight w:val="none"/>
        </w:rPr>
        <w:t>项检查工作。推进省级地质公园揭碑开园工作。（吴晓莹）</w:t>
      </w:r>
    </w:p>
    <w:p w14:paraId="70789E91">
      <w:pPr>
        <w:rPr>
          <w:rFonts w:hint="eastAsia" w:hAnsi="宋体" w:eastAsia="宋体" w:cs="宋体"/>
          <w:b w:val="0"/>
          <w:bCs w:val="0"/>
          <w:highlight w:val="none"/>
          <w:lang w:eastAsia="zh-CN"/>
        </w:rPr>
      </w:pPr>
      <w:r>
        <w:rPr>
          <w:rFonts w:hint="eastAsia" w:hAnsi="宋体" w:cs="宋体"/>
          <w:b w:val="0"/>
          <w:bCs w:val="0"/>
          <w:highlight w:val="none"/>
        </w:rPr>
        <w:t>附：2015年市国土资源局领导班子成员名单</w:t>
      </w:r>
    </w:p>
    <w:p w14:paraId="1A62CC78">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长：张政平</w:t>
      </w:r>
    </w:p>
    <w:p w14:paraId="75F91586">
      <w:pPr>
        <w:rPr>
          <w:rFonts w:hint="eastAsia" w:hAnsi="宋体" w:eastAsia="宋体" w:cs="宋体"/>
          <w:b w:val="0"/>
          <w:bCs w:val="0"/>
          <w:highlight w:val="none"/>
          <w:lang w:eastAsia="zh-CN"/>
        </w:rPr>
      </w:pPr>
      <w:r>
        <w:rPr>
          <w:rFonts w:hint="eastAsia" w:hAnsi="宋体" w:cs="宋体"/>
          <w:b w:val="0"/>
          <w:bCs w:val="0"/>
          <w:highlight w:val="none"/>
        </w:rPr>
        <w:t>副局长：叶地状（任至8月）</w:t>
      </w:r>
    </w:p>
    <w:p w14:paraId="3CAEECF6">
      <w:pPr>
        <w:ind w:firstLine="1260" w:firstLineChars="600"/>
        <w:rPr>
          <w:rFonts w:hint="eastAsia" w:hAnsi="宋体" w:eastAsia="宋体" w:cs="宋体"/>
          <w:b w:val="0"/>
          <w:bCs w:val="0"/>
          <w:highlight w:val="none"/>
          <w:lang w:eastAsia="zh-CN"/>
        </w:rPr>
      </w:pPr>
      <w:r>
        <w:rPr>
          <w:rFonts w:hint="eastAsia" w:hAnsi="宋体" w:cs="宋体"/>
          <w:b w:val="0"/>
          <w:bCs w:val="0"/>
          <w:highlight w:val="none"/>
        </w:rPr>
        <w:t>邓德华（任至8月）</w:t>
      </w:r>
    </w:p>
    <w:p w14:paraId="0BCEC0EB">
      <w:pPr>
        <w:ind w:firstLine="1260" w:firstLineChars="600"/>
        <w:rPr>
          <w:rFonts w:hint="eastAsia" w:hAnsi="宋体" w:cs="宋体"/>
          <w:b w:val="0"/>
          <w:bCs w:val="0"/>
          <w:highlight w:val="none"/>
        </w:rPr>
      </w:pPr>
      <w:r>
        <w:rPr>
          <w:rFonts w:hint="eastAsia" w:hAnsi="宋体" w:cs="宋体"/>
          <w:b w:val="0"/>
          <w:bCs w:val="0"/>
          <w:highlight w:val="none"/>
        </w:rPr>
        <w:t>谢桂英</w:t>
      </w:r>
    </w:p>
    <w:p w14:paraId="1CB3770B">
      <w:pPr>
        <w:ind w:firstLine="1260" w:firstLineChars="600"/>
        <w:rPr>
          <w:rFonts w:hint="eastAsia" w:hAnsi="宋体" w:eastAsia="宋体" w:cs="宋体"/>
          <w:b w:val="0"/>
          <w:bCs w:val="0"/>
          <w:highlight w:val="none"/>
          <w:lang w:eastAsia="zh-CN"/>
        </w:rPr>
      </w:pPr>
      <w:r>
        <w:rPr>
          <w:rFonts w:hint="eastAsia" w:hAnsi="宋体" w:cs="宋体"/>
          <w:b w:val="0"/>
          <w:bCs w:val="0"/>
          <w:highlight w:val="none"/>
        </w:rPr>
        <w:t>彭刚建（12月任）</w:t>
      </w:r>
    </w:p>
    <w:p w14:paraId="24435702">
      <w:pPr>
        <w:ind w:firstLine="1260" w:firstLineChars="600"/>
        <w:rPr>
          <w:rFonts w:hint="eastAsia" w:hAnsi="宋体" w:eastAsia="宋体" w:cs="宋体"/>
          <w:b w:val="0"/>
          <w:bCs w:val="0"/>
          <w:highlight w:val="none"/>
          <w:lang w:eastAsia="zh-CN"/>
        </w:rPr>
      </w:pPr>
      <w:r>
        <w:rPr>
          <w:rFonts w:hint="eastAsia" w:hAnsi="宋体" w:cs="宋体"/>
          <w:b w:val="0"/>
          <w:bCs w:val="0"/>
          <w:highlight w:val="none"/>
        </w:rPr>
        <w:t>费才林（10月挂任）</w:t>
      </w:r>
    </w:p>
    <w:p w14:paraId="25B387CB">
      <w:pPr>
        <w:rPr>
          <w:rFonts w:hint="eastAsia" w:hAnsi="宋体" w:eastAsia="宋体" w:cs="宋体"/>
          <w:b w:val="0"/>
          <w:bCs w:val="0"/>
          <w:highlight w:val="none"/>
          <w:lang w:eastAsia="zh-CN"/>
        </w:rPr>
      </w:pPr>
      <w:r>
        <w:rPr>
          <w:rFonts w:hint="eastAsia" w:hAnsi="宋体" w:cs="宋体"/>
          <w:b w:val="0"/>
          <w:bCs w:val="0"/>
          <w:highlight w:val="none"/>
        </w:rPr>
        <w:t>纪检组长：郭盛斌</w:t>
      </w:r>
    </w:p>
    <w:p w14:paraId="6117A68C">
      <w:pPr>
        <w:pStyle w:val="3"/>
        <w:bidi w:val="0"/>
        <w:rPr>
          <w:rFonts w:hint="eastAsia" w:eastAsia="宋体"/>
          <w:highlight w:val="none"/>
          <w:lang w:eastAsia="zh-CN"/>
        </w:rPr>
      </w:pPr>
      <w:r>
        <w:rPr>
          <w:rFonts w:hint="eastAsia"/>
          <w:highlight w:val="none"/>
        </w:rPr>
        <w:t>国有资产管理</w:t>
      </w:r>
    </w:p>
    <w:p w14:paraId="376DFC6E">
      <w:pPr>
        <w:pStyle w:val="4"/>
        <w:bidi w:val="0"/>
        <w:rPr>
          <w:rFonts w:hint="eastAsia"/>
          <w:highlight w:val="none"/>
        </w:rPr>
      </w:pPr>
      <w:r>
        <w:rPr>
          <w:rFonts w:hint="eastAsia"/>
          <w:highlight w:val="none"/>
        </w:rPr>
        <w:t>【概况】</w:t>
      </w:r>
    </w:p>
    <w:p w14:paraId="2FCAB18A">
      <w:pPr>
        <w:rPr>
          <w:rFonts w:hint="eastAsia" w:hAnsi="宋体" w:cs="宋体"/>
          <w:highlight w:val="none"/>
        </w:rPr>
      </w:pPr>
      <w:r>
        <w:rPr>
          <w:rFonts w:hint="eastAsia" w:hAnsi="宋体" w:cs="宋体"/>
          <w:highlight w:val="none"/>
        </w:rPr>
        <w:t>南雄市国有资产监督管理委员会办公室（简称国资办）为市人民政府管理的公益一类事业单位，内设产权综合股和考核统评股，核定事业编制9名。</w:t>
      </w:r>
    </w:p>
    <w:p w14:paraId="0EE61BB3">
      <w:pPr>
        <w:pStyle w:val="4"/>
        <w:bidi w:val="0"/>
        <w:rPr>
          <w:rFonts w:hint="eastAsia"/>
          <w:highlight w:val="none"/>
        </w:rPr>
      </w:pPr>
      <w:r>
        <w:rPr>
          <w:rFonts w:hint="eastAsia"/>
          <w:highlight w:val="none"/>
        </w:rPr>
        <w:t>【国企改革发展】</w:t>
      </w:r>
    </w:p>
    <w:p w14:paraId="5CDF86E5">
      <w:pPr>
        <w:rPr>
          <w:rFonts w:hint="eastAsia" w:hAnsi="宋体" w:cs="宋体"/>
          <w:highlight w:val="none"/>
        </w:rPr>
      </w:pPr>
      <w:r>
        <w:rPr>
          <w:rFonts w:hint="eastAsia" w:hAnsi="宋体" w:cs="宋体"/>
          <w:highlight w:val="none"/>
        </w:rPr>
        <w:t>按照市党政班子会议要求，化解历史遗留债务，国资办代表各涉债单位以一次性还本免息的方式化解欠农业银行历史遗留债务本息6700多万元。国资办与涉债单位签订《债务处置授权委托书》，与农行签订《债务减免意向书》《债务减免申请书》《还款计划及还款承诺》。8月18日，国资办与农业银行南雄市支行签订《债务减免协议书》，一次性减免利息4974万元。</w:t>
      </w:r>
    </w:p>
    <w:p w14:paraId="15988F9B">
      <w:pPr>
        <w:rPr>
          <w:rFonts w:hint="eastAsia" w:hAnsi="宋体" w:cs="宋体"/>
          <w:highlight w:val="none"/>
        </w:rPr>
      </w:pPr>
      <w:r>
        <w:rPr>
          <w:rFonts w:hint="eastAsia" w:hAnsi="宋体" w:cs="宋体"/>
          <w:highlight w:val="none"/>
        </w:rPr>
        <w:t>重点项目建设国资办配合“三旧”改造项目，依法完成木制品厂、医药公司的拆迁工作。城投</w:t>
      </w:r>
      <w:r>
        <w:rPr>
          <w:rFonts w:hint="eastAsia" w:hAnsi="宋体" w:cs="宋体"/>
          <w:highlight w:val="none"/>
          <w:lang w:eastAsia="zh-CN"/>
        </w:rPr>
        <w:t>公司</w:t>
      </w:r>
      <w:r>
        <w:rPr>
          <w:rFonts w:hint="eastAsia" w:hAnsi="宋体" w:cs="宋体"/>
          <w:highlight w:val="none"/>
        </w:rPr>
        <w:t>2015年承建项目24个，完工项目6个，在建项目7个，筹建项目11个，完成城市危旧改造回迁安置综合楼工程、市人武部战备库室调整建设工程等重点工程项目。</w:t>
      </w:r>
    </w:p>
    <w:p w14:paraId="3FED7230">
      <w:pPr>
        <w:rPr>
          <w:rFonts w:hint="eastAsia" w:hAnsi="宋体" w:cs="宋体"/>
          <w:highlight w:val="none"/>
        </w:rPr>
      </w:pPr>
      <w:r>
        <w:rPr>
          <w:rFonts w:hint="eastAsia" w:hAnsi="宋体" w:cs="宋体"/>
          <w:highlight w:val="none"/>
        </w:rPr>
        <w:t>广电网络与省公司重组国资办按照市委、市政府工作部署，推动南雄市广电网络与省广播电视网络股份有限公司改革重组，实行市场化运作。南雄市成为韶关第一个完成广电网络改革重组的县（市、区）。</w:t>
      </w:r>
    </w:p>
    <w:p w14:paraId="67F8060D">
      <w:pPr>
        <w:rPr>
          <w:rFonts w:hint="eastAsia" w:hAnsi="宋体" w:cs="宋体"/>
          <w:highlight w:val="none"/>
        </w:rPr>
      </w:pPr>
      <w:r>
        <w:rPr>
          <w:rFonts w:hint="eastAsia" w:hAnsi="宋体" w:cs="宋体"/>
          <w:highlight w:val="none"/>
        </w:rPr>
        <w:t>完善国资监管体制机制国资办创新监管手段，加强风险管理控制体系建设，委托社会审计机构对企业进行财务审计。实施“三重一大”决策事项报告制度，规范企业决策程序。制定《南雄市市属国有企业领导人员履职待遇和业务支出管理办法》，对监管（所属）企业的领导人员履职待遇和业务支出进行监督管理。</w:t>
      </w:r>
    </w:p>
    <w:p w14:paraId="588FAAEC">
      <w:pPr>
        <w:rPr>
          <w:rFonts w:hint="eastAsia" w:hAnsi="宋体" w:cs="宋体"/>
          <w:highlight w:val="none"/>
        </w:rPr>
      </w:pPr>
      <w:r>
        <w:rPr>
          <w:rFonts w:hint="eastAsia" w:hAnsi="宋体" w:cs="宋体"/>
          <w:highlight w:val="none"/>
        </w:rPr>
        <w:t>提升景区接待能力和服务质量国资办发挥国资监管职能，协同多个部门做好停车场的规划设计等工作，修建完工一个能停2000部小车的停车场，缓解旅游高峰造成的停车难问题，大大提升景区接待能力。</w:t>
      </w:r>
    </w:p>
    <w:p w14:paraId="379CFF11">
      <w:pPr>
        <w:pStyle w:val="4"/>
        <w:bidi w:val="0"/>
        <w:rPr>
          <w:rFonts w:hint="eastAsia"/>
          <w:highlight w:val="none"/>
        </w:rPr>
      </w:pPr>
      <w:r>
        <w:rPr>
          <w:rFonts w:hint="eastAsia"/>
          <w:highlight w:val="none"/>
        </w:rPr>
        <w:t>【助力地方国企】</w:t>
      </w:r>
    </w:p>
    <w:p w14:paraId="3EBE8C03">
      <w:pPr>
        <w:rPr>
          <w:rFonts w:hint="eastAsia" w:hAnsi="宋体" w:cs="宋体"/>
          <w:highlight w:val="none"/>
        </w:rPr>
      </w:pPr>
      <w:r>
        <w:rPr>
          <w:rFonts w:hint="eastAsia" w:hAnsi="宋体" w:cs="宋体"/>
          <w:highlight w:val="none"/>
        </w:rPr>
        <w:t>浈江电业公司2015年发电量为4000万千瓦时，发电收入为2000万元；翠屏公司在完成1730亩的造林任务（含补种）、抚育中幼林5450</w:t>
      </w:r>
      <w:r>
        <w:rPr>
          <w:rFonts w:hint="eastAsia" w:ascii="MingLiU_HKSCS" w:hAnsi="MingLiU_HKSCS" w:eastAsia="MingLiU_HKSCS" w:cs="MingLiU_HKSCS"/>
          <w:highlight w:val="none"/>
        </w:rPr>
        <w:t>.</w:t>
      </w:r>
      <w:r>
        <w:rPr>
          <w:rFonts w:hint="eastAsia" w:hAnsi="宋体" w:cs="宋体"/>
          <w:highlight w:val="none"/>
        </w:rPr>
        <w:t>9多亩、育苗20多亩的基础上，采取“木材公开销售竞拍”的竞标销售机制，木材销售6000立方米，销售收入577万元，公司下属电站上网电度1000万千瓦时，销售收入375万元。市政公司2015年公开投标工程总造价2317万元，邀请投标工程总造价1914万元，缴纳税收2414</w:t>
      </w:r>
      <w:r>
        <w:rPr>
          <w:rFonts w:hint="eastAsia" w:ascii="MingLiU_HKSCS" w:hAnsi="MingLiU_HKSCS" w:eastAsia="MingLiU_HKSCS" w:cs="MingLiU_HKSCS"/>
          <w:highlight w:val="none"/>
        </w:rPr>
        <w:t>.</w:t>
      </w:r>
      <w:r>
        <w:rPr>
          <w:rFonts w:hint="eastAsia" w:hAnsi="宋体" w:cs="宋体"/>
          <w:highlight w:val="none"/>
        </w:rPr>
        <w:t>5万元。</w:t>
      </w:r>
    </w:p>
    <w:p w14:paraId="7E5B93F7">
      <w:pPr>
        <w:pStyle w:val="4"/>
        <w:bidi w:val="0"/>
        <w:rPr>
          <w:rFonts w:hint="eastAsia"/>
          <w:highlight w:val="none"/>
        </w:rPr>
      </w:pPr>
      <w:r>
        <w:rPr>
          <w:rFonts w:hint="eastAsia"/>
          <w:highlight w:val="none"/>
        </w:rPr>
        <w:t>【融资担保服务】</w:t>
      </w:r>
    </w:p>
    <w:p w14:paraId="30DC9CD5">
      <w:pPr>
        <w:rPr>
          <w:rFonts w:hint="eastAsia" w:hAnsi="宋体" w:cs="宋体"/>
          <w:highlight w:val="none"/>
        </w:rPr>
      </w:pPr>
      <w:r>
        <w:rPr>
          <w:rFonts w:hint="eastAsia" w:hAnsi="宋体" w:cs="宋体"/>
          <w:highlight w:val="none"/>
        </w:rPr>
        <w:t>担保公司2015年为南雄市中小微企业累计担保38455万元，为200多户黄烟种植户提供1400多万元短期生产性资金。</w:t>
      </w:r>
    </w:p>
    <w:p w14:paraId="787C2CE0">
      <w:pPr>
        <w:pStyle w:val="4"/>
        <w:bidi w:val="0"/>
        <w:rPr>
          <w:rFonts w:hint="eastAsia"/>
          <w:highlight w:val="none"/>
        </w:rPr>
      </w:pPr>
      <w:r>
        <w:rPr>
          <w:rFonts w:hint="eastAsia"/>
          <w:highlight w:val="none"/>
        </w:rPr>
        <w:t>【国有资产增值发展】</w:t>
      </w:r>
    </w:p>
    <w:p w14:paraId="575AD9F4">
      <w:pPr>
        <w:rPr>
          <w:rFonts w:hint="eastAsia" w:hAnsi="宋体" w:cs="宋体"/>
          <w:highlight w:val="none"/>
        </w:rPr>
      </w:pPr>
      <w:r>
        <w:rPr>
          <w:rFonts w:hint="eastAsia" w:hAnsi="宋体" w:cs="宋体"/>
          <w:highlight w:val="none"/>
        </w:rPr>
        <w:t>2015年组织四期公开招租，全年租金增长近50万元。公开拍卖汽车5辆，起拍价19</w:t>
      </w:r>
      <w:r>
        <w:rPr>
          <w:rFonts w:hint="eastAsia" w:ascii="MingLiU_HKSCS" w:hAnsi="MingLiU_HKSCS" w:eastAsia="MingLiU_HKSCS" w:cs="MingLiU_HKSCS"/>
          <w:highlight w:val="none"/>
        </w:rPr>
        <w:t>.</w:t>
      </w:r>
      <w:r>
        <w:rPr>
          <w:rFonts w:hint="eastAsia" w:hAnsi="宋体" w:cs="宋体"/>
          <w:highlight w:val="none"/>
        </w:rPr>
        <w:t>3万元，成交价23</w:t>
      </w:r>
      <w:r>
        <w:rPr>
          <w:rFonts w:hint="eastAsia" w:ascii="MingLiU_HKSCS" w:hAnsi="MingLiU_HKSCS" w:eastAsia="MingLiU_HKSCS" w:cs="MingLiU_HKSCS"/>
          <w:highlight w:val="none"/>
        </w:rPr>
        <w:t>.</w:t>
      </w:r>
      <w:r>
        <w:rPr>
          <w:rFonts w:hint="eastAsia" w:hAnsi="宋体" w:cs="宋体"/>
          <w:highlight w:val="none"/>
        </w:rPr>
        <w:t>2万元；房产3宗，起拍价184</w:t>
      </w:r>
      <w:r>
        <w:rPr>
          <w:rFonts w:hint="eastAsia" w:ascii="MingLiU_HKSCS" w:hAnsi="MingLiU_HKSCS" w:eastAsia="MingLiU_HKSCS" w:cs="MingLiU_HKSCS"/>
          <w:highlight w:val="none"/>
        </w:rPr>
        <w:t>.</w:t>
      </w:r>
      <w:r>
        <w:rPr>
          <w:rFonts w:hint="eastAsia" w:hAnsi="宋体" w:cs="宋体"/>
          <w:highlight w:val="none"/>
        </w:rPr>
        <w:t>6万元元，成交价198万元。</w:t>
      </w:r>
    </w:p>
    <w:p w14:paraId="257BDE51">
      <w:pPr>
        <w:pStyle w:val="4"/>
        <w:bidi w:val="0"/>
        <w:rPr>
          <w:rFonts w:hint="eastAsia"/>
          <w:highlight w:val="none"/>
        </w:rPr>
      </w:pPr>
      <w:r>
        <w:rPr>
          <w:rFonts w:hint="eastAsia"/>
          <w:highlight w:val="none"/>
        </w:rPr>
        <w:t>【信访维稳】</w:t>
      </w:r>
    </w:p>
    <w:p w14:paraId="31D5F1E4">
      <w:pPr>
        <w:rPr>
          <w:rFonts w:hint="eastAsia" w:hAnsi="宋体" w:cs="宋体"/>
          <w:highlight w:val="none"/>
        </w:rPr>
      </w:pPr>
      <w:r>
        <w:rPr>
          <w:rFonts w:hint="eastAsia" w:hAnsi="宋体" w:cs="宋体"/>
          <w:highlight w:val="none"/>
        </w:rPr>
        <w:t>继续解决国企职教幼教退休教师待遇问题，协调解决二轻、外贸公司退休人员的工资调整。</w:t>
      </w:r>
    </w:p>
    <w:p w14:paraId="4C987F51">
      <w:pPr>
        <w:pStyle w:val="4"/>
        <w:bidi w:val="0"/>
        <w:rPr>
          <w:rFonts w:hint="eastAsia"/>
          <w:highlight w:val="none"/>
        </w:rPr>
      </w:pPr>
      <w:r>
        <w:rPr>
          <w:rFonts w:hint="eastAsia"/>
          <w:highlight w:val="none"/>
        </w:rPr>
        <w:t>【安全生产】</w:t>
      </w:r>
    </w:p>
    <w:p w14:paraId="4AA493AB">
      <w:pPr>
        <w:rPr>
          <w:rFonts w:hint="eastAsia" w:hAnsi="宋体" w:cs="宋体"/>
          <w:b w:val="0"/>
          <w:bCs w:val="0"/>
          <w:highlight w:val="none"/>
        </w:rPr>
      </w:pPr>
      <w:r>
        <w:rPr>
          <w:rFonts w:hint="eastAsia" w:hAnsi="宋体" w:cs="宋体"/>
          <w:highlight w:val="none"/>
        </w:rPr>
        <w:t>8月组织开展安全生产大检查专项行动，根据《国资办安全生产大检查实施方案》列出的检查重点内容，对照企业自查表，一条一条、一项一项检查，不放过一处隐患，不漏掉一</w:t>
      </w:r>
      <w:r>
        <w:rPr>
          <w:rFonts w:hint="eastAsia" w:hAnsi="宋体" w:cs="宋体"/>
          <w:b w:val="0"/>
          <w:bCs w:val="0"/>
          <w:highlight w:val="none"/>
        </w:rPr>
        <w:t>处细节。国资监管企业2015年未发生一起安全事故。（王勇）</w:t>
      </w:r>
    </w:p>
    <w:p w14:paraId="376CD192">
      <w:pPr>
        <w:rPr>
          <w:rFonts w:hint="eastAsia" w:hAnsi="宋体" w:eastAsia="宋体" w:cs="宋体"/>
          <w:b w:val="0"/>
          <w:bCs w:val="0"/>
          <w:highlight w:val="none"/>
          <w:lang w:eastAsia="zh-CN"/>
        </w:rPr>
      </w:pPr>
      <w:r>
        <w:rPr>
          <w:rFonts w:hint="eastAsia" w:hAnsi="宋体" w:cs="宋体"/>
          <w:b w:val="0"/>
          <w:bCs w:val="0"/>
          <w:highlight w:val="none"/>
        </w:rPr>
        <w:t>附：2015年市国资办领导班子成员名单</w:t>
      </w:r>
    </w:p>
    <w:p w14:paraId="5B0E4628">
      <w:pPr>
        <w:rPr>
          <w:rFonts w:hint="eastAsia" w:hAnsi="宋体" w:eastAsia="宋体" w:cs="宋体"/>
          <w:b w:val="0"/>
          <w:bCs w:val="0"/>
          <w:highlight w:val="none"/>
          <w:lang w:eastAsia="zh-CN"/>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任：陈健生（任至12月）</w:t>
      </w:r>
    </w:p>
    <w:p w14:paraId="57C9D63A">
      <w:pPr>
        <w:rPr>
          <w:rFonts w:hint="eastAsia" w:hAnsi="宋体" w:eastAsia="宋体" w:cs="宋体"/>
          <w:b w:val="0"/>
          <w:bCs w:val="0"/>
          <w:highlight w:val="none"/>
          <w:lang w:eastAsia="zh-CN"/>
        </w:rPr>
      </w:pPr>
      <w:r>
        <w:rPr>
          <w:rFonts w:hint="eastAsia" w:hAnsi="宋体" w:cs="宋体"/>
          <w:b w:val="0"/>
          <w:bCs w:val="0"/>
          <w:highlight w:val="none"/>
        </w:rPr>
        <w:t>周铁山（12月任）</w:t>
      </w:r>
    </w:p>
    <w:p w14:paraId="43738DD4">
      <w:pPr>
        <w:rPr>
          <w:rFonts w:hint="eastAsia" w:hAnsi="宋体" w:eastAsia="宋体" w:cs="宋体"/>
          <w:b w:val="0"/>
          <w:bCs w:val="0"/>
          <w:highlight w:val="none"/>
          <w:lang w:eastAsia="zh-CN"/>
        </w:rPr>
      </w:pPr>
      <w:r>
        <w:rPr>
          <w:rFonts w:hint="eastAsia" w:hAnsi="宋体" w:cs="宋体"/>
          <w:b w:val="0"/>
          <w:bCs w:val="0"/>
          <w:highlight w:val="none"/>
        </w:rPr>
        <w:t>纪检组长：陈昌发</w:t>
      </w:r>
    </w:p>
    <w:p w14:paraId="710EA8A1">
      <w:pPr>
        <w:rPr>
          <w:rFonts w:hint="eastAsia" w:hAnsi="宋体" w:eastAsia="宋体" w:cs="宋体"/>
          <w:b w:val="0"/>
          <w:bCs w:val="0"/>
          <w:highlight w:val="none"/>
          <w:lang w:eastAsia="zh-CN"/>
        </w:rPr>
      </w:pPr>
      <w:r>
        <w:rPr>
          <w:rFonts w:hint="eastAsia" w:hAnsi="宋体" w:cs="宋体"/>
          <w:b w:val="0"/>
          <w:bCs w:val="0"/>
          <w:highlight w:val="none"/>
        </w:rPr>
        <w:t>副主任：刘世峰（4月任）</w:t>
      </w:r>
    </w:p>
    <w:p w14:paraId="07AB0276">
      <w:pPr>
        <w:pStyle w:val="3"/>
        <w:bidi w:val="0"/>
        <w:rPr>
          <w:rFonts w:hint="eastAsia"/>
          <w:highlight w:val="none"/>
        </w:rPr>
      </w:pPr>
      <w:r>
        <w:rPr>
          <w:rFonts w:hint="eastAsia"/>
          <w:highlight w:val="none"/>
        </w:rPr>
        <w:t>食品药品监督管理</w:t>
      </w:r>
    </w:p>
    <w:p w14:paraId="396AA905">
      <w:pPr>
        <w:pStyle w:val="4"/>
        <w:bidi w:val="0"/>
        <w:rPr>
          <w:rFonts w:hint="eastAsia"/>
          <w:highlight w:val="none"/>
        </w:rPr>
      </w:pPr>
      <w:r>
        <w:rPr>
          <w:rFonts w:hint="eastAsia"/>
          <w:highlight w:val="none"/>
        </w:rPr>
        <w:t>【概况】</w:t>
      </w:r>
    </w:p>
    <w:p w14:paraId="4AB090FB">
      <w:pPr>
        <w:rPr>
          <w:rFonts w:hint="eastAsia" w:hAnsi="宋体" w:cs="宋体"/>
          <w:highlight w:val="none"/>
        </w:rPr>
      </w:pPr>
      <w:r>
        <w:rPr>
          <w:rFonts w:hint="eastAsia" w:hAnsi="宋体" w:cs="宋体"/>
          <w:highlight w:val="none"/>
        </w:rPr>
        <w:t>南雄市食品药品监督管理局前身是2001年9月成立的韶关市药品监督管理局南雄分局，为韶关市药品监督管理局派出机构。2004年机构改革，在韶关市药品监督管理局南雄分局基础上组建广东省南雄市食品药品监督管理局，为广东省韶关市食品药品监督管理局直属机构。2010年机构改革，设立南雄市食品药品监督管理局，为市人民政府工作部门。2014年机构改革，南雄市食品药品监督管理局为市人民政府工作部门，负责全市药品、保健食品、化妆品、医疗器械、餐饮食品、酒类流通、食品生产加工和食品流通安全监管工作。正科级。2015年局机关设有职能股室9个：办公室、政策法规股（行政审批股）、综合协调股（应急管理办公室）、食品生产安全监管股、食品流通安全监管股、食品餐饮安全监管股、药品医疗器械监管股、保健食品化妆品监管股、稽查分局（副科级）。下辖食品药品监测中心1个事业单位和全安、珠玑、乌迳、黄坑、水口、澜河6个食品药品监督管理所。系统行政编制54人，后勤服务人员3人，巡查人员3人，事业编制10人，在职人数64人；机关42人，基层监管所22人。</w:t>
      </w:r>
    </w:p>
    <w:p w14:paraId="12DDD824">
      <w:pPr>
        <w:pStyle w:val="4"/>
        <w:bidi w:val="0"/>
        <w:rPr>
          <w:rFonts w:hint="eastAsia"/>
          <w:highlight w:val="none"/>
        </w:rPr>
      </w:pPr>
      <w:r>
        <w:rPr>
          <w:rFonts w:hint="eastAsia"/>
          <w:highlight w:val="none"/>
        </w:rPr>
        <w:t>【食品药品安全监管】</w:t>
      </w:r>
    </w:p>
    <w:p w14:paraId="11901BD6">
      <w:pPr>
        <w:rPr>
          <w:rFonts w:hint="eastAsia" w:hAnsi="宋体" w:cs="宋体"/>
          <w:highlight w:val="none"/>
        </w:rPr>
      </w:pPr>
      <w:r>
        <w:rPr>
          <w:rFonts w:hint="eastAsia" w:hAnsi="宋体" w:cs="宋体"/>
          <w:highlight w:val="none"/>
        </w:rPr>
        <w:t>2015年开展“四品一械”日常监管和专项整治工作，严厉打击食品药品违法犯罪行为，规范“四品一械”生产经营企业行为。探索网格化日常监管模式，将全市4300家“四品一械”企业日常监管、专项整治落实到监管网格，做到定人、定点、定责任，形成“横向到边、纵向到底、覆盖全市”的市、镇、村三级食品药品监管网格。坚持以查办案件为突破口，规范食品药品行业生产经营行为，震慑食品药品各类违法犯罪。全面落实行政执法责任制，加强执法监督，通过以各种先进手段提高侦查案件效率，以强大威慑力震慑犯罪。将抽验工作与稽查工作相结合，提高执法检查的针对性，对抽验不合格率较高的单位和品种，实行重点监管，增加监督频率。进一步完善行政执法与刑事司法衔接，建立健全与司法部门的信息通报、联合办案、提前介入和联合督办等机制，提高大案要案办理效率。截至12月5日，立案86宗，办结案件84宗，移送司法机关1宗，罚没款51</w:t>
      </w:r>
      <w:r>
        <w:rPr>
          <w:rFonts w:hint="eastAsia" w:ascii="MingLiU_HKSCS" w:hAnsi="MingLiU_HKSCS" w:eastAsia="MingLiU_HKSCS" w:cs="MingLiU_HKSCS"/>
          <w:highlight w:val="none"/>
        </w:rPr>
        <w:t>.</w:t>
      </w:r>
      <w:r>
        <w:rPr>
          <w:rFonts w:hint="eastAsia" w:hAnsi="宋体" w:cs="宋体"/>
          <w:highlight w:val="none"/>
        </w:rPr>
        <w:t>05万元。</w:t>
      </w:r>
    </w:p>
    <w:p w14:paraId="7F1740C7">
      <w:pPr>
        <w:pStyle w:val="4"/>
        <w:bidi w:val="0"/>
        <w:rPr>
          <w:rFonts w:hint="eastAsia"/>
          <w:highlight w:val="none"/>
        </w:rPr>
      </w:pPr>
      <w:r>
        <w:rPr>
          <w:rFonts w:hint="eastAsia"/>
          <w:highlight w:val="none"/>
        </w:rPr>
        <w:t>【探索网格化监管，完善监管体系】</w:t>
      </w:r>
    </w:p>
    <w:p w14:paraId="7AE4DB4F">
      <w:pPr>
        <w:rPr>
          <w:rFonts w:hint="eastAsia" w:hAnsi="宋体" w:cs="宋体"/>
          <w:highlight w:val="none"/>
        </w:rPr>
      </w:pPr>
      <w:r>
        <w:rPr>
          <w:rFonts w:hint="eastAsia" w:hAnsi="宋体" w:cs="宋体"/>
          <w:highlight w:val="none"/>
        </w:rPr>
        <w:t>结合市2015年巩固省文明卫生城市复检验收工作以及省市试行网格化监管模式，探索2+3（即网上办事大厅、行政OA系统、基本台账、日常记录、巡查记录）网格化日常监管模式，成效明显。具体做法是将17个镇分为6个区域，1个基层所管辖1个区域，市区（雄州街道）划分为3个片区，局本部工作人员分成3个小组，每个小组负责一个片区和指导两个基层所的四品一械日常监管工作，实行分片包干责任制，严格落实“四品一械”日常监管工作。同时通过网格化监管模式，坚持问题导向，强化风险管理，以风险预测预警机制为抓手，突出重点，管好重点品种、重点领域、重点环节，建立起专项整治的长效机制。2015年12月，广东省药品安全网格化监管现场交流会在南雄举行，试行2+3网格化监管模式得到与会领导高度评价。</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A551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1FA059E">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50135"/>
                  <wp:effectExtent l="0" t="0" r="8890" b="12065"/>
                  <wp:docPr id="66" name="图片 319" descr="熏制辣椒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19" descr="熏制辣椒12"/>
                          <pic:cNvPicPr>
                            <a:picLocks noChangeAspect="1"/>
                          </pic:cNvPicPr>
                        </pic:nvPicPr>
                        <pic:blipFill>
                          <a:blip r:embed="rId71"/>
                          <a:stretch>
                            <a:fillRect/>
                          </a:stretch>
                        </pic:blipFill>
                        <pic:spPr>
                          <a:xfrm>
                            <a:off x="0" y="0"/>
                            <a:ext cx="3420110" cy="2350135"/>
                          </a:xfrm>
                          <a:prstGeom prst="rect">
                            <a:avLst/>
                          </a:prstGeom>
                          <a:noFill/>
                          <a:ln>
                            <a:noFill/>
                          </a:ln>
                        </pic:spPr>
                      </pic:pic>
                    </a:graphicData>
                  </a:graphic>
                </wp:inline>
              </w:drawing>
            </w:r>
          </w:p>
        </w:tc>
      </w:tr>
      <w:tr w14:paraId="1739B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03F55CC">
            <w:pPr>
              <w:jc w:val="center"/>
              <w:rPr>
                <w:rFonts w:hint="eastAsia" w:hAnsi="宋体" w:cs="宋体"/>
                <w:highlight w:val="none"/>
                <w:vertAlign w:val="baseline"/>
              </w:rPr>
            </w:pPr>
            <w:r>
              <w:rPr>
                <w:rFonts w:hint="eastAsia" w:hAnsi="宋体" w:cs="宋体"/>
                <w:highlight w:val="none"/>
                <w:vertAlign w:val="baseline"/>
              </w:rPr>
              <w:t>销毁硫黄熏制辣椒</w:t>
            </w:r>
          </w:p>
        </w:tc>
      </w:tr>
    </w:tbl>
    <w:p w14:paraId="705464D1">
      <w:pPr>
        <w:pStyle w:val="4"/>
        <w:bidi w:val="0"/>
        <w:rPr>
          <w:rFonts w:hint="eastAsia"/>
          <w:highlight w:val="none"/>
        </w:rPr>
      </w:pPr>
      <w:r>
        <w:rPr>
          <w:rFonts w:hint="eastAsia"/>
          <w:highlight w:val="none"/>
        </w:rPr>
        <w:t>【食品药品风险监测】</w:t>
      </w:r>
    </w:p>
    <w:p w14:paraId="09DA4E9D">
      <w:pPr>
        <w:rPr>
          <w:rFonts w:hint="eastAsia" w:hAnsi="宋体" w:cs="宋体"/>
          <w:highlight w:val="none"/>
        </w:rPr>
      </w:pPr>
      <w:r>
        <w:rPr>
          <w:rFonts w:hint="eastAsia" w:hAnsi="宋体" w:cs="宋体"/>
          <w:highlight w:val="none"/>
        </w:rPr>
        <w:t>加快食品药品检验检测中心建设，充分运用快筛快检技术的筛查功能，提高抽检靶向命中率，2015年完成本级财政食品抽检530批次、食品药品快筛快检565批次、药品监督抽验100批次，中药饮片评价专项抽验20批次，保健食品、化妆品20次；完成国家、省、韶关市级食品抽检158批次。强化风险监测工作。加强药品、医疗器械生产、经营企业、医疗机构不良反应（事件）监测的网络建设和日常工作的督导，按时上报、统计药品、医疗器械不良反应（事件）报告。上报药品不良反应报告207份，医疗器械不良事件59份，化妆品不良反应7份。及时做好国家、省、市食品药品监管部门关于食品安全风险监测问题样品的核查处置工作。结合实际，完善健全食品药品安全应急预案。以农村集体聚餐、学校食堂食品安全突发事件为重点，加强应急演练，提升突发事件响应及处置能力。成立食品药品安全委员会，充分发挥专家委员会的辅助决策作用，开展食品药品安全风险防范和应急处置能力培训，严格事故信息管理，减小负面影响和社会危害。</w:t>
      </w:r>
    </w:p>
    <w:p w14:paraId="51ED4AE4">
      <w:pPr>
        <w:pStyle w:val="4"/>
        <w:bidi w:val="0"/>
        <w:rPr>
          <w:rFonts w:hint="eastAsia"/>
          <w:highlight w:val="none"/>
        </w:rPr>
      </w:pPr>
      <w:r>
        <w:rPr>
          <w:rFonts w:hint="eastAsia"/>
          <w:highlight w:val="none"/>
        </w:rPr>
        <w:t>【构建食品药品安全齐抓共管社会共治格局】</w:t>
      </w:r>
    </w:p>
    <w:p w14:paraId="25AAC72A">
      <w:pPr>
        <w:rPr>
          <w:rFonts w:hint="eastAsia" w:hAnsi="宋体" w:cs="宋体"/>
          <w:highlight w:val="none"/>
        </w:rPr>
      </w:pPr>
      <w:r>
        <w:rPr>
          <w:rFonts w:hint="eastAsia" w:hAnsi="宋体" w:cs="宋体"/>
          <w:highlight w:val="none"/>
        </w:rPr>
        <w:t>为达到全民参与、人人支持和关注食品药品安全监管工作目标，全面发挥社会监督员监督作用，2015年聘请50名社会监督员参与食品药品安全监督，通过有奖举报、“黑名单”制度的宣传，鼓励社会各界参与食品药品监督热情，把监督网络延伸到消费者中间，掀起一场发动保卫食品药品安全人民的战争，让食品药品违法犯罪行为如过街老鼠，无藏身之处。同时利用好新闻舆论，引导群众正确认识当前的食品安全形势，理性看待当前食品安全问题，增强群众正确消费观念。发挥好各部门单位的联合作用，实现部门间职能良性互补、政策紧密衔接、管理相互支撑，形成监管工作合力，构建社会共治新格局。</w:t>
      </w:r>
    </w:p>
    <w:p w14:paraId="4C3FB85E">
      <w:pPr>
        <w:pStyle w:val="4"/>
        <w:bidi w:val="0"/>
        <w:rPr>
          <w:rFonts w:hint="eastAsia"/>
          <w:highlight w:val="none"/>
        </w:rPr>
      </w:pPr>
      <w:r>
        <w:rPr>
          <w:rFonts w:hint="eastAsia"/>
          <w:highlight w:val="none"/>
        </w:rPr>
        <w:t>【食品药品宣传】</w:t>
      </w:r>
    </w:p>
    <w:p w14:paraId="52D2221C">
      <w:pPr>
        <w:rPr>
          <w:rFonts w:hint="eastAsia" w:hAnsi="宋体" w:cs="宋体"/>
          <w:highlight w:val="none"/>
        </w:rPr>
      </w:pPr>
      <w:r>
        <w:rPr>
          <w:rFonts w:hint="eastAsia" w:hAnsi="宋体" w:cs="宋体"/>
          <w:highlight w:val="none"/>
        </w:rPr>
        <w:t>利用流动宣传车、电视、三影塔及大润发广场LED屏幕、金点子传媒滚动播放或刊登相关知识100余次，科普讲座和咨询活动进学校、农村、社区、机关、工厂等9次，牵头组织各类食品药品安全宣传活动3场次，在各镇和城区设置20个固定宣传专栏，发放宣传资料23万余份。</w:t>
      </w:r>
    </w:p>
    <w:p w14:paraId="66E1C40A">
      <w:pPr>
        <w:pStyle w:val="4"/>
        <w:bidi w:val="0"/>
        <w:rPr>
          <w:rFonts w:hint="eastAsia"/>
          <w:highlight w:val="none"/>
        </w:rPr>
      </w:pPr>
      <w:r>
        <w:rPr>
          <w:rFonts w:hint="eastAsia"/>
          <w:highlight w:val="none"/>
        </w:rPr>
        <w:t>【食品药品教育培训】</w:t>
      </w:r>
    </w:p>
    <w:p w14:paraId="032EC6AD">
      <w:pPr>
        <w:rPr>
          <w:rFonts w:hint="eastAsia" w:hAnsi="宋体" w:eastAsia="宋体" w:cs="宋体"/>
          <w:highlight w:val="none"/>
          <w:lang w:eastAsia="zh-CN"/>
        </w:rPr>
      </w:pPr>
      <w:r>
        <w:rPr>
          <w:rFonts w:hint="eastAsia" w:hAnsi="宋体" w:cs="宋体"/>
          <w:highlight w:val="none"/>
        </w:rPr>
        <w:t>加强培训力度，实现业务培训常态化、制度化，切实提高执法人员依法行政的水平。2015年执法人员参加省市举办的培训班约有80人次，基层执法人员跟班培训4期，快筛快检技能比赛1期，举办两期镇村食品药品协管员培训班，对镇村协管员进行业务培训。同时举办10期食品药品企业培训班，其中4期药学专业技术人员培训班，3期食品从业人员培训班，2期药品营业员培训班以及1期食安员培训班，加大对食品药品生产经营单位负责人和从业人员、GSP质管员、药品营业员等的食品药品安全知识培训，切实增强生产经营者文明诚信经营意识。</w:t>
      </w:r>
    </w:p>
    <w:p w14:paraId="2A564BA8">
      <w:pPr>
        <w:pStyle w:val="4"/>
        <w:bidi w:val="0"/>
        <w:rPr>
          <w:rFonts w:hint="eastAsia"/>
          <w:highlight w:val="none"/>
        </w:rPr>
      </w:pPr>
      <w:r>
        <w:rPr>
          <w:rFonts w:hint="eastAsia"/>
          <w:highlight w:val="none"/>
        </w:rPr>
        <w:t>【食品药品监管信息化建设】</w:t>
      </w:r>
    </w:p>
    <w:p w14:paraId="442E28C5">
      <w:pPr>
        <w:rPr>
          <w:rFonts w:hint="eastAsia" w:hAnsi="宋体" w:cs="宋体"/>
          <w:highlight w:val="none"/>
        </w:rPr>
      </w:pPr>
      <w:r>
        <w:rPr>
          <w:rFonts w:hint="eastAsia" w:hAnsi="宋体" w:cs="宋体"/>
          <w:highlight w:val="none"/>
        </w:rPr>
        <w:t>建立药品电子监管网络，2015年，南雄市23家镇以上医疗机构和133家药店、1家药品批发企业实现药品电子监管，覆盖率达100%。开展婴幼儿配方乳粉质量电子追溯平台建设，辖区68家经营婴幼儿配方乳粉单位实现加入率和上报率100%。坚持推进餐饮单位电子远程监管平台建设和明厨亮灶工程。2015年实现远程监管12家，完成中小型餐饮单位明厨亮灶工程50家。</w:t>
      </w:r>
    </w:p>
    <w:p w14:paraId="09AA1636">
      <w:pPr>
        <w:pStyle w:val="4"/>
        <w:bidi w:val="0"/>
        <w:rPr>
          <w:rFonts w:hint="eastAsia"/>
          <w:highlight w:val="none"/>
        </w:rPr>
      </w:pPr>
      <w:r>
        <w:rPr>
          <w:rFonts w:hint="eastAsia"/>
          <w:highlight w:val="none"/>
        </w:rPr>
        <w:t>【食品药品监管示范创建】</w:t>
      </w:r>
    </w:p>
    <w:p w14:paraId="04D4E475">
      <w:pPr>
        <w:rPr>
          <w:rFonts w:hint="eastAsia" w:hAnsi="宋体" w:cs="宋体"/>
          <w:highlight w:val="none"/>
        </w:rPr>
      </w:pPr>
      <w:r>
        <w:rPr>
          <w:rFonts w:hint="eastAsia" w:hAnsi="宋体" w:cs="宋体"/>
          <w:highlight w:val="none"/>
        </w:rPr>
        <w:t>开展创建青云路食品药品安全综合示范街（从三影塔广场到金叶桥头），完成药品、保健食品示范创建工作，6家餐饮店基本达到示范创建要求，3家食品经营店正在升级改造中；创建全安镇餐饮食品安全示范镇，2015年8家餐饮单位完成改造升级工作；抓好7家学校、幼儿园集体食堂示范创建；继续开展文明诚信示范药店创建活动。2015年全市15家药品零售企业获得“文明诚信示范药店”称号；全面推进基层监管所规范化工程建设和村（社区）食品药品安全协管员办公场所建设。</w:t>
      </w:r>
    </w:p>
    <w:p w14:paraId="40900C4D">
      <w:pPr>
        <w:pStyle w:val="4"/>
        <w:bidi w:val="0"/>
        <w:rPr>
          <w:rFonts w:hint="eastAsia"/>
          <w:highlight w:val="none"/>
        </w:rPr>
      </w:pPr>
      <w:r>
        <w:rPr>
          <w:rFonts w:hint="eastAsia"/>
          <w:highlight w:val="none"/>
        </w:rPr>
        <w:t>【食品药品监管信用分级管理】</w:t>
      </w:r>
    </w:p>
    <w:p w14:paraId="223004C4">
      <w:pPr>
        <w:rPr>
          <w:rFonts w:hint="eastAsia" w:hAnsi="宋体" w:cs="宋体"/>
          <w:highlight w:val="none"/>
        </w:rPr>
      </w:pPr>
      <w:r>
        <w:rPr>
          <w:rFonts w:hint="eastAsia" w:hAnsi="宋体" w:cs="宋体"/>
          <w:highlight w:val="none"/>
        </w:rPr>
        <w:t>对获得“餐饮服务许可证”餐饮服务单位开展信用量化分级评定。2015年底，完成量化分级管理评定692家，其中“A级”的28家，“B级”的391家，“C”级的273家；保健食品经营企业分级分类监管工作。2015年完成评级150家</w:t>
      </w:r>
      <w:r>
        <w:rPr>
          <w:rFonts w:hint="eastAsia" w:hAnsi="宋体" w:cs="宋体"/>
          <w:highlight w:val="none"/>
          <w:lang w:eastAsia="zh-CN"/>
        </w:rPr>
        <w:t>（</w:t>
      </w:r>
      <w:r>
        <w:rPr>
          <w:rFonts w:hint="eastAsia" w:hAnsi="宋体" w:cs="宋体"/>
          <w:highlight w:val="none"/>
        </w:rPr>
        <w:t>其中A级78家，B级43家，C级29家</w:t>
      </w:r>
      <w:r>
        <w:rPr>
          <w:rFonts w:hint="eastAsia" w:hAnsi="宋体" w:cs="宋体"/>
          <w:highlight w:val="none"/>
          <w:lang w:eastAsia="zh-CN"/>
        </w:rPr>
        <w:t>）</w:t>
      </w:r>
      <w:r>
        <w:rPr>
          <w:rFonts w:hint="eastAsia" w:hAnsi="宋体" w:cs="宋体"/>
          <w:highlight w:val="none"/>
        </w:rPr>
        <w:t>。</w:t>
      </w:r>
    </w:p>
    <w:p w14:paraId="3F675414">
      <w:pPr>
        <w:pStyle w:val="4"/>
        <w:bidi w:val="0"/>
        <w:rPr>
          <w:rFonts w:hint="eastAsia"/>
          <w:highlight w:val="none"/>
        </w:rPr>
      </w:pPr>
      <w:r>
        <w:rPr>
          <w:rFonts w:hint="eastAsia"/>
          <w:highlight w:val="none"/>
        </w:rPr>
        <w:t>【食品药品行政许可服务】</w:t>
      </w:r>
    </w:p>
    <w:p w14:paraId="68EB0534">
      <w:pPr>
        <w:rPr>
          <w:rFonts w:hint="eastAsia" w:hAnsi="宋体" w:cs="宋体"/>
          <w:highlight w:val="none"/>
        </w:rPr>
      </w:pPr>
      <w:r>
        <w:rPr>
          <w:rFonts w:hint="eastAsia" w:hAnsi="宋体" w:cs="宋体"/>
          <w:highlight w:val="none"/>
        </w:rPr>
        <w:t>在“宽准入、严监管”总体要求下，继续开展行政许可“一次性”告知活动，提高行政许可审批效率。继续推进和完善网上办事大厅，对于网上提交材料齐全的办事群众，只需在领证时带齐各项材料原件，经查验无误即可领证。使办事群众“一次往返，即可办结”。同时在珠玑所、黄坑所作为受理行政许可工作的试点，在取得经验基础上，将在2016年全面铺开。2015年核发“食品流通许可证”406份、“餐饮服务许可证”254份、“保健食品经营企业卫生许可证”83份、“药品经营质量管理规范证书”45份。（陈香）</w:t>
      </w:r>
    </w:p>
    <w:p w14:paraId="7EBECF4E">
      <w:pPr>
        <w:rPr>
          <w:rFonts w:hint="eastAsia" w:hAnsi="宋体" w:eastAsia="宋体" w:cs="宋体"/>
          <w:b w:val="0"/>
          <w:bCs w:val="0"/>
          <w:highlight w:val="none"/>
          <w:lang w:eastAsia="zh-CN"/>
        </w:rPr>
      </w:pPr>
      <w:r>
        <w:rPr>
          <w:rFonts w:hint="eastAsia" w:hAnsi="宋体" w:cs="宋体"/>
          <w:b w:val="0"/>
          <w:bCs w:val="0"/>
          <w:highlight w:val="none"/>
        </w:rPr>
        <w:t>附：2015年市食品药品监管局领导班子成员名单</w:t>
      </w:r>
    </w:p>
    <w:p w14:paraId="26AF7ECA">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长：吴敦林</w:t>
      </w:r>
    </w:p>
    <w:p w14:paraId="79F1371B">
      <w:pPr>
        <w:rPr>
          <w:rFonts w:hint="eastAsia" w:hAnsi="宋体" w:eastAsia="宋体" w:cs="宋体"/>
          <w:b w:val="0"/>
          <w:bCs w:val="0"/>
          <w:highlight w:val="none"/>
          <w:lang w:eastAsia="zh-CN"/>
        </w:rPr>
      </w:pPr>
      <w:r>
        <w:rPr>
          <w:rFonts w:hint="eastAsia" w:hAnsi="宋体" w:cs="宋体"/>
          <w:b w:val="0"/>
          <w:bCs w:val="0"/>
          <w:highlight w:val="none"/>
        </w:rPr>
        <w:t>副局长：刘继雄 陈瑶璇 赵永红</w:t>
      </w:r>
    </w:p>
    <w:p w14:paraId="62009941">
      <w:pPr>
        <w:rPr>
          <w:rFonts w:hint="eastAsia" w:hAnsi="宋体" w:eastAsia="宋体" w:cs="宋体"/>
          <w:b w:val="0"/>
          <w:bCs w:val="0"/>
          <w:highlight w:val="none"/>
          <w:lang w:eastAsia="zh-CN"/>
        </w:rPr>
      </w:pPr>
      <w:r>
        <w:rPr>
          <w:rFonts w:hint="eastAsia" w:hAnsi="宋体" w:cs="宋体"/>
          <w:b w:val="0"/>
          <w:bCs w:val="0"/>
          <w:highlight w:val="none"/>
        </w:rPr>
        <w:t>纪检组长：王</w:t>
      </w:r>
      <w:r>
        <w:rPr>
          <w:rFonts w:hint="eastAsia" w:hAnsi="宋体" w:cs="宋体"/>
          <w:b w:val="0"/>
          <w:bCs w:val="0"/>
          <w:highlight w:val="none"/>
          <w:lang w:val="en-US" w:eastAsia="zh-CN"/>
        </w:rPr>
        <w:t xml:space="preserve">  </w:t>
      </w:r>
      <w:r>
        <w:rPr>
          <w:rFonts w:hint="eastAsia" w:hAnsi="宋体" w:cs="宋体"/>
          <w:b w:val="0"/>
          <w:bCs w:val="0"/>
          <w:highlight w:val="none"/>
        </w:rPr>
        <w:t>冠</w:t>
      </w:r>
    </w:p>
    <w:p w14:paraId="0E2FEFB7">
      <w:pPr>
        <w:pStyle w:val="3"/>
        <w:bidi w:val="0"/>
        <w:rPr>
          <w:rFonts w:hint="eastAsia"/>
          <w:highlight w:val="none"/>
        </w:rPr>
      </w:pPr>
      <w:r>
        <w:rPr>
          <w:rFonts w:hint="eastAsia"/>
          <w:highlight w:val="none"/>
        </w:rPr>
        <w:t>安全生产监督管理</w:t>
      </w:r>
    </w:p>
    <w:p w14:paraId="59C739DE">
      <w:pPr>
        <w:pStyle w:val="4"/>
        <w:bidi w:val="0"/>
        <w:rPr>
          <w:rFonts w:hint="eastAsia"/>
          <w:highlight w:val="none"/>
        </w:rPr>
      </w:pPr>
      <w:r>
        <w:rPr>
          <w:rFonts w:hint="eastAsia"/>
          <w:highlight w:val="none"/>
        </w:rPr>
        <w:t>【概况】</w:t>
      </w:r>
    </w:p>
    <w:p w14:paraId="38470C5D">
      <w:pPr>
        <w:rPr>
          <w:rFonts w:hint="eastAsia" w:hAnsi="宋体" w:cs="宋体"/>
          <w:highlight w:val="none"/>
        </w:rPr>
      </w:pPr>
      <w:r>
        <w:rPr>
          <w:rFonts w:hint="eastAsia" w:hAnsi="宋体" w:cs="宋体"/>
          <w:highlight w:val="none"/>
        </w:rPr>
        <w:t>南雄市安全生产监督管理局组建于2005年5月，设置为正科级行政单位，作为人民政府主管安全生产综合监管的行政机构。内设综合监管股（简称综合股）、监督管理股、执法监察股（挂南雄市安全生产监督管理局执法监察大队牌子）市安全生产应急救援指挥中心办公室，行政编制6名，行政执法专项编5名，工勤编制1名，编制12名。</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48E3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FC57DB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12975"/>
                  <wp:effectExtent l="0" t="0" r="8890" b="15875"/>
                  <wp:docPr id="67" name="图片 220" descr="检查安全生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20" descr="检查安全生产"/>
                          <pic:cNvPicPr>
                            <a:picLocks noChangeAspect="1"/>
                          </pic:cNvPicPr>
                        </pic:nvPicPr>
                        <pic:blipFill>
                          <a:blip r:embed="rId72"/>
                          <a:stretch>
                            <a:fillRect/>
                          </a:stretch>
                        </pic:blipFill>
                        <pic:spPr>
                          <a:xfrm>
                            <a:off x="0" y="0"/>
                            <a:ext cx="3420110" cy="2212975"/>
                          </a:xfrm>
                          <a:prstGeom prst="rect">
                            <a:avLst/>
                          </a:prstGeom>
                          <a:noFill/>
                          <a:ln>
                            <a:noFill/>
                          </a:ln>
                        </pic:spPr>
                      </pic:pic>
                    </a:graphicData>
                  </a:graphic>
                </wp:inline>
              </w:drawing>
            </w:r>
          </w:p>
        </w:tc>
      </w:tr>
      <w:tr w14:paraId="30460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39966BD">
            <w:pPr>
              <w:jc w:val="center"/>
              <w:rPr>
                <w:rFonts w:hint="eastAsia" w:hAnsi="宋体" w:cs="宋体"/>
                <w:highlight w:val="none"/>
                <w:vertAlign w:val="baseline"/>
              </w:rPr>
            </w:pPr>
            <w:r>
              <w:rPr>
                <w:rFonts w:hint="eastAsia" w:hAnsi="宋体" w:cs="宋体"/>
                <w:highlight w:val="none"/>
                <w:vertAlign w:val="baseline"/>
              </w:rPr>
              <w:t>市委常委、常务副市长何人平（右三）检查安全生产</w:t>
            </w:r>
          </w:p>
        </w:tc>
      </w:tr>
    </w:tbl>
    <w:p w14:paraId="714C61C1">
      <w:pPr>
        <w:pStyle w:val="4"/>
        <w:bidi w:val="0"/>
        <w:rPr>
          <w:rFonts w:hint="eastAsia"/>
          <w:highlight w:val="none"/>
        </w:rPr>
      </w:pPr>
      <w:r>
        <w:rPr>
          <w:rFonts w:hint="eastAsia"/>
          <w:highlight w:val="none"/>
        </w:rPr>
        <w:t>【安全生产基本情况】</w:t>
      </w:r>
    </w:p>
    <w:p w14:paraId="58DDF7FA">
      <w:pPr>
        <w:rPr>
          <w:rFonts w:hint="eastAsia" w:hAnsi="宋体" w:cs="宋体"/>
          <w:highlight w:val="none"/>
        </w:rPr>
      </w:pPr>
      <w:r>
        <w:rPr>
          <w:rFonts w:hint="eastAsia" w:hAnsi="宋体" w:cs="宋体"/>
          <w:highlight w:val="none"/>
        </w:rPr>
        <w:t>2015年开展安全生产大检查和专项整治工作，全市安全生产形势平稳有序，发生各类安全事故110起，死亡8人（其中道路交通事故死亡7人）；受伤15人，直接经济损失241</w:t>
      </w:r>
      <w:r>
        <w:rPr>
          <w:rFonts w:hint="eastAsia" w:ascii="MingLiU_HKSCS" w:hAnsi="MingLiU_HKSCS" w:eastAsia="MingLiU_HKSCS" w:cs="MingLiU_HKSCS"/>
          <w:highlight w:val="none"/>
        </w:rPr>
        <w:t>.</w:t>
      </w:r>
      <w:r>
        <w:rPr>
          <w:rFonts w:hint="eastAsia" w:hAnsi="宋体" w:cs="宋体"/>
          <w:highlight w:val="none"/>
        </w:rPr>
        <w:t>5万元，与上年同比事故起数、死亡人数、受伤人数和直接经济损失分别下降33</w:t>
      </w:r>
      <w:r>
        <w:rPr>
          <w:rFonts w:hint="eastAsia" w:ascii="MingLiU_HKSCS" w:hAnsi="MingLiU_HKSCS" w:eastAsia="MingLiU_HKSCS" w:cs="MingLiU_HKSCS"/>
          <w:highlight w:val="none"/>
        </w:rPr>
        <w:t>.</w:t>
      </w:r>
      <w:r>
        <w:rPr>
          <w:rFonts w:hint="eastAsia" w:hAnsi="宋体" w:cs="宋体"/>
          <w:highlight w:val="none"/>
        </w:rPr>
        <w:t>3%、71%、48%、6%。没有发生较大以上安全生产事故，各项指数均未超过韶关市下达控制指标。</w:t>
      </w:r>
    </w:p>
    <w:p w14:paraId="66741A72">
      <w:pPr>
        <w:pStyle w:val="4"/>
        <w:bidi w:val="0"/>
        <w:rPr>
          <w:rFonts w:hint="eastAsia"/>
          <w:highlight w:val="none"/>
        </w:rPr>
      </w:pPr>
      <w:r>
        <w:rPr>
          <w:rFonts w:hint="eastAsia"/>
          <w:highlight w:val="none"/>
        </w:rPr>
        <w:t>【落实安全生产目标管理责任制】</w:t>
      </w:r>
    </w:p>
    <w:p w14:paraId="779818BA">
      <w:pPr>
        <w:rPr>
          <w:rFonts w:hint="eastAsia" w:hAnsi="宋体" w:cs="宋体"/>
          <w:highlight w:val="none"/>
        </w:rPr>
      </w:pPr>
      <w:r>
        <w:rPr>
          <w:rFonts w:hint="eastAsia" w:hAnsi="宋体" w:cs="宋体"/>
          <w:highlight w:val="none"/>
        </w:rPr>
        <w:t>2015年3月份召开全市安全生产会议，对全市安全生产工作进行部署，对全市18个镇（街道）、34个市直部门以及15家驻雄中省企业与市政府签订安全生产责任书，贯彻落实“一岗双责”明确安全生产工作职责和工作任务。</w:t>
      </w:r>
    </w:p>
    <w:p w14:paraId="06199B7B">
      <w:pPr>
        <w:pStyle w:val="4"/>
        <w:bidi w:val="0"/>
        <w:rPr>
          <w:rFonts w:hint="eastAsia"/>
          <w:highlight w:val="none"/>
        </w:rPr>
      </w:pPr>
      <w:r>
        <w:rPr>
          <w:rFonts w:hint="eastAsia"/>
          <w:highlight w:val="none"/>
        </w:rPr>
        <w:t>【强化安全生产专项整治】</w:t>
      </w:r>
    </w:p>
    <w:p w14:paraId="73B5743D">
      <w:pPr>
        <w:rPr>
          <w:rFonts w:hint="eastAsia" w:hAnsi="宋体" w:cs="宋体"/>
          <w:highlight w:val="none"/>
        </w:rPr>
      </w:pPr>
      <w:r>
        <w:rPr>
          <w:rFonts w:hint="eastAsia" w:hAnsi="宋体" w:cs="宋体"/>
          <w:highlight w:val="none"/>
        </w:rPr>
        <w:t>开展岁末年初安全生产大检查，成立由市委书记、市长曾风保同志为组长岁末年初安全生产大检查工作领导小组，印发《南雄市岁末年初安全生产大检查工作方案》和《关于开展岁末年初安全生产大检查的通知》对全市非煤矿山、工矿商贸、危化企业、烟花爆竹等行业进行系统的排查，并对存在隐患要求落实整改到位。</w:t>
      </w:r>
    </w:p>
    <w:p w14:paraId="0310375A">
      <w:pPr>
        <w:pStyle w:val="4"/>
        <w:bidi w:val="0"/>
        <w:rPr>
          <w:rFonts w:hint="eastAsia"/>
          <w:highlight w:val="none"/>
        </w:rPr>
      </w:pPr>
      <w:r>
        <w:rPr>
          <w:rFonts w:hint="eastAsia"/>
          <w:highlight w:val="none"/>
        </w:rPr>
        <w:t>【职业卫生安全健康监管】</w:t>
      </w:r>
    </w:p>
    <w:p w14:paraId="3430C1B1">
      <w:pPr>
        <w:rPr>
          <w:rFonts w:hint="eastAsia" w:hAnsi="宋体" w:cs="宋体"/>
          <w:highlight w:val="none"/>
        </w:rPr>
      </w:pPr>
      <w:r>
        <w:rPr>
          <w:rFonts w:hint="eastAsia" w:hAnsi="宋体" w:cs="宋体"/>
          <w:highlight w:val="none"/>
        </w:rPr>
        <w:t>为切实保障从业人员职业健康安全权益，2015年将职业安全健康监管工作摆上重要工作日程，全面落实监管责任。2015年完成职业危害申报51家，完成检测130家，安全评价12家。为全面掌握全市职业危害项目的种类、数量、分布、防护和管理状况提供基本资料，同时也有利于预防工作开展。</w:t>
      </w:r>
    </w:p>
    <w:p w14:paraId="65FE07A6">
      <w:pPr>
        <w:pStyle w:val="4"/>
        <w:bidi w:val="0"/>
        <w:rPr>
          <w:rFonts w:hint="eastAsia"/>
          <w:highlight w:val="none"/>
        </w:rPr>
      </w:pPr>
      <w:r>
        <w:rPr>
          <w:rFonts w:hint="eastAsia"/>
          <w:highlight w:val="none"/>
        </w:rPr>
        <w:t>【行政许可】</w:t>
      </w:r>
    </w:p>
    <w:p w14:paraId="0C50F8CB">
      <w:pPr>
        <w:rPr>
          <w:rFonts w:hint="eastAsia" w:hAnsi="宋体" w:cs="宋体"/>
          <w:highlight w:val="none"/>
        </w:rPr>
      </w:pPr>
      <w:r>
        <w:rPr>
          <w:rFonts w:hint="eastAsia" w:hAnsi="宋体" w:cs="宋体"/>
          <w:highlight w:val="none"/>
        </w:rPr>
        <w:t>2015年全市完成烟花爆竹经营（零售）许可证63家；加油站“危险化学品经营许可证”换证4家；同时加强企业“三同时”安全监管工作，园区危化品生产企业领取“安全生产许可证”12家；进入专篇编制阶段3家；其余企业在申报阶段，行政许可工作取得一定成效。</w:t>
      </w:r>
    </w:p>
    <w:p w14:paraId="2CFE63C3">
      <w:pPr>
        <w:pStyle w:val="4"/>
        <w:bidi w:val="0"/>
        <w:rPr>
          <w:rFonts w:hint="eastAsia"/>
          <w:highlight w:val="none"/>
        </w:rPr>
      </w:pPr>
      <w:r>
        <w:rPr>
          <w:rFonts w:hint="eastAsia"/>
          <w:highlight w:val="none"/>
        </w:rPr>
        <w:t>【烟花爆竹专项整治】</w:t>
      </w:r>
    </w:p>
    <w:p w14:paraId="4BB2BCDE">
      <w:pPr>
        <w:rPr>
          <w:rFonts w:hint="eastAsia" w:hAnsi="宋体" w:cs="宋体"/>
          <w:highlight w:val="none"/>
        </w:rPr>
      </w:pPr>
      <w:r>
        <w:rPr>
          <w:rFonts w:hint="eastAsia" w:hAnsi="宋体" w:cs="宋体"/>
          <w:highlight w:val="none"/>
        </w:rPr>
        <w:t>成立专项整治小组，联合公安、工商、供销等部门，开展烟花爆竹专项整治行动，有效督促烟花爆竹经营管理，杜绝超范围存放、混存、混放等违规行为。2015年，查获收缴烟花爆竹3190件，其中立案查处1宗，处罚2万元。有效打击非法经营烟花爆竹的违法行为。</w:t>
      </w:r>
    </w:p>
    <w:p w14:paraId="44312B5E">
      <w:pPr>
        <w:pStyle w:val="4"/>
        <w:bidi w:val="0"/>
        <w:rPr>
          <w:rFonts w:hint="eastAsia"/>
          <w:highlight w:val="none"/>
        </w:rPr>
      </w:pPr>
      <w:r>
        <w:rPr>
          <w:rFonts w:hint="eastAsia"/>
          <w:highlight w:val="none"/>
        </w:rPr>
        <w:t>【开展危险化学品重点县安全生产工作】</w:t>
      </w:r>
    </w:p>
    <w:p w14:paraId="3EE95511">
      <w:pPr>
        <w:rPr>
          <w:rFonts w:hint="eastAsia" w:hAnsi="宋体" w:cs="宋体"/>
          <w:highlight w:val="none"/>
        </w:rPr>
      </w:pPr>
      <w:r>
        <w:rPr>
          <w:rFonts w:hint="eastAsia" w:hAnsi="宋体" w:cs="宋体"/>
          <w:highlight w:val="none"/>
        </w:rPr>
        <w:t>南雄市2014年被省安委办列入全省10个危险化学品重点县之一。为做好该项工作，制定《南雄市危险化学品重点县安全生产攻坚工作方案》，明确攻坚工作目标、任务、步骤和工作要求，建立隐患排查长效机制，真正落实企业主体责任。2015年，全市化工及危险化学品生产企业累计自查隐患286项，完成整改286项，整改率100%；“两节”前和十八届四中全会召开前开展地毯式安全检查，累计检查企业108家（次），排查隐患129处，现场整改59处，下达整改指令书23份，同时结合全省开展的“八打八治”打非治违专项行动对危险化学品和烟花爆竹非法生产、储存、经营行为进行重点打击，下达强制措施决定书5份，有力打击安全生产违法行为。</w:t>
      </w:r>
    </w:p>
    <w:p w14:paraId="5EE99197">
      <w:pPr>
        <w:pStyle w:val="4"/>
        <w:bidi w:val="0"/>
        <w:rPr>
          <w:rFonts w:hint="eastAsia"/>
          <w:highlight w:val="none"/>
        </w:rPr>
      </w:pPr>
      <w:r>
        <w:rPr>
          <w:rFonts w:hint="eastAsia"/>
          <w:highlight w:val="none"/>
        </w:rPr>
        <w:t>【完善预案，提升安全生产应急处置能力】</w:t>
      </w:r>
    </w:p>
    <w:p w14:paraId="5EE544AE">
      <w:pPr>
        <w:rPr>
          <w:rFonts w:hint="eastAsia" w:hAnsi="宋体" w:cs="宋体"/>
          <w:highlight w:val="none"/>
        </w:rPr>
      </w:pPr>
      <w:r>
        <w:rPr>
          <w:rFonts w:hint="eastAsia" w:hAnsi="宋体" w:cs="宋体"/>
          <w:highlight w:val="none"/>
        </w:rPr>
        <w:t>根据南雄市化工企业较多的特点，对全市安全生产总体预案进行修订和完善，同时督促相关部门和企业制定事故应急演练计划，开展应急演练。在韶关市安监局支持和指导下，由韶关市安委会主办韶关市危险化学品事故应急救援演练在市工业园三本化学科技有限公司成功开展，演练非常成功，得到省、市局点赞，达到预期效果；进一步检验南雄市危险化学品应急预案的科学性、可操作性，检验各部门在应急救援中协同作战能力。</w:t>
      </w:r>
    </w:p>
    <w:p w14:paraId="2B4004A8">
      <w:pPr>
        <w:pStyle w:val="4"/>
        <w:bidi w:val="0"/>
        <w:rPr>
          <w:rFonts w:hint="eastAsia"/>
          <w:highlight w:val="none"/>
        </w:rPr>
      </w:pPr>
      <w:r>
        <w:rPr>
          <w:rFonts w:hint="eastAsia"/>
          <w:highlight w:val="none"/>
        </w:rPr>
        <w:t>【安全生产月活动】</w:t>
      </w:r>
    </w:p>
    <w:p w14:paraId="1E0BEF9F">
      <w:pPr>
        <w:rPr>
          <w:rFonts w:hint="eastAsia" w:hAnsi="宋体" w:cs="宋体"/>
          <w:highlight w:val="none"/>
        </w:rPr>
      </w:pPr>
      <w:r>
        <w:rPr>
          <w:rFonts w:hint="eastAsia" w:hAnsi="宋体" w:cs="宋体"/>
          <w:highlight w:val="none"/>
        </w:rPr>
        <w:t>组织开展“加强安全法制，保障安全生产”的第十二个全国“安全生产月”活动，印发《南雄市2015年度“安全生产月”活动方案》组织动员相关单位、企业充分利用各种载体，采用多种形式开展安全生产宣传教育和警示教育活动，安全生产教育月期间全市张贴安全标语18700条，悬挂宣传横幅825条；各镇（街道）开展墟日咨询活动，在全市营造良好的安全生产氛围。</w:t>
      </w:r>
    </w:p>
    <w:p w14:paraId="63AF808D">
      <w:pPr>
        <w:pStyle w:val="4"/>
        <w:bidi w:val="0"/>
        <w:rPr>
          <w:rFonts w:hint="eastAsia"/>
          <w:highlight w:val="none"/>
        </w:rPr>
      </w:pPr>
      <w:r>
        <w:rPr>
          <w:rFonts w:hint="eastAsia"/>
          <w:highlight w:val="none"/>
        </w:rPr>
        <w:t>【安全教育培训】</w:t>
      </w:r>
    </w:p>
    <w:p w14:paraId="6B579247">
      <w:pPr>
        <w:rPr>
          <w:rFonts w:hint="eastAsia" w:hAnsi="宋体" w:cs="宋体"/>
          <w:highlight w:val="none"/>
        </w:rPr>
      </w:pPr>
      <w:r>
        <w:rPr>
          <w:rFonts w:hint="eastAsia" w:hAnsi="宋体" w:cs="宋体"/>
          <w:highlight w:val="none"/>
        </w:rPr>
        <w:t>安监局始终把安全生产宣传教育培训的工作作为预防第一道关口抓紧抓好抓落实，做好新修订的《中华人民共和国安全生产法》宣传工作，并在市</w:t>
      </w:r>
      <w:r>
        <w:rPr>
          <w:rFonts w:hint="eastAsia" w:cs="宋体"/>
          <w:highlight w:val="none"/>
          <w:lang w:eastAsia="zh-CN"/>
        </w:rPr>
        <w:t>政府常务会议</w:t>
      </w:r>
      <w:r>
        <w:rPr>
          <w:rFonts w:hint="eastAsia" w:hAnsi="宋体" w:cs="宋体"/>
          <w:highlight w:val="none"/>
        </w:rPr>
        <w:t>进行集中学习；开展各类安全生产教育培训活动，在工业园举办危险化学品生产企业从业人员培训班，培训700余人次；开展各镇、工业园区分管领导及安全监管人员安全生产知识培训，对落实企业主体责任，提升企业安全管理水平起到作用。（叶昌林）</w:t>
      </w:r>
    </w:p>
    <w:p w14:paraId="0F170122">
      <w:pPr>
        <w:rPr>
          <w:rFonts w:hint="eastAsia" w:hAnsi="宋体" w:eastAsia="宋体" w:cs="宋体"/>
          <w:b w:val="0"/>
          <w:bCs w:val="0"/>
          <w:highlight w:val="none"/>
          <w:lang w:eastAsia="zh-CN"/>
        </w:rPr>
      </w:pPr>
      <w:r>
        <w:rPr>
          <w:rFonts w:hint="eastAsia" w:hAnsi="宋体" w:cs="宋体"/>
          <w:b w:val="0"/>
          <w:bCs w:val="0"/>
          <w:highlight w:val="none"/>
        </w:rPr>
        <w:t>附：2015年市安监局领导班子成员名单</w:t>
      </w:r>
    </w:p>
    <w:p w14:paraId="021A5DAB">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长：陈志雄</w:t>
      </w:r>
    </w:p>
    <w:p w14:paraId="3BC2DAD9">
      <w:pPr>
        <w:rPr>
          <w:rFonts w:hint="eastAsia" w:hAnsi="宋体" w:eastAsia="宋体" w:cs="宋体"/>
          <w:b w:val="0"/>
          <w:bCs w:val="0"/>
          <w:highlight w:val="none"/>
          <w:lang w:eastAsia="zh-CN"/>
        </w:rPr>
      </w:pPr>
      <w:r>
        <w:rPr>
          <w:rFonts w:hint="eastAsia" w:hAnsi="宋体" w:cs="宋体"/>
          <w:b w:val="0"/>
          <w:bCs w:val="0"/>
          <w:highlight w:val="none"/>
        </w:rPr>
        <w:t>副局长：李贤卫 张东红</w:t>
      </w:r>
    </w:p>
    <w:p w14:paraId="3DC97300">
      <w:pPr>
        <w:rPr>
          <w:rFonts w:hint="eastAsia" w:hAnsi="宋体" w:eastAsia="宋体" w:cs="宋体"/>
          <w:highlight w:val="none"/>
          <w:lang w:eastAsia="zh-CN"/>
        </w:rPr>
      </w:pPr>
      <w:r>
        <w:rPr>
          <w:rFonts w:hint="eastAsia" w:hAnsi="宋体" w:cs="宋体"/>
          <w:highlight w:val="none"/>
        </w:rPr>
        <w:t>执法大队长：沈学辉</w:t>
      </w:r>
    </w:p>
    <w:p w14:paraId="0F7E8570">
      <w:pPr>
        <w:rPr>
          <w:rFonts w:hint="eastAsia" w:hAnsi="宋体" w:eastAsia="宋体" w:cs="宋体"/>
          <w:highlight w:val="none"/>
          <w:lang w:eastAsia="zh-CN"/>
        </w:rPr>
      </w:pPr>
      <w:r>
        <w:rPr>
          <w:rFonts w:hint="eastAsia" w:hAnsi="宋体" w:cs="宋体"/>
          <w:highlight w:val="none"/>
        </w:rPr>
        <w:t>应急办主任：刘瑞贵</w:t>
      </w:r>
    </w:p>
    <w:p w14:paraId="78569C8E">
      <w:pPr>
        <w:pStyle w:val="2"/>
        <w:rPr>
          <w:rFonts w:hint="eastAsia"/>
          <w:highlight w:val="none"/>
        </w:rPr>
      </w:pPr>
      <w:r>
        <w:rPr>
          <w:highlight w:val="none"/>
        </w:rPr>
        <w:br w:type="page"/>
      </w:r>
      <w:r>
        <w:rPr>
          <w:rFonts w:hint="eastAsia"/>
          <w:highlight w:val="none"/>
        </w:rPr>
        <w:t>工业</w:t>
      </w:r>
    </w:p>
    <w:p w14:paraId="4F42D8AA">
      <w:pPr>
        <w:pStyle w:val="3"/>
        <w:bidi w:val="0"/>
        <w:rPr>
          <w:rFonts w:hint="eastAsia" w:eastAsia="宋体"/>
          <w:highlight w:val="none"/>
          <w:lang w:eastAsia="zh-CN"/>
        </w:rPr>
      </w:pPr>
      <w:r>
        <w:rPr>
          <w:rFonts w:hint="eastAsia"/>
          <w:highlight w:val="none"/>
        </w:rPr>
        <w:t>经信</w:t>
      </w:r>
    </w:p>
    <w:p w14:paraId="2CAA4F83">
      <w:pPr>
        <w:pStyle w:val="4"/>
        <w:bidi w:val="0"/>
        <w:rPr>
          <w:rFonts w:hint="eastAsia"/>
          <w:highlight w:val="none"/>
        </w:rPr>
      </w:pPr>
      <w:r>
        <w:rPr>
          <w:rFonts w:hint="eastAsia"/>
          <w:highlight w:val="none"/>
        </w:rPr>
        <w:t>【概况】</w:t>
      </w:r>
    </w:p>
    <w:p w14:paraId="60843BCC">
      <w:pPr>
        <w:rPr>
          <w:rFonts w:hint="eastAsia" w:hAnsi="宋体" w:cs="宋体"/>
          <w:highlight w:val="none"/>
        </w:rPr>
      </w:pPr>
      <w:r>
        <w:rPr>
          <w:rFonts w:hint="eastAsia" w:hAnsi="宋体" w:cs="宋体"/>
          <w:highlight w:val="none"/>
        </w:rPr>
        <w:t>南雄市经济和信息化局是南雄市工业、商贸和信息化的业务主管部门</w:t>
      </w:r>
      <w:r>
        <w:rPr>
          <w:rFonts w:hint="eastAsia" w:hAnsi="宋体" w:cs="宋体"/>
          <w:highlight w:val="none"/>
          <w:lang w:eastAsia="zh-CN"/>
        </w:rPr>
        <w:t>，</w:t>
      </w:r>
      <w:r>
        <w:rPr>
          <w:rFonts w:hint="eastAsia" w:hAnsi="宋体" w:cs="宋体"/>
          <w:highlight w:val="none"/>
        </w:rPr>
        <w:t>前身是南雄市经济贸易局。内设机构有8个，分别为办公室、人事信访股、经济运行股、科技能源股、贸易市场股、民营股（兼挂中小企业局）、信息管理股、节能监察中心（事业编制2名），总编制22名。2016年4月南雄市人民政府办公室印发《南雄市经济和信息化局主要职责内设机构和人员编制规定》，设立南雄市经济和信息化局，挂市科学技术局、市知识产权局、市地震局牌子。设9个内设机构，分别为办公室、民营经济发展股（中小企业局、中小企业服务中心）、经济运行股、科技能源股、信息管理股（无线电管理办公室）、科技业务股、知识产权股、地震工作办公室、大数据管理股；设2个事业单位，分别为节能监察中心、科学技术开发服务中心，1个新成立暂由经信局代管的电子商务办公室。总编制31名，行政编20名，事业编9名，后勤2名。2016年9月南雄市科学技术局并入南雄市经济和信息化局。</w:t>
      </w:r>
    </w:p>
    <w:p w14:paraId="438BA664">
      <w:pPr>
        <w:rPr>
          <w:rFonts w:hint="eastAsia" w:hAnsi="宋体" w:cs="宋体"/>
          <w:highlight w:val="none"/>
        </w:rPr>
      </w:pPr>
      <w:r>
        <w:rPr>
          <w:rFonts w:hint="eastAsia" w:hAnsi="宋体" w:cs="宋体"/>
          <w:highlight w:val="none"/>
        </w:rPr>
        <w:t>2015年，全市完成工业总产值163</w:t>
      </w:r>
      <w:r>
        <w:rPr>
          <w:rFonts w:hint="eastAsia" w:ascii="MingLiU_HKSCS" w:hAnsi="MingLiU_HKSCS" w:eastAsia="MingLiU_HKSCS" w:cs="MingLiU_HKSCS"/>
          <w:highlight w:val="none"/>
        </w:rPr>
        <w:t>.</w:t>
      </w:r>
      <w:r>
        <w:rPr>
          <w:rFonts w:hint="eastAsia" w:hAnsi="宋体" w:cs="宋体"/>
          <w:highlight w:val="none"/>
        </w:rPr>
        <w:t>44亿元，同比增长18</w:t>
      </w:r>
      <w:r>
        <w:rPr>
          <w:rFonts w:hint="eastAsia" w:ascii="MingLiU_HKSCS" w:hAnsi="MingLiU_HKSCS" w:eastAsia="MingLiU_HKSCS" w:cs="MingLiU_HKSCS"/>
          <w:highlight w:val="none"/>
        </w:rPr>
        <w:t>.</w:t>
      </w:r>
      <w:r>
        <w:rPr>
          <w:rFonts w:hint="eastAsia" w:hAnsi="宋体" w:cs="宋体"/>
          <w:highlight w:val="none"/>
        </w:rPr>
        <w:t>9%；实现工业增加值41</w:t>
      </w:r>
      <w:r>
        <w:rPr>
          <w:rFonts w:hint="eastAsia" w:ascii="MingLiU_HKSCS" w:hAnsi="MingLiU_HKSCS" w:eastAsia="MingLiU_HKSCS" w:cs="MingLiU_HKSCS"/>
          <w:highlight w:val="none"/>
        </w:rPr>
        <w:t>.</w:t>
      </w:r>
      <w:r>
        <w:rPr>
          <w:rFonts w:hint="eastAsia" w:hAnsi="宋体" w:cs="宋体"/>
          <w:highlight w:val="none"/>
        </w:rPr>
        <w:t>07亿元，增长17</w:t>
      </w:r>
      <w:r>
        <w:rPr>
          <w:rFonts w:hint="eastAsia" w:ascii="MingLiU_HKSCS" w:hAnsi="MingLiU_HKSCS" w:eastAsia="MingLiU_HKSCS" w:cs="MingLiU_HKSCS"/>
          <w:highlight w:val="none"/>
        </w:rPr>
        <w:t>.</w:t>
      </w:r>
      <w:r>
        <w:rPr>
          <w:rFonts w:hint="eastAsia" w:hAnsi="宋体" w:cs="宋体"/>
          <w:highlight w:val="none"/>
        </w:rPr>
        <w:t>8%，其中，规模以上工业实现增加值36</w:t>
      </w:r>
      <w:r>
        <w:rPr>
          <w:rFonts w:hint="eastAsia" w:ascii="MingLiU_HKSCS" w:hAnsi="MingLiU_HKSCS" w:eastAsia="MingLiU_HKSCS" w:cs="MingLiU_HKSCS"/>
          <w:highlight w:val="none"/>
        </w:rPr>
        <w:t>.</w:t>
      </w:r>
      <w:r>
        <w:rPr>
          <w:rFonts w:hint="eastAsia" w:hAnsi="宋体" w:cs="宋体"/>
          <w:highlight w:val="none"/>
        </w:rPr>
        <w:t>01亿元，增长19</w:t>
      </w:r>
      <w:r>
        <w:rPr>
          <w:rFonts w:hint="eastAsia" w:ascii="MingLiU_HKSCS" w:hAnsi="MingLiU_HKSCS" w:eastAsia="MingLiU_HKSCS" w:cs="MingLiU_HKSCS"/>
          <w:highlight w:val="none"/>
        </w:rPr>
        <w:t>.</w:t>
      </w:r>
      <w:r>
        <w:rPr>
          <w:rFonts w:hint="eastAsia" w:hAnsi="宋体" w:cs="宋体"/>
          <w:highlight w:val="none"/>
        </w:rPr>
        <w:t>6%；年末全市规模以上工业企业有95家，比上年增加6家，规模以上工业企业完成总产值145</w:t>
      </w:r>
      <w:r>
        <w:rPr>
          <w:rFonts w:hint="eastAsia" w:ascii="MingLiU_HKSCS" w:hAnsi="MingLiU_HKSCS" w:eastAsia="MingLiU_HKSCS" w:cs="MingLiU_HKSCS"/>
          <w:highlight w:val="none"/>
        </w:rPr>
        <w:t>.</w:t>
      </w:r>
      <w:r>
        <w:rPr>
          <w:rFonts w:hint="eastAsia" w:hAnsi="宋体" w:cs="宋体"/>
          <w:highlight w:val="none"/>
        </w:rPr>
        <w:t>37亿元，增长20</w:t>
      </w:r>
      <w:r>
        <w:rPr>
          <w:rFonts w:hint="eastAsia" w:ascii="MingLiU_HKSCS" w:hAnsi="MingLiU_HKSCS" w:eastAsia="MingLiU_HKSCS" w:cs="MingLiU_HKSCS"/>
          <w:highlight w:val="none"/>
        </w:rPr>
        <w:t>.</w:t>
      </w:r>
      <w:r>
        <w:rPr>
          <w:rFonts w:hint="eastAsia" w:hAnsi="宋体" w:cs="宋体"/>
          <w:highlight w:val="none"/>
        </w:rPr>
        <w:t>4%；全市实现民营经济增加值95</w:t>
      </w:r>
      <w:r>
        <w:rPr>
          <w:rFonts w:hint="eastAsia" w:ascii="MingLiU_HKSCS" w:hAnsi="MingLiU_HKSCS" w:eastAsia="MingLiU_HKSCS" w:cs="MingLiU_HKSCS"/>
          <w:highlight w:val="none"/>
        </w:rPr>
        <w:t>.</w:t>
      </w:r>
      <w:r>
        <w:rPr>
          <w:rFonts w:hint="eastAsia" w:hAnsi="宋体" w:cs="宋体"/>
          <w:highlight w:val="none"/>
        </w:rPr>
        <w:t>53亿元，同比增长10</w:t>
      </w:r>
      <w:r>
        <w:rPr>
          <w:rFonts w:hint="eastAsia" w:ascii="MingLiU_HKSCS" w:hAnsi="MingLiU_HKSCS" w:eastAsia="MingLiU_HKSCS" w:cs="MingLiU_HKSCS"/>
          <w:highlight w:val="none"/>
        </w:rPr>
        <w:t>.</w:t>
      </w:r>
      <w:r>
        <w:rPr>
          <w:rFonts w:hint="eastAsia" w:hAnsi="宋体" w:cs="宋体"/>
          <w:highlight w:val="none"/>
        </w:rPr>
        <w:t>5%。2015年经信局受到省经信委通报表扬，在2014年度省产业园建设管理考核中，东莞大岭山（南雄）产业转移工业园被评优秀等次。</w:t>
      </w:r>
    </w:p>
    <w:p w14:paraId="4BF0FEA1">
      <w:pPr>
        <w:pStyle w:val="4"/>
        <w:bidi w:val="0"/>
        <w:rPr>
          <w:rFonts w:hint="eastAsia"/>
          <w:highlight w:val="none"/>
        </w:rPr>
      </w:pPr>
      <w:r>
        <w:rPr>
          <w:rFonts w:hint="eastAsia"/>
          <w:highlight w:val="none"/>
        </w:rPr>
        <w:t>【经济运行工作】</w:t>
      </w:r>
    </w:p>
    <w:p w14:paraId="4EDF3B43">
      <w:pPr>
        <w:rPr>
          <w:rFonts w:hint="eastAsia" w:hAnsi="宋体" w:cs="宋体"/>
          <w:highlight w:val="none"/>
        </w:rPr>
      </w:pPr>
      <w:r>
        <w:rPr>
          <w:rFonts w:hint="eastAsia" w:hAnsi="宋体" w:cs="宋体"/>
          <w:highlight w:val="none"/>
        </w:rPr>
        <w:t>着力抓好经济运行监控工作，及时掌握经济运行情况，了解经济运行存在的问题，特别是加强对全市规模以上工业企业生产经营情况的统计调研工作，协调解决企业在生产经营中遇到的各类困难。认真做好经济运行的预测和分析工作，季度向市委、市政府提交全市工业经济运行情况分析和相应的措施建议。2015年全市新增规模以上工业企业6家。</w:t>
      </w:r>
    </w:p>
    <w:p w14:paraId="6636C953">
      <w:pPr>
        <w:pStyle w:val="4"/>
        <w:bidi w:val="0"/>
        <w:rPr>
          <w:rFonts w:hint="eastAsia"/>
          <w:highlight w:val="none"/>
        </w:rPr>
      </w:pPr>
      <w:r>
        <w:rPr>
          <w:rFonts w:hint="eastAsia"/>
          <w:highlight w:val="none"/>
        </w:rPr>
        <w:t>【中小企业快速发展】</w:t>
      </w:r>
    </w:p>
    <w:p w14:paraId="7F307F0E">
      <w:pPr>
        <w:rPr>
          <w:rFonts w:hint="eastAsia" w:hAnsi="宋体" w:cs="宋体"/>
          <w:highlight w:val="none"/>
        </w:rPr>
      </w:pPr>
      <w:r>
        <w:rPr>
          <w:rFonts w:hint="eastAsia" w:hAnsi="宋体" w:cs="宋体"/>
          <w:highlight w:val="none"/>
        </w:rPr>
        <w:t>推进企业技改创新。引导企业用好用足省新一轮技术改造政策，加大投入技改，促产业转型升级，并逐步引入智能化提高效益。2015年完成5家企业备案，项目总投资19595万元，累计完成投资6105万元。做好向上级争项目、争资金工作。2015年为企业申报省经信委项目2个，获省财政资金1039万元；组织申报创建国家电子商务进农村综合示范县（市）项目，获得中央财政专项扶持资金2000万元。</w:t>
      </w:r>
    </w:p>
    <w:p w14:paraId="4BFEE096">
      <w:pPr>
        <w:pStyle w:val="4"/>
        <w:bidi w:val="0"/>
        <w:rPr>
          <w:rFonts w:hint="eastAsia"/>
          <w:highlight w:val="none"/>
        </w:rPr>
      </w:pPr>
      <w:r>
        <w:rPr>
          <w:rFonts w:hint="eastAsia"/>
          <w:highlight w:val="none"/>
        </w:rPr>
        <w:t>【重点项目建设及亮点工作】</w:t>
      </w:r>
    </w:p>
    <w:p w14:paraId="59185C85">
      <w:pPr>
        <w:rPr>
          <w:rFonts w:hint="eastAsia" w:hAnsi="宋体" w:cs="宋体"/>
          <w:highlight w:val="none"/>
          <w:vertAlign w:val="baseline"/>
        </w:rPr>
      </w:pPr>
      <w:r>
        <w:rPr>
          <w:rFonts w:hint="eastAsia" w:hAnsi="宋体" w:cs="宋体"/>
          <w:highlight w:val="none"/>
        </w:rPr>
        <w:t>建立重点项目建设和亮点工作的联系和跟踪服务工作责任制，把重点项目分解到局班子成员和股室。同时建立督查机制，及时解决企业在建设和生产经营中遇到困难和问题，确保项目建设和亮点工作进程。南雄市彤置富水泥建材投资有限公司日产熟料4500吨水泥生产线项目总投资8</w:t>
      </w:r>
      <w:r>
        <w:rPr>
          <w:rFonts w:hint="eastAsia" w:ascii="MingLiU_HKSCS" w:hAnsi="MingLiU_HKSCS" w:eastAsia="MingLiU_HKSCS" w:cs="MingLiU_HKSCS"/>
          <w:highlight w:val="none"/>
        </w:rPr>
        <w:t>.</w:t>
      </w:r>
      <w:r>
        <w:rPr>
          <w:rFonts w:hint="eastAsia" w:hAnsi="宋体" w:cs="宋体"/>
          <w:highlight w:val="none"/>
        </w:rPr>
        <w:t>3亿元，2015年底累计投资4</w:t>
      </w:r>
      <w:r>
        <w:rPr>
          <w:rFonts w:hint="eastAsia" w:ascii="MingLiU_HKSCS" w:hAnsi="MingLiU_HKSCS" w:eastAsia="MingLiU_HKSCS" w:cs="MingLiU_HKSCS"/>
          <w:highlight w:val="none"/>
        </w:rPr>
        <w:t>.</w:t>
      </w:r>
      <w:r>
        <w:rPr>
          <w:rFonts w:hint="eastAsia" w:hAnsi="宋体" w:cs="宋体"/>
          <w:highlight w:val="none"/>
        </w:rPr>
        <w:t>38亿元，其中2015年完成投资800万元；积极推进企业技术改造工作，2015年实现6家规模以上企业完成技术改造投资1亿元；2015年实现5家有条件的黏土砖生产厂转型为新型节能环保页岩砖生产厂，并要求纳入规模以上企业；获广东省、韶关市科技进奖2项；创建韶关市工程技术研究开发中心1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B55B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8616" w:type="dxa"/>
            <w:tcBorders>
              <w:top w:val="nil"/>
              <w:left w:val="nil"/>
              <w:bottom w:val="nil"/>
              <w:right w:val="nil"/>
            </w:tcBorders>
            <w:noWrap w:val="0"/>
            <w:vAlign w:val="top"/>
          </w:tcPr>
          <w:p w14:paraId="553FA394">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68" name="图片 221" descr="干部会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1" descr="干部会14"/>
                          <pic:cNvPicPr>
                            <a:picLocks noChangeAspect="1"/>
                          </pic:cNvPicPr>
                        </pic:nvPicPr>
                        <pic:blipFill>
                          <a:blip r:embed="rId73"/>
                          <a:stretch>
                            <a:fillRect/>
                          </a:stretch>
                        </pic:blipFill>
                        <pic:spPr>
                          <a:xfrm>
                            <a:off x="0" y="0"/>
                            <a:ext cx="3420110" cy="2279650"/>
                          </a:xfrm>
                          <a:prstGeom prst="rect">
                            <a:avLst/>
                          </a:prstGeom>
                          <a:noFill/>
                          <a:ln>
                            <a:noFill/>
                          </a:ln>
                        </pic:spPr>
                      </pic:pic>
                    </a:graphicData>
                  </a:graphic>
                </wp:inline>
              </w:drawing>
            </w:r>
          </w:p>
        </w:tc>
      </w:tr>
      <w:tr w14:paraId="18784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8F7DAD0">
            <w:pPr>
              <w:jc w:val="center"/>
              <w:rPr>
                <w:rFonts w:hint="eastAsia" w:hAnsi="宋体" w:cs="宋体"/>
                <w:highlight w:val="none"/>
                <w:vertAlign w:val="baseline"/>
              </w:rPr>
            </w:pPr>
            <w:r>
              <w:rPr>
                <w:rFonts w:hint="eastAsia" w:hAnsi="宋体" w:cs="宋体"/>
                <w:highlight w:val="none"/>
                <w:vertAlign w:val="baseline"/>
              </w:rPr>
              <w:t>市委副书记丘德周主持召开新成立的经信局干部会</w:t>
            </w:r>
          </w:p>
        </w:tc>
      </w:tr>
    </w:tbl>
    <w:p w14:paraId="79598DA5">
      <w:pPr>
        <w:pStyle w:val="4"/>
        <w:bidi w:val="0"/>
        <w:rPr>
          <w:rFonts w:hint="eastAsia"/>
          <w:highlight w:val="none"/>
        </w:rPr>
      </w:pPr>
      <w:r>
        <w:rPr>
          <w:rFonts w:hint="eastAsia"/>
          <w:highlight w:val="none"/>
        </w:rPr>
        <w:t>【电子商务工作进农村工作全面推进】</w:t>
      </w:r>
    </w:p>
    <w:p w14:paraId="619364B7">
      <w:pPr>
        <w:rPr>
          <w:rFonts w:hint="eastAsia" w:hAnsi="宋体" w:cs="宋体"/>
          <w:highlight w:val="none"/>
        </w:rPr>
      </w:pPr>
      <w:r>
        <w:rPr>
          <w:rFonts w:hint="eastAsia" w:hAnsi="宋体" w:cs="宋体"/>
          <w:highlight w:val="none"/>
        </w:rPr>
        <w:t>2015年5月，南雄市以邮政局电子商务创业园为平台申报创建国家电子商务进农村综合示范县（市）项目，并于7月14日获批为2015年电子商务进农村综合示范县。牵手邮政、苏宁，推进电子商务进农村工作。2015年与中国邮政集团公司韶关市分公司、苏宁云商韶关公司签署了战略框架合作协议，建成南雄邮政电商创业园，与邮政合作建设完成基层镇、村级公共服务平台11个，建成10个镇级服务站、3个村级服务点。</w:t>
      </w:r>
    </w:p>
    <w:p w14:paraId="0C75850F">
      <w:pPr>
        <w:pStyle w:val="4"/>
        <w:bidi w:val="0"/>
        <w:rPr>
          <w:rFonts w:hint="eastAsia"/>
          <w:highlight w:val="none"/>
        </w:rPr>
      </w:pPr>
      <w:r>
        <w:rPr>
          <w:rFonts w:hint="eastAsia"/>
          <w:highlight w:val="none"/>
        </w:rPr>
        <w:t>【节能工作扎实开展】</w:t>
      </w:r>
    </w:p>
    <w:p w14:paraId="0711CBF9">
      <w:pPr>
        <w:rPr>
          <w:rFonts w:hint="eastAsia" w:hAnsi="宋体" w:cs="宋体"/>
          <w:highlight w:val="none"/>
        </w:rPr>
      </w:pPr>
      <w:r>
        <w:rPr>
          <w:rFonts w:hint="eastAsia" w:hAnsi="宋体" w:cs="宋体"/>
          <w:highlight w:val="none"/>
        </w:rPr>
        <w:t>经信局加强对重点耗能企业的监控，帮助企业通过技改推进节能工作、开展清洁生产等工作。重点耗能企业节能考核顺利通过。韶关市政府组织专家组对南雄市被列入韶关市68家重点耗能企业3家企业进行年度节能目标评价考核，3家企业均考核通过。政府节能目标责任评价考核顺利通过。全市单位GDP能耗下降5</w:t>
      </w:r>
      <w:r>
        <w:rPr>
          <w:rFonts w:hint="eastAsia" w:ascii="MingLiU_HKSCS" w:hAnsi="MingLiU_HKSCS" w:eastAsia="MingLiU_HKSCS" w:cs="MingLiU_HKSCS"/>
          <w:highlight w:val="none"/>
        </w:rPr>
        <w:t>.</w:t>
      </w:r>
      <w:r>
        <w:rPr>
          <w:rFonts w:hint="eastAsia" w:hAnsi="宋体" w:cs="宋体"/>
          <w:highlight w:val="none"/>
        </w:rPr>
        <w:t>63%，顺利通过韶关市政府对南雄节能目标考核。在韶关市排名第二。开展电机能耗提升工作。组织珠玑纸业、绿洲纸模、三本化学、衡光化学等企业申报电机能效提升补贴，完成电机系统节能改造。推进园区企业清洁生产工作。组织园区的瑞晟化工、明威胶粘、三本化工、嘉盛实业等4家企业已通过省市清洁生产验收。</w:t>
      </w:r>
    </w:p>
    <w:p w14:paraId="0F5DE5C6">
      <w:pPr>
        <w:pStyle w:val="4"/>
        <w:bidi w:val="0"/>
        <w:rPr>
          <w:rFonts w:hint="eastAsia"/>
          <w:highlight w:val="none"/>
        </w:rPr>
      </w:pPr>
      <w:r>
        <w:rPr>
          <w:rFonts w:hint="eastAsia"/>
          <w:highlight w:val="none"/>
        </w:rPr>
        <w:t>【信息化工作协调推进】</w:t>
      </w:r>
    </w:p>
    <w:p w14:paraId="68FAF613">
      <w:pPr>
        <w:rPr>
          <w:rFonts w:hint="eastAsia" w:hAnsi="宋体" w:cs="宋体"/>
          <w:highlight w:val="none"/>
        </w:rPr>
      </w:pPr>
      <w:r>
        <w:rPr>
          <w:rFonts w:hint="eastAsia" w:hAnsi="宋体" w:cs="宋体"/>
          <w:highlight w:val="none"/>
        </w:rPr>
        <w:t>加强对三大运营商的工作协调和督促，促进全市信息化程度提升；充分利用政府信息化平台建设载体，拓宽渠道，加快农村信息化建设步伐。</w:t>
      </w:r>
    </w:p>
    <w:p w14:paraId="1A1CF74D">
      <w:pPr>
        <w:pStyle w:val="4"/>
        <w:bidi w:val="0"/>
        <w:rPr>
          <w:rFonts w:hint="eastAsia"/>
          <w:highlight w:val="none"/>
        </w:rPr>
      </w:pPr>
      <w:r>
        <w:rPr>
          <w:rFonts w:hint="eastAsia"/>
          <w:highlight w:val="none"/>
        </w:rPr>
        <w:t>【科技创新工作不断加强】</w:t>
      </w:r>
    </w:p>
    <w:p w14:paraId="0BB64B16">
      <w:pPr>
        <w:rPr>
          <w:rFonts w:hint="eastAsia" w:hAnsi="宋体" w:cs="宋体"/>
          <w:highlight w:val="none"/>
        </w:rPr>
      </w:pPr>
      <w:r>
        <w:rPr>
          <w:rFonts w:hint="eastAsia" w:hAnsi="宋体" w:cs="宋体"/>
          <w:highlight w:val="none"/>
        </w:rPr>
        <w:t>2015年9月顺利完成科技局并入经信局工作后，科技创新工作得到进一步加强。2015年，获国家发明专利11项，实用新型专利71项，获韶关市科技进步三等奖2项，科技扶持项目12项，创建1家韶关市工程技术研究开发中心。</w:t>
      </w:r>
    </w:p>
    <w:p w14:paraId="07987E11">
      <w:pPr>
        <w:pStyle w:val="4"/>
        <w:bidi w:val="0"/>
        <w:rPr>
          <w:rFonts w:hint="eastAsia"/>
          <w:highlight w:val="none"/>
        </w:rPr>
      </w:pPr>
      <w:r>
        <w:rPr>
          <w:rFonts w:hint="eastAsia"/>
          <w:highlight w:val="none"/>
        </w:rPr>
        <w:t>【行业管理平衡有序】</w:t>
      </w:r>
    </w:p>
    <w:p w14:paraId="73D22C2E">
      <w:pPr>
        <w:rPr>
          <w:rFonts w:hint="eastAsia" w:hAnsi="宋体" w:cs="宋体"/>
          <w:highlight w:val="none"/>
        </w:rPr>
      </w:pPr>
      <w:r>
        <w:rPr>
          <w:rFonts w:hint="eastAsia" w:hAnsi="宋体" w:cs="宋体"/>
          <w:highlight w:val="none"/>
        </w:rPr>
        <w:t>加强民爆企业监管。立足职能职责，加强对民爆公司、全市23个加油站、重点企业的安全生产检查，要求其定期汇报安全生产情况，对检查不合格的单位、企业限期整改，切实消除安全生产隐患。在重要时点前组织全面的安全大检查，确保节日期间安全稳定。严厉打击稀土违法违规行为。与公安、国土、工商、国税等部门多次联合行动，对“南雄市盛源矿产品加工厂”非法加工生产稀土违法行为进行查处。（陈连连）</w:t>
      </w:r>
    </w:p>
    <w:p w14:paraId="4B596C36">
      <w:pPr>
        <w:rPr>
          <w:rFonts w:hint="eastAsia" w:hAnsi="宋体" w:eastAsia="宋体" w:cs="宋体"/>
          <w:b w:val="0"/>
          <w:bCs w:val="0"/>
          <w:highlight w:val="none"/>
          <w:lang w:eastAsia="zh-CN"/>
        </w:rPr>
      </w:pPr>
      <w:r>
        <w:rPr>
          <w:rFonts w:hint="eastAsia" w:hAnsi="宋体" w:cs="宋体"/>
          <w:b w:val="0"/>
          <w:bCs w:val="0"/>
          <w:highlight w:val="none"/>
        </w:rPr>
        <w:t>附：2015年市经济和信息化局领导班子成员名单</w:t>
      </w:r>
    </w:p>
    <w:p w14:paraId="1D6787EE">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长：廖声华</w:t>
      </w:r>
    </w:p>
    <w:p w14:paraId="5B37E8D2">
      <w:pPr>
        <w:rPr>
          <w:rFonts w:hint="eastAsia" w:hAnsi="宋体" w:eastAsia="宋体" w:cs="宋体"/>
          <w:b w:val="0"/>
          <w:bCs w:val="0"/>
          <w:highlight w:val="none"/>
          <w:lang w:eastAsia="zh-CN"/>
        </w:rPr>
      </w:pPr>
      <w:r>
        <w:rPr>
          <w:rFonts w:hint="eastAsia" w:hAnsi="宋体" w:cs="宋体"/>
          <w:b w:val="0"/>
          <w:bCs w:val="0"/>
          <w:highlight w:val="none"/>
        </w:rPr>
        <w:t>副局长：陈军 叶珍凤</w:t>
      </w:r>
      <w:r>
        <w:rPr>
          <w:rFonts w:hint="eastAsia" w:hAnsi="宋体" w:cs="宋体"/>
          <w:b w:val="0"/>
          <w:bCs w:val="0"/>
          <w:highlight w:val="none"/>
          <w:lang w:eastAsia="zh-CN"/>
        </w:rPr>
        <w:t>（</w:t>
      </w:r>
      <w:r>
        <w:rPr>
          <w:rFonts w:hint="eastAsia" w:hAnsi="宋体" w:cs="宋体"/>
          <w:b w:val="0"/>
          <w:bCs w:val="0"/>
          <w:highlight w:val="none"/>
        </w:rPr>
        <w:t>9月任</w:t>
      </w:r>
      <w:r>
        <w:rPr>
          <w:rFonts w:hint="eastAsia" w:hAnsi="宋体" w:cs="宋体"/>
          <w:b w:val="0"/>
          <w:bCs w:val="0"/>
          <w:highlight w:val="none"/>
          <w:lang w:eastAsia="zh-CN"/>
        </w:rPr>
        <w:t>）</w:t>
      </w:r>
      <w:r>
        <w:rPr>
          <w:rFonts w:hint="eastAsia" w:hAnsi="宋体" w:cs="宋体"/>
          <w:b w:val="0"/>
          <w:bCs w:val="0"/>
          <w:highlight w:val="none"/>
        </w:rPr>
        <w:t>周华 李宇</w:t>
      </w:r>
    </w:p>
    <w:p w14:paraId="6692E472">
      <w:pPr>
        <w:rPr>
          <w:rFonts w:hint="eastAsia" w:hAnsi="宋体" w:cs="宋体"/>
          <w:b w:val="0"/>
          <w:bCs w:val="0"/>
          <w:highlight w:val="none"/>
        </w:rPr>
      </w:pPr>
      <w:r>
        <w:rPr>
          <w:rFonts w:hint="eastAsia" w:hAnsi="宋体" w:cs="宋体"/>
          <w:b w:val="0"/>
          <w:bCs w:val="0"/>
          <w:highlight w:val="none"/>
        </w:rPr>
        <w:t>纪检组长：张邦民</w:t>
      </w:r>
    </w:p>
    <w:p w14:paraId="3F4AA38C">
      <w:pPr>
        <w:rPr>
          <w:rFonts w:hint="eastAsia" w:hAnsi="宋体" w:cs="宋体"/>
          <w:b w:val="0"/>
          <w:bCs w:val="0"/>
          <w:highlight w:val="none"/>
        </w:rPr>
      </w:pPr>
      <w:r>
        <w:rPr>
          <w:rFonts w:hint="eastAsia" w:hAnsi="宋体" w:cs="宋体"/>
          <w:b w:val="0"/>
          <w:bCs w:val="0"/>
          <w:highlight w:val="none"/>
        </w:rPr>
        <w:t>工会主席：王福连</w:t>
      </w:r>
    </w:p>
    <w:p w14:paraId="354D0DA4">
      <w:pPr>
        <w:pStyle w:val="3"/>
        <w:bidi w:val="0"/>
        <w:rPr>
          <w:rFonts w:hint="eastAsia"/>
          <w:highlight w:val="none"/>
        </w:rPr>
      </w:pPr>
      <w:r>
        <w:rPr>
          <w:rFonts w:hint="eastAsia"/>
          <w:highlight w:val="none"/>
        </w:rPr>
        <w:t>电力工业</w:t>
      </w:r>
    </w:p>
    <w:p w14:paraId="463C6628">
      <w:pPr>
        <w:pStyle w:val="4"/>
        <w:bidi w:val="0"/>
        <w:rPr>
          <w:rFonts w:hint="eastAsia"/>
          <w:highlight w:val="none"/>
        </w:rPr>
      </w:pPr>
      <w:r>
        <w:rPr>
          <w:rFonts w:hint="eastAsia"/>
          <w:highlight w:val="none"/>
        </w:rPr>
        <w:t>【概况】</w:t>
      </w:r>
    </w:p>
    <w:p w14:paraId="05D8463E">
      <w:pPr>
        <w:rPr>
          <w:rFonts w:hint="eastAsia" w:hAnsi="宋体" w:cs="宋体"/>
          <w:highlight w:val="none"/>
        </w:rPr>
      </w:pPr>
      <w:r>
        <w:rPr>
          <w:rFonts w:hint="eastAsia" w:hAnsi="宋体" w:cs="宋体"/>
          <w:highlight w:val="none"/>
        </w:rPr>
        <w:t>2015年，南雄供电局完成供电量3</w:t>
      </w:r>
      <w:r>
        <w:rPr>
          <w:rFonts w:hint="eastAsia" w:ascii="MingLiU_HKSCS" w:hAnsi="MingLiU_HKSCS" w:eastAsia="MingLiU_HKSCS" w:cs="MingLiU_HKSCS"/>
          <w:highlight w:val="none"/>
        </w:rPr>
        <w:t>.</w:t>
      </w:r>
      <w:r>
        <w:rPr>
          <w:rFonts w:hint="eastAsia" w:hAnsi="宋体" w:cs="宋体"/>
          <w:highlight w:val="none"/>
        </w:rPr>
        <w:t>95亿千瓦时，同比增长3</w:t>
      </w:r>
      <w:r>
        <w:rPr>
          <w:rFonts w:hint="eastAsia" w:ascii="MingLiU_HKSCS" w:hAnsi="MingLiU_HKSCS" w:eastAsia="MingLiU_HKSCS" w:cs="MingLiU_HKSCS"/>
          <w:highlight w:val="none"/>
        </w:rPr>
        <w:t>.</w:t>
      </w:r>
      <w:r>
        <w:rPr>
          <w:rFonts w:hint="eastAsia" w:hAnsi="宋体" w:cs="宋体"/>
          <w:highlight w:val="none"/>
        </w:rPr>
        <w:t>1%，售电量3</w:t>
      </w:r>
      <w:r>
        <w:rPr>
          <w:rFonts w:hint="eastAsia" w:ascii="MingLiU_HKSCS" w:hAnsi="MingLiU_HKSCS" w:eastAsia="MingLiU_HKSCS" w:cs="MingLiU_HKSCS"/>
          <w:highlight w:val="none"/>
        </w:rPr>
        <w:t>.</w:t>
      </w:r>
      <w:r>
        <w:rPr>
          <w:rFonts w:hint="eastAsia" w:hAnsi="宋体" w:cs="宋体"/>
          <w:highlight w:val="none"/>
        </w:rPr>
        <w:t>75亿千瓦时，同比增长4</w:t>
      </w:r>
      <w:r>
        <w:rPr>
          <w:rFonts w:hint="eastAsia" w:ascii="MingLiU_HKSCS" w:hAnsi="MingLiU_HKSCS" w:eastAsia="MingLiU_HKSCS" w:cs="MingLiU_HKSCS"/>
          <w:highlight w:val="none"/>
        </w:rPr>
        <w:t>.</w:t>
      </w:r>
      <w:r>
        <w:rPr>
          <w:rFonts w:hint="eastAsia" w:hAnsi="宋体" w:cs="宋体"/>
          <w:highlight w:val="none"/>
        </w:rPr>
        <w:t>6%；综合线损率5%，同比下降1</w:t>
      </w:r>
      <w:r>
        <w:rPr>
          <w:rFonts w:hint="eastAsia" w:ascii="MingLiU_HKSCS" w:hAnsi="MingLiU_HKSCS" w:eastAsia="MingLiU_HKSCS" w:cs="MingLiU_HKSCS"/>
          <w:highlight w:val="none"/>
        </w:rPr>
        <w:t>.</w:t>
      </w:r>
      <w:r>
        <w:rPr>
          <w:rFonts w:hint="eastAsia" w:hAnsi="宋体" w:cs="宋体"/>
          <w:highlight w:val="none"/>
        </w:rPr>
        <w:t>42个百分点；连续8年实现电费回收率100%，历年旧欠电费为零；用户平均停电时间5</w:t>
      </w:r>
      <w:r>
        <w:rPr>
          <w:rFonts w:hint="eastAsia" w:ascii="MingLiU_HKSCS" w:hAnsi="MingLiU_HKSCS" w:eastAsia="MingLiU_HKSCS" w:cs="MingLiU_HKSCS"/>
          <w:highlight w:val="none"/>
        </w:rPr>
        <w:t>.</w:t>
      </w:r>
      <w:r>
        <w:rPr>
          <w:rFonts w:hint="eastAsia" w:hAnsi="宋体" w:cs="宋体"/>
          <w:highlight w:val="none"/>
        </w:rPr>
        <w:t>05小时/户，综合电压合格率99</w:t>
      </w:r>
      <w:r>
        <w:rPr>
          <w:rFonts w:hint="eastAsia" w:ascii="MingLiU_HKSCS" w:hAnsi="MingLiU_HKSCS" w:eastAsia="MingLiU_HKSCS" w:cs="MingLiU_HKSCS"/>
          <w:highlight w:val="none"/>
        </w:rPr>
        <w:t>.</w:t>
      </w:r>
      <w:r>
        <w:rPr>
          <w:rFonts w:hint="eastAsia" w:hAnsi="宋体" w:cs="宋体"/>
          <w:highlight w:val="none"/>
        </w:rPr>
        <w:t>999%，同比提高0</w:t>
      </w:r>
      <w:r>
        <w:rPr>
          <w:rFonts w:hint="eastAsia" w:ascii="MingLiU_HKSCS" w:hAnsi="MingLiU_HKSCS" w:eastAsia="MingLiU_HKSCS" w:cs="MingLiU_HKSCS"/>
          <w:highlight w:val="none"/>
        </w:rPr>
        <w:t>.</w:t>
      </w:r>
      <w:r>
        <w:rPr>
          <w:rFonts w:hint="eastAsia" w:hAnsi="宋体" w:cs="宋体"/>
          <w:highlight w:val="none"/>
        </w:rPr>
        <w:t>051个百分点；共纳税2072万元，位列南雄市工业企业第一；继续保留广东省文明单位荣誉称号，并荣获广东省A级纳税人、广东电网公司规范化县级企业、韶关供电局2015年度先进集体等荣誉称号。</w:t>
      </w:r>
    </w:p>
    <w:p w14:paraId="7FA9B122">
      <w:pPr>
        <w:rPr>
          <w:rFonts w:hint="eastAsia" w:hAnsi="宋体" w:cs="宋体"/>
          <w:highlight w:val="none"/>
        </w:rPr>
      </w:pPr>
      <w:r>
        <w:rPr>
          <w:rFonts w:hint="eastAsia" w:hAnsi="宋体" w:cs="宋体"/>
          <w:highlight w:val="none"/>
        </w:rPr>
        <w:t>至2015年12月31日，在岗员工476人（其中，省编员工404人，劳务派遣人员72人），职能部门设“八部一室”，即办公室、人力资源部、财务部、市场营销部、计划建设部、生产设备管理部、安全监管部、监察审计部（与纪委合署）、党群工作部（与工会、团委合署）；二级机构设“一所二中心”，即输变电管理所、电力调度控制中心、物流服务中心；下设14个基层供电所作为派出机构，管理各镇（街道）用电业务；辖区变电站10座，其中220千伏变电站1座，110千伏变电站5座，35千伏变电站4座，主变容量503</w:t>
      </w:r>
      <w:r>
        <w:rPr>
          <w:rFonts w:hint="eastAsia" w:ascii="MingLiU_HKSCS" w:hAnsi="MingLiU_HKSCS" w:eastAsia="MingLiU_HKSCS" w:cs="MingLiU_HKSCS"/>
          <w:highlight w:val="none"/>
        </w:rPr>
        <w:t>.</w:t>
      </w:r>
      <w:r>
        <w:rPr>
          <w:rFonts w:hint="eastAsia" w:hAnsi="宋体" w:cs="宋体"/>
          <w:highlight w:val="none"/>
        </w:rPr>
        <w:t>75兆伏安，10千伏及以上电压等级线路1641</w:t>
      </w:r>
      <w:r>
        <w:rPr>
          <w:rFonts w:hint="eastAsia" w:ascii="MingLiU_HKSCS" w:hAnsi="MingLiU_HKSCS" w:eastAsia="MingLiU_HKSCS" w:cs="MingLiU_HKSCS"/>
          <w:highlight w:val="none"/>
        </w:rPr>
        <w:t>.</w:t>
      </w:r>
      <w:r>
        <w:rPr>
          <w:rFonts w:hint="eastAsia" w:hAnsi="宋体" w:cs="宋体"/>
          <w:highlight w:val="none"/>
        </w:rPr>
        <w:t>3千米；供电客户15</w:t>
      </w:r>
      <w:r>
        <w:rPr>
          <w:rFonts w:hint="eastAsia" w:ascii="MingLiU_HKSCS" w:hAnsi="MingLiU_HKSCS" w:eastAsia="MingLiU_HKSCS" w:cs="MingLiU_HKSCS"/>
          <w:highlight w:val="none"/>
        </w:rPr>
        <w:t>.</w:t>
      </w:r>
      <w:r>
        <w:rPr>
          <w:rFonts w:hint="eastAsia" w:hAnsi="宋体" w:cs="宋体"/>
          <w:highlight w:val="none"/>
        </w:rPr>
        <w:t>78万户，用电容量56</w:t>
      </w:r>
      <w:r>
        <w:rPr>
          <w:rFonts w:hint="eastAsia" w:ascii="MingLiU_HKSCS" w:hAnsi="MingLiU_HKSCS" w:eastAsia="MingLiU_HKSCS" w:cs="MingLiU_HKSCS"/>
          <w:highlight w:val="none"/>
        </w:rPr>
        <w:t>.</w:t>
      </w:r>
      <w:r>
        <w:rPr>
          <w:rFonts w:hint="eastAsia" w:hAnsi="宋体" w:cs="宋体"/>
          <w:highlight w:val="none"/>
        </w:rPr>
        <w:t>91万千伏安。</w:t>
      </w:r>
    </w:p>
    <w:p w14:paraId="437522B4">
      <w:pPr>
        <w:pStyle w:val="4"/>
        <w:bidi w:val="0"/>
        <w:rPr>
          <w:rFonts w:hint="eastAsia"/>
          <w:highlight w:val="none"/>
        </w:rPr>
      </w:pPr>
      <w:r>
        <w:rPr>
          <w:rFonts w:hint="eastAsia"/>
          <w:highlight w:val="none"/>
        </w:rPr>
        <w:t>【安全管理】</w:t>
      </w:r>
    </w:p>
    <w:p w14:paraId="6DEA6E7D">
      <w:pPr>
        <w:rPr>
          <w:rFonts w:hint="eastAsia" w:hAnsi="宋体" w:cs="宋体"/>
          <w:highlight w:val="none"/>
        </w:rPr>
      </w:pPr>
      <w:r>
        <w:rPr>
          <w:rFonts w:hint="eastAsia" w:hAnsi="宋体" w:cs="宋体"/>
          <w:highlight w:val="none"/>
        </w:rPr>
        <w:t>实现“三个杜绝、两个确保、两个减少、一个不发生”安全生产目标，确保电网安全稳定运行及电力有序供应。将安风体系建设与供电所规范化建设相结合，按照业务指导书梳理供电所业务，制定供电所安全生产工作指引，使各班组清楚做什么、怎么做，进一步提高供电所安全生产管理水平。安风体系建设2015年审核得分为72分，超额完成韶关供电局下达评级满分值68分要求。推广“设备主人”管理机制，输变电设备主人配置率100%。做好设备运维，发现并处理设备缺陷95项，重大、紧急缺陷消缺及时率均达100%。深入推进“四方联动”管控机制应用，并建立配网管理微信群，实施全天候的现场安全监控。严格按照到位标准开展现场安全督查959次，发现并整改问题70项，违章整改率达100%，累计发出红牌6张，黄牌1张，有效降低作业风险。组织各供电所开展台区低压图纸绘制工作，形成手工图纸1282张，并做好低压图纸电子化，进一步提高生产管理水平。强化应急处置能力建设，组建113人专业应急队伍，并开展与政府应急平台互联互通，按计划完成防风防汛、大面积停电等应急演练，防灾抗灾水平明显提高。落实防冰、防汛及防外力破坏措施，有效应对寒潮、暴雨、山火雷电等自然灾害对电网影响，保障电力供应。</w:t>
      </w:r>
    </w:p>
    <w:p w14:paraId="2E5B0711">
      <w:pPr>
        <w:pStyle w:val="4"/>
        <w:bidi w:val="0"/>
        <w:rPr>
          <w:rFonts w:hint="eastAsia"/>
          <w:highlight w:val="none"/>
        </w:rPr>
      </w:pPr>
      <w:r>
        <w:rPr>
          <w:rFonts w:hint="eastAsia"/>
          <w:highlight w:val="none"/>
        </w:rPr>
        <w:t>【农电改革】</w:t>
      </w:r>
    </w:p>
    <w:p w14:paraId="00B7E7DD">
      <w:pPr>
        <w:rPr>
          <w:rFonts w:hint="eastAsia" w:hAnsi="宋体" w:cs="宋体"/>
          <w:highlight w:val="none"/>
        </w:rPr>
      </w:pPr>
      <w:r>
        <w:rPr>
          <w:rFonts w:hint="eastAsia" w:hAnsi="宋体" w:cs="宋体"/>
          <w:highlight w:val="none"/>
        </w:rPr>
        <w:t>顺利完成江头、全安（苍石）、澜河、百顺以及帽子峰5个趸售镇农电体制改革移交协议签订工作。江头圩镇电网改造工程于2015年10月开工建设，江头镇内山片、全安（苍石）、澜河、百顺、帽子峰镇电网改造将于2016年起逐片实施。扎实推进乌迳孔江片小水电自供自管区农电体制改革工作，顺利签订农网建设、供电业务无偿移交协议及确认书，该区域电网改造将于2016年全面实施。</w:t>
      </w:r>
    </w:p>
    <w:p w14:paraId="7D5A56F9">
      <w:pPr>
        <w:pStyle w:val="4"/>
        <w:bidi w:val="0"/>
        <w:rPr>
          <w:rFonts w:hint="eastAsia"/>
          <w:highlight w:val="none"/>
        </w:rPr>
      </w:pPr>
      <w:r>
        <w:rPr>
          <w:rFonts w:hint="eastAsia"/>
          <w:highlight w:val="none"/>
        </w:rPr>
        <w:t>【电网建设】</w:t>
      </w:r>
    </w:p>
    <w:p w14:paraId="20C5EDD6">
      <w:pPr>
        <w:rPr>
          <w:rFonts w:hint="eastAsia" w:hAnsi="宋体" w:cs="宋体"/>
          <w:highlight w:val="none"/>
        </w:rPr>
      </w:pPr>
      <w:r>
        <w:rPr>
          <w:rFonts w:hint="eastAsia" w:hAnsi="宋体" w:cs="宋体"/>
          <w:highlight w:val="none"/>
        </w:rPr>
        <w:t>2015年完成电网投资5256</w:t>
      </w:r>
      <w:r>
        <w:rPr>
          <w:rFonts w:hint="eastAsia" w:ascii="MingLiU_HKSCS" w:hAnsi="MingLiU_HKSCS" w:eastAsia="MingLiU_HKSCS" w:cs="MingLiU_HKSCS"/>
          <w:highlight w:val="none"/>
        </w:rPr>
        <w:t>.</w:t>
      </w:r>
      <w:r>
        <w:rPr>
          <w:rFonts w:hint="eastAsia" w:hAnsi="宋体" w:cs="宋体"/>
          <w:highlight w:val="none"/>
        </w:rPr>
        <w:t>42万元，其中农网改造4360万元，改造台区98个，新增配变容量27215万千伏安，新建10千伏线路24</w:t>
      </w:r>
      <w:r>
        <w:rPr>
          <w:rFonts w:hint="eastAsia" w:ascii="MingLiU_HKSCS" w:hAnsi="MingLiU_HKSCS" w:eastAsia="MingLiU_HKSCS" w:cs="MingLiU_HKSCS"/>
          <w:highlight w:val="none"/>
        </w:rPr>
        <w:t>.</w:t>
      </w:r>
      <w:r>
        <w:rPr>
          <w:rFonts w:hint="eastAsia" w:hAnsi="宋体" w:cs="宋体"/>
          <w:highlight w:val="none"/>
        </w:rPr>
        <w:t>22千米，改造低压线路332</w:t>
      </w:r>
      <w:r>
        <w:rPr>
          <w:rFonts w:hint="eastAsia" w:ascii="MingLiU_HKSCS" w:hAnsi="MingLiU_HKSCS" w:eastAsia="MingLiU_HKSCS" w:cs="MingLiU_HKSCS"/>
          <w:highlight w:val="none"/>
        </w:rPr>
        <w:t>.</w:t>
      </w:r>
      <w:r>
        <w:rPr>
          <w:rFonts w:hint="eastAsia" w:hAnsi="宋体" w:cs="宋体"/>
          <w:highlight w:val="none"/>
        </w:rPr>
        <w:t>16千米，惠及农户7890户。通过大力实施电网改造，促使南雄电网网架结构不断优化，全市10千伏线路57条，可实现转供电10千伏线路达38条，2016年还将通过技术改造使古市、坪田、界址、江头等乡镇10千伏线路实现环网，进一步提高乡镇供电可靠性。除35千伏江头站外，其余变电站均已实现综合自动化，自动化率高达90%。形成南雄地区由220千伏珠玑变电站为中心辐射5回110千伏线路，雄州、全安、黄坑、里东、澜河5个区域电网构成南雄电网主框架，57回计1409</w:t>
      </w:r>
      <w:r>
        <w:rPr>
          <w:rFonts w:hint="eastAsia" w:ascii="MingLiU_HKSCS" w:hAnsi="MingLiU_HKSCS" w:eastAsia="MingLiU_HKSCS" w:cs="MingLiU_HKSCS"/>
          <w:highlight w:val="none"/>
        </w:rPr>
        <w:t>.</w:t>
      </w:r>
      <w:r>
        <w:rPr>
          <w:rFonts w:hint="eastAsia" w:hAnsi="宋体" w:cs="宋体"/>
          <w:highlight w:val="none"/>
        </w:rPr>
        <w:t>5千米10千伏公用线路、22回专用线路为辅，1072个公用配变、721个专用配变为支撑坚强电网，为南雄经济社会快速发展提供强有力电力支撑。</w:t>
      </w:r>
    </w:p>
    <w:p w14:paraId="33499282">
      <w:pPr>
        <w:pStyle w:val="4"/>
        <w:bidi w:val="0"/>
        <w:rPr>
          <w:rFonts w:hint="eastAsia"/>
          <w:highlight w:val="none"/>
        </w:rPr>
      </w:pPr>
      <w:r>
        <w:rPr>
          <w:rFonts w:hint="eastAsia"/>
          <w:highlight w:val="none"/>
        </w:rPr>
        <w:t>【优质服务】</w:t>
      </w:r>
    </w:p>
    <w:p w14:paraId="08F6181E">
      <w:pPr>
        <w:rPr>
          <w:rFonts w:hint="eastAsia" w:hAnsi="宋体" w:cs="宋体"/>
          <w:highlight w:val="none"/>
        </w:rPr>
      </w:pPr>
      <w:r>
        <w:rPr>
          <w:rFonts w:hint="eastAsia" w:hAnsi="宋体" w:cs="宋体"/>
          <w:highlight w:val="none"/>
        </w:rPr>
        <w:t>主动跟踪服务地方重点项目建设，全力保障项目建设用电需求，并配合市政道路改扩建及珠玑古巷、坪田银杏景区等建设。成立客户全方位服务管理委员会及工作小组，形成跨部门协同机制。主动上门走访地方各级政府、职能部门以及6808户主要用户，并邀请镇人大代表进行座谈，了解和听取客户用电需求及意见建议。扎实做好新营销系统应用，并荣获韶关供电局新营销系统推广应用一等奖。开展微信推广工作，完成微信关注用户3330户，在韶关供电局中排名第二。加强重要客户的供用电安全管理，连续3年免费为70多家用电企业举办电工培训班，并联合重要用户开展反事故演习，帮助重要用户提高事故应急响应能力。主动承担社会责任，稳步推进客户资产接收，顺利完成11个小区1037万元客户资产接收工作。强化电力宣传，每月定期向政府部门报送工作简报，并累计发放便民服务资料15万份，在全市各村委会制作新装供电信息宣传栏213块，有效解决边远地区用户，特别是留守老人和儿童遇到用电困难时无法联系供电所进行处理的问题。推行供电所所长承诺制，促使各供电所及时解决客户困难，2015年收到用户送来15面感谢锦旗。</w:t>
      </w:r>
    </w:p>
    <w:p w14:paraId="2588B55B">
      <w:pPr>
        <w:pStyle w:val="4"/>
        <w:bidi w:val="0"/>
        <w:rPr>
          <w:rFonts w:hint="eastAsia"/>
          <w:highlight w:val="none"/>
        </w:rPr>
      </w:pPr>
      <w:r>
        <w:rPr>
          <w:rFonts w:hint="eastAsia"/>
          <w:highlight w:val="none"/>
        </w:rPr>
        <w:t>【依法治企】</w:t>
      </w:r>
    </w:p>
    <w:p w14:paraId="7E7B1D7A">
      <w:pPr>
        <w:rPr>
          <w:rFonts w:hint="eastAsia" w:hAnsi="宋体" w:cs="宋体"/>
          <w:highlight w:val="none"/>
        </w:rPr>
      </w:pPr>
      <w:r>
        <w:rPr>
          <w:rFonts w:hint="eastAsia" w:hAnsi="宋体" w:cs="宋体"/>
          <w:highlight w:val="none"/>
        </w:rPr>
        <w:t>2015年深入推进依法治企，充分发挥“法律诊所”和“法律服务移动站”作用，开展送法下基层活动12次，受理员工法律咨询81起，基层员工法律风险防范意识不断提升。加强法律风险管控，办结案件4宗，胜诉率100%，避免经济损失19</w:t>
      </w:r>
      <w:r>
        <w:rPr>
          <w:rFonts w:hint="eastAsia" w:ascii="MingLiU_HKSCS" w:hAnsi="MingLiU_HKSCS" w:eastAsia="MingLiU_HKSCS" w:cs="MingLiU_HKSCS"/>
          <w:highlight w:val="none"/>
        </w:rPr>
        <w:t>.</w:t>
      </w:r>
      <w:r>
        <w:rPr>
          <w:rFonts w:hint="eastAsia" w:hAnsi="宋体" w:cs="宋体"/>
          <w:highlight w:val="none"/>
        </w:rPr>
        <w:t>9万元，重大合同实现“零纠纷”。“六五”普法工作获评优秀，获南雄市通报表扬。“警企联动”严厉打击窃电违法犯罪行为，查处窃电户14户，追补电量34208千瓦时，追补电费21018元</w:t>
      </w:r>
      <w:r>
        <w:rPr>
          <w:rFonts w:hint="eastAsia" w:hAnsi="宋体" w:cs="宋体"/>
          <w:highlight w:val="none"/>
          <w:lang w:eastAsia="zh-CN"/>
        </w:rPr>
        <w:t>，</w:t>
      </w:r>
      <w:r>
        <w:rPr>
          <w:rFonts w:hint="eastAsia" w:hAnsi="宋体" w:cs="宋体"/>
          <w:highlight w:val="none"/>
        </w:rPr>
        <w:t>追补违约金62568元，查处窃电户数、涉电金额等与上年对比实现大幅下降，反窃电效果明显，南雄城乡用电秩序得到进一步加强。坚持诚信经营，依法纳税，荣获广东省“A级纳税人”荣誉称号。</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06D7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2073AD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52015"/>
                  <wp:effectExtent l="0" t="0" r="8890" b="635"/>
                  <wp:docPr id="69" name="图片 222" descr="入园道路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2" descr="入园道路15"/>
                          <pic:cNvPicPr>
                            <a:picLocks noChangeAspect="1"/>
                          </pic:cNvPicPr>
                        </pic:nvPicPr>
                        <pic:blipFill>
                          <a:blip r:embed="rId74"/>
                          <a:stretch>
                            <a:fillRect/>
                          </a:stretch>
                        </pic:blipFill>
                        <pic:spPr>
                          <a:xfrm>
                            <a:off x="0" y="0"/>
                            <a:ext cx="3420110" cy="2152015"/>
                          </a:xfrm>
                          <a:prstGeom prst="rect">
                            <a:avLst/>
                          </a:prstGeom>
                          <a:noFill/>
                          <a:ln>
                            <a:noFill/>
                          </a:ln>
                        </pic:spPr>
                      </pic:pic>
                    </a:graphicData>
                  </a:graphic>
                </wp:inline>
              </w:drawing>
            </w:r>
          </w:p>
        </w:tc>
      </w:tr>
      <w:tr w14:paraId="52044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1B9B68A1">
            <w:pPr>
              <w:jc w:val="center"/>
              <w:rPr>
                <w:rFonts w:hint="eastAsia" w:hAnsi="宋体" w:cs="宋体"/>
                <w:highlight w:val="none"/>
                <w:vertAlign w:val="baseline"/>
              </w:rPr>
            </w:pPr>
            <w:r>
              <w:rPr>
                <w:rFonts w:hint="eastAsia" w:hAnsi="宋体" w:cs="宋体"/>
                <w:highlight w:val="none"/>
                <w:vertAlign w:val="baseline"/>
              </w:rPr>
              <w:t>园区二期入园道路</w:t>
            </w:r>
          </w:p>
        </w:tc>
      </w:tr>
    </w:tbl>
    <w:p w14:paraId="43783E7B">
      <w:pPr>
        <w:pStyle w:val="4"/>
        <w:bidi w:val="0"/>
        <w:rPr>
          <w:rFonts w:hint="eastAsia"/>
          <w:highlight w:val="none"/>
        </w:rPr>
      </w:pPr>
      <w:r>
        <w:rPr>
          <w:rFonts w:hint="eastAsia"/>
          <w:highlight w:val="none"/>
        </w:rPr>
        <w:t>【党建工作】</w:t>
      </w:r>
    </w:p>
    <w:p w14:paraId="159B9FBC">
      <w:pPr>
        <w:rPr>
          <w:rFonts w:hint="eastAsia" w:hAnsi="宋体" w:cs="宋体"/>
          <w:highlight w:val="none"/>
        </w:rPr>
      </w:pPr>
      <w:r>
        <w:rPr>
          <w:rFonts w:hint="eastAsia" w:hAnsi="宋体" w:cs="宋体"/>
          <w:highlight w:val="none"/>
        </w:rPr>
        <w:t>深入学习贯彻习近平总书记系列重要讲话精神，在全局范围内扎实开展“三严三实”专题教育，全面梳理各业务领域“不严不实”问题79项，实行“销号式”管理。强化党员思想政治教育，全局各党支部多形式开展政治学习46周次，每周参学率均达95%以上，形成政治学习新常态。狠抓《党章》《准则》《条例》学习，严肃党的政治纪律和政治规矩。顺利完成党支部换届选举，选优配强各基层党组织领导班子。全面完成3年扶贫“双到”工作任务，并获南雄市通报表扬。突出抓好党风廉政建设，通过组织参观韶关市监狱和南雄市反腐倡廉教育基地、举办反腐倡廉宣传展览等多形式开展反腐倡廉教育，促使员工廉洁意识进一步提高。突出抓好业扩报装和营销领域权力寻租专项治理，严肃查处损害群众利益行为。以职工文化中心为载体，深入推进幸福企业建设，“职工之家”创建获韶关和南雄市总工会好评。林荫路营业厅荣获广东省“巾帼文明岗”荣誉称号，团委先后荣获韶关市和韶关供电局“五四红旗团委”、“韶关市青年文明号”、南雄市“青年文明号”和“志愿服务先进集体”等荣誉称号。（文振才）</w:t>
      </w:r>
    </w:p>
    <w:p w14:paraId="323C6FBD">
      <w:pPr>
        <w:rPr>
          <w:rFonts w:hint="eastAsia" w:hAnsi="宋体" w:eastAsia="宋体" w:cs="宋体"/>
          <w:highlight w:val="none"/>
          <w:lang w:eastAsia="zh-CN"/>
        </w:rPr>
      </w:pPr>
      <w:r>
        <w:rPr>
          <w:rFonts w:hint="eastAsia" w:hAnsi="宋体" w:cs="宋体"/>
          <w:highlight w:val="none"/>
        </w:rPr>
        <w:t>附：2015年南雄供电局领导班子成员名单</w:t>
      </w:r>
    </w:p>
    <w:p w14:paraId="7243FDDF">
      <w:pPr>
        <w:rPr>
          <w:rFonts w:hint="eastAsia" w:hAnsi="宋体" w:eastAsia="宋体" w:cs="宋体"/>
          <w:highlight w:val="none"/>
          <w:lang w:eastAsia="zh-CN"/>
        </w:rPr>
      </w:pPr>
      <w:r>
        <w:rPr>
          <w:rFonts w:hint="eastAsia" w:hAnsi="宋体" w:cs="宋体"/>
          <w:highlight w:val="none"/>
        </w:rPr>
        <w:t>局长、党委副书记：罗海斌</w:t>
      </w:r>
    </w:p>
    <w:p w14:paraId="54B00DF1">
      <w:pPr>
        <w:rPr>
          <w:rFonts w:hint="eastAsia" w:hAnsi="宋体" w:eastAsia="宋体" w:cs="宋体"/>
          <w:highlight w:val="none"/>
          <w:lang w:eastAsia="zh-CN"/>
        </w:rPr>
      </w:pPr>
      <w:r>
        <w:rPr>
          <w:rFonts w:hint="eastAsia" w:hAnsi="宋体" w:cs="宋体"/>
          <w:highlight w:val="none"/>
        </w:rPr>
        <w:t>党委副书记、纪委书记、工会主席：黄立华</w:t>
      </w:r>
    </w:p>
    <w:p w14:paraId="57F51186">
      <w:pPr>
        <w:rPr>
          <w:rFonts w:hint="eastAsia" w:hAnsi="宋体" w:eastAsia="宋体" w:cs="宋体"/>
          <w:highlight w:val="none"/>
          <w:lang w:eastAsia="zh-CN"/>
        </w:rPr>
      </w:pPr>
      <w:r>
        <w:rPr>
          <w:rFonts w:hint="eastAsia" w:hAnsi="宋体" w:cs="宋体"/>
          <w:highlight w:val="none"/>
        </w:rPr>
        <w:t>副局长：叶向红 叶志勇 李训忠</w:t>
      </w:r>
    </w:p>
    <w:p w14:paraId="5CBDD906">
      <w:pPr>
        <w:pStyle w:val="3"/>
        <w:bidi w:val="0"/>
        <w:rPr>
          <w:rFonts w:hint="eastAsia"/>
          <w:highlight w:val="none"/>
        </w:rPr>
      </w:pPr>
      <w:r>
        <w:rPr>
          <w:rFonts w:hint="eastAsia"/>
          <w:highlight w:val="none"/>
        </w:rPr>
        <w:t>东莞大岭山（南雄）产业转移工业园</w:t>
      </w:r>
    </w:p>
    <w:p w14:paraId="616BCCBD">
      <w:pPr>
        <w:pStyle w:val="4"/>
        <w:bidi w:val="0"/>
        <w:rPr>
          <w:rFonts w:hint="eastAsia"/>
          <w:highlight w:val="none"/>
        </w:rPr>
      </w:pPr>
      <w:r>
        <w:rPr>
          <w:rFonts w:hint="eastAsia"/>
          <w:highlight w:val="none"/>
        </w:rPr>
        <w:t>【概况】</w:t>
      </w:r>
    </w:p>
    <w:p w14:paraId="1BD02F56">
      <w:pPr>
        <w:rPr>
          <w:rFonts w:hint="eastAsia" w:hAnsi="宋体" w:cs="宋体"/>
          <w:highlight w:val="none"/>
        </w:rPr>
      </w:pPr>
      <w:r>
        <w:rPr>
          <w:rFonts w:hint="eastAsia" w:hAnsi="宋体" w:cs="宋体"/>
          <w:highlight w:val="none"/>
        </w:rPr>
        <w:t>东莞大岭山（南雄）产业转移工业园管理处不定级别，核实编制人员31人，核定党工委书记、主任各1名（副处级），副主任3名（正科级），内设机构为党政办公室、基建室、企业发展室、融资服务室、统计信息室等5个科室（副科级）。</w:t>
      </w:r>
    </w:p>
    <w:p w14:paraId="07E70684">
      <w:pPr>
        <w:rPr>
          <w:rFonts w:hint="eastAsia" w:hAnsi="宋体" w:cs="宋体"/>
          <w:highlight w:val="none"/>
        </w:rPr>
      </w:pPr>
      <w:r>
        <w:rPr>
          <w:rFonts w:hint="eastAsia" w:hAnsi="宋体" w:cs="宋体"/>
          <w:highlight w:val="none"/>
        </w:rPr>
        <w:t>园区一期经济运行情况稳中有进。截至2015年底，入园103家企业中，试投产企业85家，规上企业达到65家。在全国经济下行的情况下，园区企业仍保持良好的发展态势，至2015年12月底，共完成工业总产值123</w:t>
      </w:r>
      <w:r>
        <w:rPr>
          <w:rFonts w:hint="eastAsia" w:ascii="MingLiU_HKSCS" w:hAnsi="MingLiU_HKSCS" w:eastAsia="MingLiU_HKSCS" w:cs="MingLiU_HKSCS"/>
          <w:highlight w:val="none"/>
        </w:rPr>
        <w:t>.</w:t>
      </w:r>
      <w:r>
        <w:rPr>
          <w:rFonts w:hint="eastAsia" w:hAnsi="宋体" w:cs="宋体"/>
          <w:highlight w:val="none"/>
        </w:rPr>
        <w:t>23亿，同比增长26</w:t>
      </w:r>
      <w:r>
        <w:rPr>
          <w:rFonts w:hint="eastAsia" w:ascii="MingLiU_HKSCS" w:hAnsi="MingLiU_HKSCS" w:eastAsia="MingLiU_HKSCS" w:cs="MingLiU_HKSCS"/>
          <w:highlight w:val="none"/>
        </w:rPr>
        <w:t>.</w:t>
      </w:r>
      <w:r>
        <w:rPr>
          <w:rFonts w:hint="eastAsia" w:hAnsi="宋体" w:cs="宋体"/>
          <w:highlight w:val="none"/>
        </w:rPr>
        <w:t>6%；实现工业增加值30</w:t>
      </w:r>
      <w:r>
        <w:rPr>
          <w:rFonts w:hint="eastAsia" w:ascii="MingLiU_HKSCS" w:hAnsi="MingLiU_HKSCS" w:eastAsia="MingLiU_HKSCS" w:cs="MingLiU_HKSCS"/>
          <w:highlight w:val="none"/>
        </w:rPr>
        <w:t>.</w:t>
      </w:r>
      <w:r>
        <w:rPr>
          <w:rFonts w:hint="eastAsia" w:hAnsi="宋体" w:cs="宋体"/>
          <w:highlight w:val="none"/>
        </w:rPr>
        <w:t>6亿，增速25</w:t>
      </w:r>
      <w:r>
        <w:rPr>
          <w:rFonts w:hint="eastAsia" w:ascii="MingLiU_HKSCS" w:hAnsi="MingLiU_HKSCS" w:eastAsia="MingLiU_HKSCS" w:cs="MingLiU_HKSCS"/>
          <w:highlight w:val="none"/>
        </w:rPr>
        <w:t>.</w:t>
      </w:r>
      <w:r>
        <w:rPr>
          <w:rFonts w:hint="eastAsia" w:hAnsi="宋体" w:cs="宋体"/>
          <w:highlight w:val="none"/>
        </w:rPr>
        <w:t>7%。完成固定资产投资28</w:t>
      </w:r>
      <w:r>
        <w:rPr>
          <w:rFonts w:hint="eastAsia" w:ascii="MingLiU_HKSCS" w:hAnsi="MingLiU_HKSCS" w:eastAsia="MingLiU_HKSCS" w:cs="MingLiU_HKSCS"/>
          <w:highlight w:val="none"/>
        </w:rPr>
        <w:t>.</w:t>
      </w:r>
      <w:r>
        <w:rPr>
          <w:rFonts w:hint="eastAsia" w:hAnsi="宋体" w:cs="宋体"/>
          <w:highlight w:val="none"/>
        </w:rPr>
        <w:t>29亿，超额完成年度目标任务。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B98B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6873538">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423670"/>
                  <wp:effectExtent l="0" t="0" r="8890" b="5080"/>
                  <wp:docPr id="70" name="图片 224" descr="珠玑古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24" descr="珠玑古巷"/>
                          <pic:cNvPicPr>
                            <a:picLocks noChangeAspect="1"/>
                          </pic:cNvPicPr>
                        </pic:nvPicPr>
                        <pic:blipFill>
                          <a:blip r:embed="rId75"/>
                          <a:stretch>
                            <a:fillRect/>
                          </a:stretch>
                        </pic:blipFill>
                        <pic:spPr>
                          <a:xfrm>
                            <a:off x="0" y="0"/>
                            <a:ext cx="3420110" cy="1423670"/>
                          </a:xfrm>
                          <a:prstGeom prst="rect">
                            <a:avLst/>
                          </a:prstGeom>
                          <a:noFill/>
                          <a:ln>
                            <a:noFill/>
                          </a:ln>
                        </pic:spPr>
                      </pic:pic>
                    </a:graphicData>
                  </a:graphic>
                </wp:inline>
              </w:drawing>
            </w:r>
          </w:p>
        </w:tc>
      </w:tr>
      <w:tr w14:paraId="1B358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29DA139">
            <w:pPr>
              <w:jc w:val="center"/>
              <w:rPr>
                <w:rFonts w:hint="eastAsia" w:hAnsi="宋体" w:cs="宋体"/>
                <w:highlight w:val="none"/>
                <w:vertAlign w:val="baseline"/>
              </w:rPr>
            </w:pPr>
            <w:r>
              <w:rPr>
                <w:rFonts w:hint="eastAsia" w:hAnsi="宋体" w:cs="宋体"/>
                <w:highlight w:val="none"/>
                <w:vertAlign w:val="baseline"/>
              </w:rPr>
              <w:t>2015年9月建成的珠玑古巷景客服中心</w:t>
            </w:r>
          </w:p>
        </w:tc>
      </w:tr>
    </w:tbl>
    <w:p w14:paraId="73C7B6AE">
      <w:pPr>
        <w:pStyle w:val="4"/>
        <w:bidi w:val="0"/>
        <w:rPr>
          <w:rFonts w:hint="eastAsia"/>
          <w:highlight w:val="none"/>
        </w:rPr>
      </w:pPr>
      <w:r>
        <w:rPr>
          <w:rFonts w:hint="eastAsia"/>
          <w:highlight w:val="none"/>
        </w:rPr>
        <w:t>【扩园区域基础设施建设】</w:t>
      </w:r>
    </w:p>
    <w:p w14:paraId="3C9E4290">
      <w:pPr>
        <w:rPr>
          <w:rFonts w:hint="eastAsia" w:hAnsi="宋体" w:cs="宋体"/>
          <w:highlight w:val="none"/>
        </w:rPr>
      </w:pPr>
      <w:r>
        <w:rPr>
          <w:rFonts w:hint="eastAsia" w:hAnsi="宋体" w:cs="宋体"/>
          <w:highlight w:val="none"/>
        </w:rPr>
        <w:t>土地平整约4000亩、开挖土石方量700多万方；基础设施建设进一步完善，跨高速公路桥等基础设施主体部分全部完工，日处理量2500吨的污水处理厂已完成主体工程70%，下一步将进行设备安装工作；2</w:t>
      </w:r>
      <w:r>
        <w:rPr>
          <w:rFonts w:hint="eastAsia" w:ascii="MingLiU_HKSCS" w:hAnsi="MingLiU_HKSCS" w:eastAsia="MingLiU_HKSCS" w:cs="MingLiU_HKSCS"/>
          <w:highlight w:val="none"/>
        </w:rPr>
        <w:t>.</w:t>
      </w:r>
      <w:r>
        <w:rPr>
          <w:rFonts w:hint="eastAsia" w:hAnsi="宋体" w:cs="宋体"/>
          <w:highlight w:val="none"/>
        </w:rPr>
        <w:t>5公里路网工程已完成路基工程，1号路正在进行混凝土路面的铺设工作；入园大道引线工程跨线桥接驳段完成入园大道引线工程跨线桥接驳路段立项和预算评审的前期工作，下一步即可启动招投标工作。各项基础设施工程建进度设能够随时满足新进企业的落户和建设要求。</w:t>
      </w:r>
    </w:p>
    <w:p w14:paraId="42F99049">
      <w:pPr>
        <w:pStyle w:val="4"/>
        <w:bidi w:val="0"/>
        <w:rPr>
          <w:rFonts w:hint="eastAsia"/>
          <w:highlight w:val="none"/>
        </w:rPr>
      </w:pPr>
      <w:r>
        <w:rPr>
          <w:rFonts w:hint="eastAsia"/>
          <w:highlight w:val="none"/>
        </w:rPr>
        <w:t>【招商引资】</w:t>
      </w:r>
    </w:p>
    <w:p w14:paraId="51F8941A">
      <w:pPr>
        <w:rPr>
          <w:rFonts w:hint="eastAsia" w:hAnsi="宋体" w:cs="宋体"/>
          <w:highlight w:val="none"/>
        </w:rPr>
      </w:pPr>
      <w:r>
        <w:rPr>
          <w:rFonts w:hint="eastAsia" w:hAnsi="宋体" w:cs="宋体"/>
          <w:highlight w:val="none"/>
        </w:rPr>
        <w:t>举行华电南雄热电联产工程奠基暨南雄市重点项目签约动工投产仪式，成功签约华电南雄热电联产工程等29个重点项目总投资达145亿元，对推动南雄加快融入珠三角、实现发展新跨越具有里程碑式的意义。（叶红大）</w:t>
      </w:r>
    </w:p>
    <w:p w14:paraId="1D200A46">
      <w:pPr>
        <w:rPr>
          <w:rFonts w:hint="eastAsia" w:hAnsi="宋体" w:eastAsia="宋体" w:cs="宋体"/>
          <w:highlight w:val="none"/>
          <w:lang w:eastAsia="zh-CN"/>
        </w:rPr>
      </w:pPr>
      <w:r>
        <w:rPr>
          <w:rFonts w:hint="eastAsia" w:hAnsi="宋体" w:cs="宋体"/>
          <w:highlight w:val="none"/>
        </w:rPr>
        <w:t>附：2015年市工业园区领导班子成员名单</w:t>
      </w:r>
    </w:p>
    <w:p w14:paraId="1F239C53">
      <w:pPr>
        <w:rPr>
          <w:rFonts w:hint="eastAsia" w:hAnsi="宋体" w:eastAsia="宋体" w:cs="宋体"/>
          <w:highlight w:val="none"/>
          <w:lang w:eastAsia="zh-CN"/>
        </w:rPr>
      </w:pPr>
      <w:r>
        <w:rPr>
          <w:rFonts w:hint="eastAsia" w:hAnsi="宋体" w:cs="宋体"/>
          <w:highlight w:val="none"/>
        </w:rPr>
        <w:t>党工委书记：沈步亮</w:t>
      </w:r>
    </w:p>
    <w:p w14:paraId="2559BCA1">
      <w:pPr>
        <w:rPr>
          <w:rFonts w:hint="eastAsia" w:hAnsi="宋体" w:eastAsia="宋体" w:cs="宋体"/>
          <w:highlight w:val="none"/>
          <w:lang w:eastAsia="zh-CN"/>
        </w:rPr>
      </w:pPr>
      <w:r>
        <w:rPr>
          <w:rFonts w:hint="eastAsia" w:hAnsi="宋体" w:cs="宋体"/>
          <w:highlight w:val="none"/>
        </w:rPr>
        <w:t>主任：何天山（任至5月）</w:t>
      </w:r>
    </w:p>
    <w:p w14:paraId="61ECFED5">
      <w:pPr>
        <w:rPr>
          <w:rFonts w:hint="eastAsia" w:hAnsi="宋体" w:eastAsia="宋体" w:cs="宋体"/>
          <w:highlight w:val="none"/>
          <w:lang w:eastAsia="zh-CN"/>
        </w:rPr>
      </w:pPr>
      <w:r>
        <w:rPr>
          <w:rFonts w:hint="eastAsia" w:hAnsi="宋体" w:cs="宋体"/>
          <w:highlight w:val="none"/>
        </w:rPr>
        <w:t>纪工委书记：胡军华（4月任）</w:t>
      </w:r>
    </w:p>
    <w:p w14:paraId="00CE53CF">
      <w:pPr>
        <w:rPr>
          <w:rFonts w:hint="eastAsia" w:hAnsi="宋体" w:cs="宋体"/>
          <w:highlight w:val="none"/>
        </w:rPr>
      </w:pPr>
      <w:r>
        <w:rPr>
          <w:rFonts w:hint="eastAsia" w:hAnsi="宋体" w:cs="宋体"/>
          <w:highlight w:val="none"/>
        </w:rPr>
        <w:t>副主任：李阶贵 叶永跃</w:t>
      </w:r>
    </w:p>
    <w:p w14:paraId="208DAD54">
      <w:pPr>
        <w:pStyle w:val="3"/>
        <w:bidi w:val="0"/>
        <w:rPr>
          <w:rFonts w:hint="eastAsia" w:eastAsia="宋体"/>
          <w:highlight w:val="none"/>
          <w:lang w:eastAsia="zh-CN"/>
        </w:rPr>
      </w:pPr>
      <w:r>
        <w:rPr>
          <w:rFonts w:hint="eastAsia"/>
          <w:highlight w:val="none"/>
        </w:rPr>
        <w:t>企业选介</w:t>
      </w:r>
    </w:p>
    <w:p w14:paraId="3B83D6B0">
      <w:pPr>
        <w:pStyle w:val="4"/>
        <w:bidi w:val="0"/>
        <w:rPr>
          <w:rFonts w:hint="eastAsia"/>
          <w:highlight w:val="none"/>
        </w:rPr>
      </w:pPr>
      <w:r>
        <w:rPr>
          <w:rFonts w:hint="eastAsia"/>
          <w:highlight w:val="none"/>
        </w:rPr>
        <w:t>【城市建设投资有限责任公司】</w:t>
      </w:r>
    </w:p>
    <w:p w14:paraId="1DFB1F40">
      <w:pPr>
        <w:rPr>
          <w:rFonts w:hint="eastAsia" w:hAnsi="宋体" w:cs="宋体"/>
          <w:highlight w:val="none"/>
        </w:rPr>
      </w:pPr>
      <w:r>
        <w:rPr>
          <w:rFonts w:hint="eastAsia" w:hAnsi="宋体" w:cs="宋体"/>
          <w:highlight w:val="none"/>
        </w:rPr>
        <w:t>南雄市城市建设投资有限责任公司（简称“城投公司”）是经南雄市人民政府批准成立的国有独资公司，组建于2010年6月。公司注册资本金5000万元，主要经营范围：城市基础设施建设与投资、土地收购储备和开发经营；房地产开发经营。2015年底，资产总额59783万元，净资产11541万元。公司成立董事会，实行总经理负责制，内部设立人力资源部、计财融资部、资产管理部、项目规划部、工程技术部一部、工程技术部二部、房地产部等7个部门；分别于2013年11月和2015年4月注册登记了南雄市长和物业服务有限公司和南雄市城北建设投资有限责任公司（简称“城北公司”）2个子公司。2015年城投公司有在册员工30人（含挂职锻炼人员4名）。团支部荣获2014—2015年度“韶关市五四红旗团支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8CC0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F2F2986">
            <w:pPr>
              <w:ind w:left="0" w:leftChars="0" w:firstLine="0" w:firstLineChars="0"/>
              <w:jc w:val="center"/>
              <w:rPr>
                <w:rFonts w:hAnsi="宋体" w:cs="宋体"/>
                <w:highlight w:val="none"/>
                <w:vertAlign w:val="baseline"/>
              </w:rPr>
            </w:pPr>
            <w:r>
              <w:rPr>
                <w:rFonts w:hAnsi="宋体" w:cs="宋体"/>
                <w:highlight w:val="none"/>
              </w:rPr>
              <w:drawing>
                <wp:inline distT="0" distB="0" distL="114300" distR="114300">
                  <wp:extent cx="3420110" cy="2231390"/>
                  <wp:effectExtent l="0" t="0" r="8890" b="16510"/>
                  <wp:docPr id="71" name="图片 225" descr="北城大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5" descr="北城大道"/>
                          <pic:cNvPicPr>
                            <a:picLocks noChangeAspect="1"/>
                          </pic:cNvPicPr>
                        </pic:nvPicPr>
                        <pic:blipFill>
                          <a:blip r:embed="rId76"/>
                          <a:stretch>
                            <a:fillRect/>
                          </a:stretch>
                        </pic:blipFill>
                        <pic:spPr>
                          <a:xfrm>
                            <a:off x="0" y="0"/>
                            <a:ext cx="3420110" cy="2231390"/>
                          </a:xfrm>
                          <a:prstGeom prst="rect">
                            <a:avLst/>
                          </a:prstGeom>
                          <a:noFill/>
                          <a:ln>
                            <a:noFill/>
                          </a:ln>
                        </pic:spPr>
                      </pic:pic>
                    </a:graphicData>
                  </a:graphic>
                </wp:inline>
              </w:drawing>
            </w:r>
          </w:p>
        </w:tc>
      </w:tr>
      <w:tr w14:paraId="06039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A3EF527">
            <w:pPr>
              <w:bidi w:val="0"/>
              <w:jc w:val="center"/>
              <w:rPr>
                <w:highlight w:val="none"/>
              </w:rPr>
            </w:pPr>
            <w:r>
              <w:rPr>
                <w:rFonts w:hint="eastAsia"/>
                <w:highlight w:val="none"/>
              </w:rPr>
              <w:t>珠玑大道市政工程项目（即北城大道）于2015年12月8日开工建设</w:t>
            </w:r>
          </w:p>
        </w:tc>
      </w:tr>
    </w:tbl>
    <w:p w14:paraId="16278C6E">
      <w:pPr>
        <w:rPr>
          <w:rFonts w:hint="eastAsia" w:hAnsi="宋体" w:cs="宋体"/>
          <w:highlight w:val="none"/>
        </w:rPr>
      </w:pPr>
      <w:r>
        <w:rPr>
          <w:rFonts w:hint="eastAsia" w:hAnsi="宋体" w:cs="宋体"/>
          <w:b/>
          <w:bCs/>
          <w:highlight w:val="none"/>
        </w:rPr>
        <w:t>规范建设项目管理</w:t>
      </w:r>
      <w:r>
        <w:rPr>
          <w:rFonts w:hint="eastAsia" w:cs="宋体"/>
          <w:highlight w:val="none"/>
          <w:lang w:val="en-US" w:eastAsia="zh-CN"/>
        </w:rPr>
        <w:t xml:space="preserve">  </w:t>
      </w:r>
      <w:r>
        <w:rPr>
          <w:rFonts w:hint="eastAsia" w:hAnsi="宋体" w:cs="宋体"/>
          <w:highlight w:val="none"/>
        </w:rPr>
        <w:t>落实现场管理人员工作职责和现场管理工作重心，以及工程质量应达到要求；加强现场检查及监管，监督施工要求落实到位；执行工程项目现场管理办法，提高工程质量。现场安全生产。按文明施工要求督促施工单位进行现场布置和规划；加强现场安全生产管理，开展“安全生产月”活动，落实现场检查、监管、安全措施。优化内部审批流程。规范内部审批流程，重点优化和调整工程建设项目管理过程中的招投标管理、报监、报建、安全生产、质量管理、现场施工、竣工验收结算等内容，明确职责权限，提升项目管理效能。规范项目合同签订。加强完善合同管理，维护企业合法权益，制定工程项目合同签订流程，项目合同由合同承办人牵头，工程技术部和项目规划部进行部门会签，并交由分管工程副总经理审批后执行。2015年年承担续建和新建工程项目20个左右，建成教育南路道路改造工程、城市危旧改造回迁安置综合楼（雄州景苑）、南雄一小新建运动场工程、满湖塘路段人行天桥工程、珠玑古巷景区旅游基础设施建设工程、断龙岗大楼改造工程等9个工程项目，2015年完成投资额逾7000万元。</w:t>
      </w:r>
    </w:p>
    <w:p w14:paraId="06B53599">
      <w:pPr>
        <w:rPr>
          <w:rFonts w:hint="eastAsia" w:hAnsi="宋体" w:cs="宋体"/>
          <w:highlight w:val="none"/>
        </w:rPr>
      </w:pPr>
      <w:r>
        <w:rPr>
          <w:rFonts w:hint="eastAsia" w:hAnsi="宋体" w:cs="宋体"/>
          <w:highlight w:val="none"/>
        </w:rPr>
        <w:t>首个市政道路PPP项目开工，12月8日，由城投公司承建南雄市首个市政道路PPP项目—珠玑大道市政工程项目（即北城大道）正式开工建设。项目建设道路从宾阳门路口至新国道G323线火车站路口，全长1262</w:t>
      </w:r>
      <w:r>
        <w:rPr>
          <w:rFonts w:hint="eastAsia" w:ascii="MingLiU_HKSCS" w:hAnsi="MingLiU_HKSCS" w:eastAsia="MingLiU_HKSCS" w:cs="MingLiU_HKSCS"/>
          <w:highlight w:val="none"/>
        </w:rPr>
        <w:t>.</w:t>
      </w:r>
      <w:r>
        <w:rPr>
          <w:rFonts w:hint="eastAsia" w:hAnsi="宋体" w:cs="宋体"/>
          <w:highlight w:val="none"/>
        </w:rPr>
        <w:t>9米，宽50米，采用一级公路兼城市主干道标准，设计速度80公里/小时。项目估算总投资7879万元，建设包括道路以及排水工程、交通工程及其他配套工程。同时，还将加速北城区开发进展，加快推进南雄城市化进程。</w:t>
      </w:r>
    </w:p>
    <w:p w14:paraId="68C6B524">
      <w:pPr>
        <w:rPr>
          <w:rFonts w:hint="eastAsia" w:hAnsi="宋体" w:cs="宋体"/>
          <w:highlight w:val="none"/>
        </w:rPr>
      </w:pPr>
      <w:r>
        <w:rPr>
          <w:rFonts w:hint="eastAsia" w:hAnsi="宋体" w:cs="宋体"/>
          <w:b/>
          <w:bCs/>
          <w:highlight w:val="none"/>
        </w:rPr>
        <w:t>资金筹措成效明显</w:t>
      </w:r>
      <w:r>
        <w:rPr>
          <w:rFonts w:hint="eastAsia" w:cs="宋体"/>
          <w:highlight w:val="none"/>
          <w:lang w:val="en-US" w:eastAsia="zh-CN"/>
        </w:rPr>
        <w:t xml:space="preserve">  </w:t>
      </w:r>
      <w:r>
        <w:rPr>
          <w:rFonts w:hint="eastAsia" w:hAnsi="宋体" w:cs="宋体"/>
          <w:highlight w:val="none"/>
        </w:rPr>
        <w:t>2015年城投公司通过银行贷款、PPP模式（珠玑大道市政工程项目）、BT模式（珠玑镇梅岭村委会新路口新村工程）、下属企业（4月成立南雄市城北建设投资有限公司）等做好融资工作；分别以帽子峰林场危旧房改造安置项目向农发行融资1亿元（还款期限9年）、北城区危旧房回迁改造项目的名义融资2</w:t>
      </w:r>
      <w:r>
        <w:rPr>
          <w:rFonts w:hint="eastAsia" w:ascii="MingLiU_HKSCS" w:hAnsi="MingLiU_HKSCS" w:eastAsia="MingLiU_HKSCS" w:cs="MingLiU_HKSCS"/>
          <w:highlight w:val="none"/>
        </w:rPr>
        <w:t>.</w:t>
      </w:r>
      <w:r>
        <w:rPr>
          <w:rFonts w:hint="eastAsia" w:hAnsi="宋体" w:cs="宋体"/>
          <w:highlight w:val="none"/>
        </w:rPr>
        <w:t>2亿元（还款期限12年），2015年完成帽子峰林场危旧房改造安置项目1亿元融资协议的签订，并于10月收到银行发放首笔款项400万元，为项目建设提供充足资金来源，也确保2016年建设项目资金需求。</w:t>
      </w:r>
    </w:p>
    <w:p w14:paraId="09C6A97B">
      <w:pPr>
        <w:rPr>
          <w:rFonts w:hint="eastAsia" w:hAnsi="宋体" w:eastAsia="宋体" w:cs="宋体"/>
          <w:highlight w:val="none"/>
          <w:lang w:eastAsia="zh-CN"/>
        </w:rPr>
      </w:pPr>
      <w:r>
        <w:rPr>
          <w:rFonts w:hint="eastAsia" w:hAnsi="宋体" w:cs="宋体"/>
          <w:b/>
          <w:bCs/>
          <w:highlight w:val="none"/>
        </w:rPr>
        <w:t>成立城北公司根据</w:t>
      </w:r>
      <w:r>
        <w:rPr>
          <w:rFonts w:hint="eastAsia" w:cs="宋体"/>
          <w:highlight w:val="none"/>
          <w:lang w:val="en-US" w:eastAsia="zh-CN"/>
        </w:rPr>
        <w:t xml:space="preserve">  </w:t>
      </w:r>
      <w:r>
        <w:rPr>
          <w:rFonts w:hint="eastAsia" w:hAnsi="宋体" w:cs="宋体"/>
          <w:highlight w:val="none"/>
        </w:rPr>
        <w:t>2015年4月9日市府常务会议纪要会议精神，结合实现“一园、一区、一副中心”重大城市发展战略，城投公司注资3000万元成立城北公司，后增资2367万元，注册资本金变更为5367万元，经营范围为：城市基础设施建设、投资，土地收购储备和开发经营，房地产开发经营，经营政府授权的其他资产和资源，政府授权项目建设和投资。</w:t>
      </w:r>
    </w:p>
    <w:p w14:paraId="66E6A18B">
      <w:pPr>
        <w:ind w:firstLine="420"/>
        <w:rPr>
          <w:rFonts w:hint="eastAsia" w:hAnsi="宋体" w:eastAsia="宋体" w:cs="宋体"/>
          <w:highlight w:val="none"/>
          <w:lang w:eastAsia="zh-CN"/>
        </w:rPr>
      </w:pPr>
      <w:r>
        <w:rPr>
          <w:rFonts w:hint="eastAsia" w:hAnsi="宋体" w:cs="宋体"/>
          <w:highlight w:val="none"/>
        </w:rPr>
        <w:t>（党艺宸）</w:t>
      </w:r>
    </w:p>
    <w:p w14:paraId="3FA8C4AD">
      <w:pPr>
        <w:rPr>
          <w:rFonts w:hint="eastAsia" w:hAnsi="宋体" w:eastAsia="宋体" w:cs="宋体"/>
          <w:highlight w:val="none"/>
          <w:lang w:eastAsia="zh-CN"/>
        </w:rPr>
      </w:pPr>
      <w:r>
        <w:rPr>
          <w:rFonts w:hint="eastAsia" w:hAnsi="宋体" w:cs="宋体"/>
          <w:highlight w:val="none"/>
        </w:rPr>
        <w:t>附：2015年市城投公司领导班子成员名单</w:t>
      </w:r>
    </w:p>
    <w:p w14:paraId="53AC4380">
      <w:pPr>
        <w:rPr>
          <w:rFonts w:hint="eastAsia" w:hAnsi="宋体" w:eastAsia="宋体" w:cs="宋体"/>
          <w:highlight w:val="none"/>
          <w:lang w:eastAsia="zh-CN"/>
        </w:rPr>
      </w:pPr>
      <w:r>
        <w:rPr>
          <w:rFonts w:hint="eastAsia" w:hAnsi="宋体" w:cs="宋体"/>
          <w:highlight w:val="none"/>
        </w:rPr>
        <w:t>总经理：沈迪彧</w:t>
      </w:r>
    </w:p>
    <w:p w14:paraId="1F9DB6F6">
      <w:pPr>
        <w:rPr>
          <w:rFonts w:hint="eastAsia" w:hAnsi="宋体" w:eastAsia="宋体" w:cs="宋体"/>
          <w:highlight w:val="none"/>
          <w:lang w:eastAsia="zh-CN"/>
        </w:rPr>
      </w:pPr>
      <w:r>
        <w:rPr>
          <w:rFonts w:hint="eastAsia" w:hAnsi="宋体" w:cs="宋体"/>
          <w:highlight w:val="none"/>
        </w:rPr>
        <w:t>副总经理：梁乃煌</w:t>
      </w:r>
    </w:p>
    <w:p w14:paraId="6F86994F">
      <w:pPr>
        <w:rPr>
          <w:rFonts w:hint="eastAsia" w:hAnsi="宋体" w:eastAsia="宋体" w:cs="宋体"/>
          <w:highlight w:val="none"/>
          <w:lang w:eastAsia="zh-CN"/>
        </w:rPr>
      </w:pPr>
      <w:r>
        <w:rPr>
          <w:rFonts w:hint="eastAsia" w:hAnsi="宋体" w:cs="宋体"/>
          <w:highlight w:val="none"/>
        </w:rPr>
        <w:t>总经理助理：陈春红（7月任）</w:t>
      </w:r>
    </w:p>
    <w:p w14:paraId="24B05E3D">
      <w:pPr>
        <w:pStyle w:val="4"/>
        <w:bidi w:val="0"/>
        <w:rPr>
          <w:rFonts w:hint="eastAsia"/>
          <w:highlight w:val="none"/>
        </w:rPr>
      </w:pPr>
      <w:r>
        <w:rPr>
          <w:rFonts w:hint="eastAsia"/>
          <w:highlight w:val="none"/>
        </w:rPr>
        <w:t>【韶能集团韶关南雄珠玑纸业有限公司】</w:t>
      </w:r>
    </w:p>
    <w:p w14:paraId="56BF40A1">
      <w:pPr>
        <w:rPr>
          <w:rFonts w:hint="eastAsia" w:hAnsi="宋体" w:cs="宋体"/>
          <w:highlight w:val="none"/>
        </w:rPr>
      </w:pPr>
      <w:r>
        <w:rPr>
          <w:rFonts w:hint="eastAsia" w:hAnsi="宋体" w:cs="宋体"/>
          <w:highlight w:val="none"/>
        </w:rPr>
        <w:t>韶能集团韶关南雄珠玑纸业有限公司由南雄造纸总厂组（筹建于1988年），2005年7月由广东韶能集团股份有限公司收购管理重组，于2010年3月成为集团子公司，是国有控股法人单位，现有员工530人。公司利用粤北山区丰富的竹类资源为纤维原料，2010年通过技术改造实现传统产业升级转型，拥有年生产漂白硫酸盐竹浆6</w:t>
      </w:r>
      <w:r>
        <w:rPr>
          <w:rFonts w:hint="eastAsia" w:ascii="MingLiU_HKSCS" w:hAnsi="MingLiU_HKSCS" w:eastAsia="MingLiU_HKSCS" w:cs="MingLiU_HKSCS"/>
          <w:highlight w:val="none"/>
        </w:rPr>
        <w:t>.</w:t>
      </w:r>
      <w:r>
        <w:rPr>
          <w:rFonts w:hint="eastAsia" w:hAnsi="宋体" w:cs="宋体"/>
          <w:highlight w:val="none"/>
        </w:rPr>
        <w:t>5万吨，印刷书写纸3</w:t>
      </w:r>
      <w:r>
        <w:rPr>
          <w:rFonts w:hint="eastAsia" w:ascii="MingLiU_HKSCS" w:hAnsi="MingLiU_HKSCS" w:eastAsia="MingLiU_HKSCS" w:cs="MingLiU_HKSCS"/>
          <w:highlight w:val="none"/>
        </w:rPr>
        <w:t>.</w:t>
      </w:r>
      <w:r>
        <w:rPr>
          <w:rFonts w:hint="eastAsia" w:hAnsi="宋体" w:cs="宋体"/>
          <w:highlight w:val="none"/>
        </w:rPr>
        <w:t>5万吨，漂白硫酸盐竹浆板5万吨的生产能力。从2011年开始大力创建丛生竹原料基地，至2014年底已发展种植27000多亩，企业走出一条“公司＋农户＋基地”的新模式，主要产品为“珠玑牌”优质印刷书写纸和漂白硫酸盐竹浆板，产品销往广东、江西、福建、浙江、上海、天津、云南等地区，是南雄市工业经济的骨干企业之一，是韶关市农业龙头企业，亦是广东省农业龙头企业、广东省林业龙头企业、广东省清洁生产企业，广东省环保信用评价（蓝牌）。</w:t>
      </w:r>
    </w:p>
    <w:p w14:paraId="07B31C06">
      <w:pPr>
        <w:rPr>
          <w:rFonts w:hint="eastAsia" w:hAnsi="宋体" w:cs="宋体"/>
          <w:highlight w:val="none"/>
        </w:rPr>
      </w:pPr>
      <w:r>
        <w:rPr>
          <w:rFonts w:hint="eastAsia" w:hAnsi="宋体" w:cs="宋体"/>
          <w:highlight w:val="none"/>
        </w:rPr>
        <w:t>主要产品：利用自制漂白硫酸盐竹浆生产印刷书写纸和漂白硫酸盐竹浆板，同时，相继开发了系列牛皮纸。产品规格：印刷书写纸有正度、大度平板纸和卷筒纸，本色包装箱用纸、染色原纸、复合原纸、胶粘原纸，再生牛皮纸、电子牛卡纸及本色生活用纸等系列产品。</w:t>
      </w:r>
    </w:p>
    <w:p w14:paraId="397B4CC5">
      <w:pPr>
        <w:rPr>
          <w:rFonts w:hint="eastAsia" w:hAnsi="宋体" w:cs="宋体"/>
          <w:highlight w:val="none"/>
        </w:rPr>
      </w:pPr>
      <w:r>
        <w:rPr>
          <w:rFonts w:hint="eastAsia" w:hAnsi="宋体" w:cs="宋体"/>
          <w:highlight w:val="none"/>
        </w:rPr>
        <w:t>企业效益：2015年生产印刷书写纸13168吨，漂白硫酸盐竹浆板16831吨，销售印刷书写纸10193</w:t>
      </w:r>
      <w:r>
        <w:rPr>
          <w:rFonts w:hint="eastAsia" w:ascii="MingLiU_HKSCS" w:hAnsi="MingLiU_HKSCS" w:eastAsia="MingLiU_HKSCS" w:cs="MingLiU_HKSCS"/>
          <w:highlight w:val="none"/>
        </w:rPr>
        <w:t>.</w:t>
      </w:r>
      <w:r>
        <w:rPr>
          <w:rFonts w:hint="eastAsia" w:hAnsi="宋体" w:cs="宋体"/>
          <w:highlight w:val="none"/>
        </w:rPr>
        <w:t>51吨，漂白硫酸盐竹浆板7257</w:t>
      </w:r>
      <w:r>
        <w:rPr>
          <w:rFonts w:hint="eastAsia" w:ascii="MingLiU_HKSCS" w:hAnsi="MingLiU_HKSCS" w:eastAsia="MingLiU_HKSCS" w:cs="MingLiU_HKSCS"/>
          <w:highlight w:val="none"/>
        </w:rPr>
        <w:t>.</w:t>
      </w:r>
      <w:r>
        <w:rPr>
          <w:rFonts w:hint="eastAsia" w:hAnsi="宋体" w:cs="宋体"/>
          <w:highlight w:val="none"/>
        </w:rPr>
        <w:t>55吨，实现销售收入12750万元，工业总产值8208万元，完成节能量1057</w:t>
      </w:r>
      <w:r>
        <w:rPr>
          <w:rFonts w:hint="eastAsia" w:ascii="MingLiU_HKSCS" w:hAnsi="MingLiU_HKSCS" w:eastAsia="MingLiU_HKSCS" w:cs="MingLiU_HKSCS"/>
          <w:highlight w:val="none"/>
        </w:rPr>
        <w:t>.</w:t>
      </w:r>
      <w:r>
        <w:rPr>
          <w:rFonts w:hint="eastAsia" w:hAnsi="宋体" w:cs="宋体"/>
          <w:highlight w:val="none"/>
        </w:rPr>
        <w:t>9吨标准煤，完成政府节能目标。</w:t>
      </w:r>
    </w:p>
    <w:p w14:paraId="5A4EDF9E">
      <w:pPr>
        <w:rPr>
          <w:rFonts w:hint="eastAsia" w:hAnsi="宋体" w:cs="宋体"/>
          <w:highlight w:val="none"/>
        </w:rPr>
      </w:pPr>
      <w:r>
        <w:rPr>
          <w:rFonts w:hint="eastAsia" w:hAnsi="宋体" w:cs="宋体"/>
          <w:highlight w:val="none"/>
        </w:rPr>
        <w:t>企业管理：健全完善各项管理机制，健全完善各项内控管理机制，从生产、采购、技改、销售、投标、财务等流程进行全面过程优化、科学高效、风险可控的规范管理，达到提高工作效率、减少浪费、降低成本、控制风险、提升经营效益的目的，确保公司生产经营动作制度化、规范化、稳定持续发展。公司重大项目、投资及人事变动实行公平、公正、公开的原则，实行厂务公开。同时，对安全生产高度重视，积极落实节能减排，落实安全、环保工作责任制，及时预防和排查安全隐患，杜绝重大事故的发生。2015年6月，公司投资15万元兴建与完善碱回收苛化工段的工艺废臭气收集装置，将有可能产生异味对环境造成影响的工艺废气收集处理，减少其对环境的影响。7月，公司投资5万元在制浆工艺废臭气处理设施前增加了两套汽水分离器，将工艺废臭气中蒸汽水分离出来，减轻工艺废臭气处理设施的处理负荷，提高处理效果，根据测定，1天能分离2</w:t>
      </w:r>
      <w:r>
        <w:rPr>
          <w:rFonts w:hint="eastAsia" w:ascii="MingLiU_HKSCS" w:hAnsi="MingLiU_HKSCS" w:eastAsia="MingLiU_HKSCS" w:cs="MingLiU_HKSCS"/>
          <w:highlight w:val="none"/>
        </w:rPr>
        <w:t>.</w:t>
      </w:r>
      <w:r>
        <w:rPr>
          <w:rFonts w:hint="eastAsia" w:hAnsi="宋体" w:cs="宋体"/>
          <w:highlight w:val="none"/>
        </w:rPr>
        <w:t>4吨蒸汽水出来。7月，公司投资15万元与澳门绿源环保科技有限公司合作探索新的治臭方法，已完成实验室研究，进入生产中试阶段，公司将视中试效果开展下一步合作。8月，公司出资13</w:t>
      </w:r>
      <w:r>
        <w:rPr>
          <w:rFonts w:hint="eastAsia" w:ascii="MingLiU_HKSCS" w:hAnsi="MingLiU_HKSCS" w:eastAsia="MingLiU_HKSCS" w:cs="MingLiU_HKSCS"/>
          <w:highlight w:val="none"/>
        </w:rPr>
        <w:t>.</w:t>
      </w:r>
      <w:r>
        <w:rPr>
          <w:rFonts w:hint="eastAsia" w:hAnsi="宋体" w:cs="宋体"/>
          <w:highlight w:val="none"/>
        </w:rPr>
        <w:t>5万元委托通标标准技术服务公司广州分公司按照恶臭气体监测规范（GB14553－1993及环发〔2000〕38号），对公司废臭气对环境的影响进行监测，从定性分析上升到定量分析，对照规范进一步查明污染因子。从监测结果看，公司正常生产时，全天各时段均实现达标排放，对周围环境（厂界）空气的影响在国家允许的范围内，加大资金投入对环保治理，废水、废气排放达到国家规定的标准。至此，公司在工艺废臭气治理方面累计投入逾600万元，装机达到390千瓦，月运行费用近30万元。同时，投资50万元对瑶台料场道路建设及白泥场的围坝进行加固提高，各项指标符合国家和省环保标准。</w:t>
      </w:r>
    </w:p>
    <w:p w14:paraId="5BA6673D">
      <w:pPr>
        <w:rPr>
          <w:rFonts w:hint="eastAsia" w:hAnsi="宋体" w:cs="宋体"/>
          <w:highlight w:val="none"/>
        </w:rPr>
      </w:pPr>
      <w:r>
        <w:rPr>
          <w:rFonts w:hint="eastAsia" w:hAnsi="宋体" w:cs="宋体"/>
          <w:highlight w:val="none"/>
        </w:rPr>
        <w:t>技术创新：依靠科技进步，促进企业转型升级发展，淘汰了陈旧落后的耗能工艺与设备，制浆漂白的新技术、新设备、新工艺均达到国内同行业中的先进水平。在集团公司的支持下，对1880毫米纸机和2362毫米纸机改造流送系统及流浆箱、压光机，稳定工艺技术，产品质量稳中有升，生产消耗稳中有降。</w:t>
      </w:r>
    </w:p>
    <w:p w14:paraId="101F6769">
      <w:pPr>
        <w:rPr>
          <w:rFonts w:hint="eastAsia" w:hAnsi="宋体" w:cs="宋体"/>
          <w:highlight w:val="none"/>
        </w:rPr>
      </w:pPr>
      <w:r>
        <w:rPr>
          <w:rFonts w:hint="eastAsia" w:hAnsi="宋体" w:cs="宋体"/>
          <w:highlight w:val="none"/>
        </w:rPr>
        <w:t>“韶能本色”生活用纸项目开工建设，2015投资1</w:t>
      </w:r>
      <w:r>
        <w:rPr>
          <w:rFonts w:hint="eastAsia" w:ascii="MingLiU_HKSCS" w:hAnsi="MingLiU_HKSCS" w:eastAsia="MingLiU_HKSCS" w:cs="MingLiU_HKSCS"/>
          <w:highlight w:val="none"/>
        </w:rPr>
        <w:t>.</w:t>
      </w:r>
      <w:r>
        <w:rPr>
          <w:rFonts w:hint="eastAsia" w:hAnsi="宋体" w:cs="宋体"/>
          <w:highlight w:val="none"/>
        </w:rPr>
        <w:t>1亿元建设第一期年产3万吨本色生活用纸的生产线以及配套的后加工生产线。该项目年产15万吨本色生活用纸项目，总投资额为19580万元，项目拟分三期建设，预计2018年全部完成。项目全部完成投产后，公司年营业收入达到337950万元，新增利润总额26649万元，增加税收25305万元，其中营业附加税5535万元，增值税19770万元；将新增就业人员400余人，需要增加收购竹原料40万吨，新增收购竹原料资金18000万元，实现珠玑纸业历史性飞跃发展。</w:t>
      </w:r>
    </w:p>
    <w:p w14:paraId="5D4636C3">
      <w:pPr>
        <w:rPr>
          <w:rFonts w:hint="eastAsia" w:hAnsi="宋体" w:cs="宋体"/>
          <w:highlight w:val="none"/>
        </w:rPr>
      </w:pPr>
      <w:r>
        <w:rPr>
          <w:rFonts w:hint="eastAsia" w:hAnsi="宋体" w:cs="宋体"/>
          <w:highlight w:val="none"/>
        </w:rPr>
        <w:t>通过技术改进，走“高新精优特”的产品结构，适时开发系列牛皮纸、本色浆系列包装原纸和生活用纸产品，实现产品多元化，提升市场竞争能力和增强企业抗风险能力。</w:t>
      </w:r>
    </w:p>
    <w:p w14:paraId="2C700B29">
      <w:pPr>
        <w:rPr>
          <w:rFonts w:hint="eastAsia" w:hAnsi="宋体" w:cs="宋体"/>
          <w:highlight w:val="none"/>
        </w:rPr>
      </w:pPr>
      <w:r>
        <w:rPr>
          <w:rFonts w:hint="eastAsia" w:hAnsi="宋体" w:cs="宋体"/>
          <w:highlight w:val="none"/>
        </w:rPr>
        <w:t>企业文化：公司始终坚持“诚信经营、质量第一、客户至上”的经济宗旨，践行“以人为本、以人为善”的理念，围绕“一切以企业利益为核心”的要求，群策群力，开拓创新，勇于拼搏，推动企业持续稳定健康发展。关爱员工生活，汇聚团队力量，由工会向全体员工发出倡议，开展“奉献爱心、关爱员工”活动，为住院员工募捐善款10886元，为员工排忧解难。在教师节期间，为挂点学校送慰问费2000元，包括员工住院慰问及其他慰问费及支持挂点扶贫点的建设，各项累计支出24186元。公司领导班子，以科学发展观为指导，坚持科技创新，科技进步，坚持安全生产，坚持节能环保，构建和谐、环保平安企业。</w:t>
      </w:r>
    </w:p>
    <w:p w14:paraId="6AEBB527">
      <w:pPr>
        <w:rPr>
          <w:rFonts w:hint="eastAsia" w:hAnsi="宋体" w:cs="宋体"/>
          <w:highlight w:val="none"/>
        </w:rPr>
      </w:pPr>
      <w:r>
        <w:rPr>
          <w:rFonts w:hint="eastAsia" w:hAnsi="宋体" w:cs="宋体"/>
          <w:highlight w:val="none"/>
        </w:rPr>
        <w:t>按照上级党委指示要求开展“三严三实”教育实践活动，通过教育实践活动，把“三严三实”要求融入领导干部经常性学习培训中，把“三严三实”学习读本发放到基层党组织和党员手中，实现专题教育全覆盖。通过组织党员干部观看警示教育片，教育党员领导干部从中汲取教训，自觉遵纪守法，坚守官德底线。加强学习，严以修身，坚定理想信念</w:t>
      </w:r>
      <w:r>
        <w:rPr>
          <w:rFonts w:hint="eastAsia" w:hAnsi="宋体" w:cs="宋体"/>
          <w:highlight w:val="none"/>
          <w:lang w:eastAsia="zh-CN"/>
        </w:rPr>
        <w:t>；</w:t>
      </w:r>
      <w:r>
        <w:rPr>
          <w:rFonts w:hint="eastAsia" w:hAnsi="宋体" w:cs="宋体"/>
          <w:highlight w:val="none"/>
        </w:rPr>
        <w:t>加强组织纪律，严以律己，提高执行意识</w:t>
      </w:r>
      <w:r>
        <w:rPr>
          <w:rFonts w:hint="eastAsia" w:hAnsi="宋体" w:cs="宋体"/>
          <w:highlight w:val="none"/>
          <w:lang w:eastAsia="zh-CN"/>
        </w:rPr>
        <w:t>；</w:t>
      </w:r>
      <w:r>
        <w:rPr>
          <w:rFonts w:hint="eastAsia" w:hAnsi="宋体" w:cs="宋体"/>
          <w:highlight w:val="none"/>
        </w:rPr>
        <w:t>勇于担当，谋事要实，提高服务意识</w:t>
      </w:r>
      <w:r>
        <w:rPr>
          <w:rFonts w:hint="eastAsia" w:hAnsi="宋体" w:cs="宋体"/>
          <w:highlight w:val="none"/>
          <w:lang w:eastAsia="zh-CN"/>
        </w:rPr>
        <w:t>；</w:t>
      </w:r>
      <w:r>
        <w:rPr>
          <w:rFonts w:hint="eastAsia" w:hAnsi="宋体" w:cs="宋体"/>
          <w:highlight w:val="none"/>
        </w:rPr>
        <w:t>诚信友善，爱岗敬业，做一名忠诚守信的领导干部。同时，对全体党员进行民主测评活动，使大家充分认识到“严以修身、严以用权、严以律己，谋事要实、创业要实、做人要实”，“三严三实”虽只有短短6句话24个字，言简意赅，却内涵丰富、精辟深刻，是我们做人做事、为官用权的警世箴言。</w:t>
      </w:r>
    </w:p>
    <w:p w14:paraId="71D1EEF6">
      <w:pPr>
        <w:rPr>
          <w:rFonts w:hint="eastAsia" w:hAnsi="宋体" w:cs="宋体"/>
          <w:highlight w:val="none"/>
        </w:rPr>
      </w:pPr>
      <w:r>
        <w:rPr>
          <w:rFonts w:hint="eastAsia" w:hAnsi="宋体" w:cs="宋体"/>
          <w:highlight w:val="none"/>
        </w:rPr>
        <w:t>2015年1月</w:t>
      </w:r>
      <w:r>
        <w:rPr>
          <w:rFonts w:hint="eastAsia" w:hAnsi="宋体" w:cs="宋体"/>
          <w:highlight w:val="none"/>
          <w:lang w:eastAsia="zh-CN"/>
        </w:rPr>
        <w:t>，</w:t>
      </w:r>
      <w:r>
        <w:rPr>
          <w:rFonts w:hint="eastAsia" w:hAnsi="宋体" w:cs="宋体"/>
          <w:highlight w:val="none"/>
        </w:rPr>
        <w:t>广东韶能集团股份有限公司总经理肖南贵一行来到韶能集团韶关南雄珠玑纸业有限公司调研，随行的有广东韶能集团股份有限公司副总经理钟跃元、广东韶能集团股份有限公司非电资产监管部副经理唐玉华。</w:t>
      </w:r>
    </w:p>
    <w:p w14:paraId="706DBFB9">
      <w:pPr>
        <w:rPr>
          <w:rFonts w:hint="eastAsia" w:hAnsi="宋体" w:cs="宋体"/>
          <w:highlight w:val="none"/>
        </w:rPr>
      </w:pPr>
      <w:r>
        <w:rPr>
          <w:rFonts w:hint="eastAsia" w:hAnsi="宋体" w:cs="宋体"/>
          <w:highlight w:val="none"/>
        </w:rPr>
        <w:t>2015年6月，中共南雄市直属工委〔雄直党2015年53号〕，《关于同意韶能集团韶关南雄珠玑纸业有限公司党支部补选支部委员结果的批复》；同意补选刘宏春为支部委员，任支部纪检委员兼宣传委员，舒后先任组织委员。</w:t>
      </w:r>
    </w:p>
    <w:p w14:paraId="510A23BF">
      <w:pPr>
        <w:rPr>
          <w:rFonts w:hint="eastAsia" w:hAnsi="宋体" w:cs="宋体"/>
          <w:highlight w:val="none"/>
        </w:rPr>
      </w:pPr>
      <w:r>
        <w:rPr>
          <w:rFonts w:hint="eastAsia" w:hAnsi="宋体" w:cs="宋体"/>
          <w:highlight w:val="none"/>
        </w:rPr>
        <w:t>2015年6月，南雄市环保局对臭气治理方案及措施（包括生产工艺、氧化槽、苛化处理等环节），给予肯定。</w:t>
      </w:r>
    </w:p>
    <w:p w14:paraId="76429503">
      <w:pPr>
        <w:ind w:firstLine="420"/>
        <w:rPr>
          <w:rFonts w:hint="eastAsia" w:hAnsi="宋体" w:cs="宋体"/>
          <w:highlight w:val="none"/>
        </w:rPr>
      </w:pPr>
      <w:r>
        <w:rPr>
          <w:rFonts w:hint="eastAsia" w:hAnsi="宋体" w:cs="宋体"/>
          <w:highlight w:val="none"/>
        </w:rPr>
        <w:t>2015年10月30日，召开公司领导班子会议，同意“韶能本色”转型升级项目的用电35千伏进行增容。</w:t>
      </w:r>
    </w:p>
    <w:p w14:paraId="463DA7AA">
      <w:pPr>
        <w:rPr>
          <w:rFonts w:hint="eastAsia" w:hAnsi="宋体" w:cs="宋体"/>
          <w:highlight w:val="none"/>
        </w:rPr>
      </w:pPr>
      <w:r>
        <w:rPr>
          <w:rFonts w:hint="eastAsia" w:hAnsi="宋体" w:cs="宋体"/>
          <w:highlight w:val="none"/>
        </w:rPr>
        <w:t>2015年12月，赖路生被评为“广东韶能集团股份有限公司先进工作者”。（刘宏春）</w:t>
      </w:r>
    </w:p>
    <w:p w14:paraId="73EE51BB">
      <w:pPr>
        <w:rPr>
          <w:rFonts w:hint="eastAsia" w:hAnsi="宋体" w:eastAsia="宋体" w:cs="宋体"/>
          <w:highlight w:val="none"/>
          <w:lang w:eastAsia="zh-CN"/>
        </w:rPr>
      </w:pPr>
      <w:r>
        <w:rPr>
          <w:rFonts w:hint="eastAsia" w:hAnsi="宋体" w:cs="宋体"/>
          <w:highlight w:val="none"/>
        </w:rPr>
        <w:t>附：2015年韶能集团南雄珠玑纸业有限公司领导班子成员名单</w:t>
      </w:r>
    </w:p>
    <w:p w14:paraId="02A5F02F">
      <w:pPr>
        <w:rPr>
          <w:rFonts w:hint="eastAsia" w:hAnsi="宋体" w:eastAsia="宋体" w:cs="宋体"/>
          <w:highlight w:val="none"/>
          <w:lang w:eastAsia="zh-CN"/>
        </w:rPr>
      </w:pPr>
      <w:r>
        <w:rPr>
          <w:rFonts w:hint="eastAsia" w:hAnsi="宋体" w:cs="宋体"/>
          <w:highlight w:val="none"/>
        </w:rPr>
        <w:t>董事长：钟跃元</w:t>
      </w:r>
    </w:p>
    <w:p w14:paraId="00D4AEA3">
      <w:pPr>
        <w:rPr>
          <w:rFonts w:hint="eastAsia" w:hAnsi="宋体" w:eastAsia="宋体" w:cs="宋体"/>
          <w:highlight w:val="none"/>
          <w:lang w:eastAsia="zh-CN"/>
        </w:rPr>
      </w:pPr>
      <w:r>
        <w:rPr>
          <w:rFonts w:hint="eastAsia" w:hAnsi="宋体" w:cs="宋体"/>
          <w:highlight w:val="none"/>
        </w:rPr>
        <w:t>执行董事长：赖国辉</w:t>
      </w:r>
    </w:p>
    <w:p w14:paraId="5E3879D3">
      <w:pPr>
        <w:rPr>
          <w:rFonts w:hint="eastAsia" w:hAnsi="宋体" w:eastAsia="宋体" w:cs="宋体"/>
          <w:highlight w:val="none"/>
          <w:lang w:eastAsia="zh-CN"/>
        </w:rPr>
      </w:pPr>
      <w:r>
        <w:rPr>
          <w:rFonts w:hint="eastAsia" w:hAnsi="宋体" w:cs="宋体"/>
          <w:highlight w:val="none"/>
        </w:rPr>
        <w:t>总经理：陈盛全</w:t>
      </w:r>
    </w:p>
    <w:p w14:paraId="7A5EF836">
      <w:pPr>
        <w:rPr>
          <w:rFonts w:hint="eastAsia" w:hAnsi="宋体" w:eastAsia="宋体" w:cs="宋体"/>
          <w:highlight w:val="none"/>
          <w:lang w:eastAsia="zh-CN"/>
        </w:rPr>
      </w:pPr>
      <w:r>
        <w:rPr>
          <w:rFonts w:hint="eastAsia" w:hAnsi="宋体" w:cs="宋体"/>
          <w:highlight w:val="none"/>
        </w:rPr>
        <w:t>副总经理：谢军生 舒后先</w:t>
      </w:r>
    </w:p>
    <w:p w14:paraId="71E39162">
      <w:pPr>
        <w:rPr>
          <w:rFonts w:hint="eastAsia" w:hAnsi="宋体" w:cs="宋体"/>
          <w:highlight w:val="none"/>
        </w:rPr>
      </w:pPr>
      <w:r>
        <w:rPr>
          <w:rFonts w:hint="eastAsia" w:hAnsi="宋体" w:cs="宋体"/>
          <w:highlight w:val="none"/>
        </w:rPr>
        <w:t>总经理助理：何水泉</w:t>
      </w:r>
    </w:p>
    <w:p w14:paraId="427B04BF">
      <w:pPr>
        <w:pStyle w:val="4"/>
        <w:bidi w:val="0"/>
        <w:rPr>
          <w:rFonts w:hint="eastAsia"/>
          <w:highlight w:val="none"/>
        </w:rPr>
      </w:pPr>
      <w:r>
        <w:rPr>
          <w:rFonts w:hint="eastAsia"/>
          <w:highlight w:val="none"/>
        </w:rPr>
        <w:t>【浈江电业有限责任公司】</w:t>
      </w:r>
    </w:p>
    <w:p w14:paraId="413C4B5A">
      <w:pPr>
        <w:rPr>
          <w:rFonts w:hint="eastAsia" w:hAnsi="宋体" w:cs="宋体"/>
          <w:highlight w:val="none"/>
        </w:rPr>
      </w:pPr>
      <w:r>
        <w:rPr>
          <w:rFonts w:hint="eastAsia" w:hAnsi="宋体" w:cs="宋体"/>
          <w:highlight w:val="none"/>
        </w:rPr>
        <w:t>南雄市浈江电业有限责任公司于2000年12月30日成立，是以水力发电为主营业务的国有股份企业。公司下设行政部、财务部、生产技术部3个职能部门，截至2015年12月下辖江头桃树江、长尾、长潭、横水，帽子峰潭溪、外溪，澜河高桥、小流坑、上澜、龙坑，全安兰溪一、二、三站，全安大坪、龙华山、吊基岭、三枫，主田大步前、窑合、夹水口，百顺新村一、二站，邓坊杨梅，南亩中寺，珠玑周山电站，共58台机组，总装机16410千瓦。公司另投资1000多万元建设成立日供水能力为5000吨自来水供应公司——全安自来水有限责任公司</w:t>
      </w:r>
      <w:r>
        <w:rPr>
          <w:rFonts w:hint="eastAsia" w:hAnsi="宋体" w:cs="宋体"/>
          <w:highlight w:val="none"/>
          <w:lang w:eastAsia="zh-CN"/>
        </w:rPr>
        <w:t>，</w:t>
      </w:r>
      <w:r>
        <w:rPr>
          <w:rFonts w:hint="eastAsia" w:hAnsi="宋体" w:cs="宋体"/>
          <w:highlight w:val="none"/>
        </w:rPr>
        <w:t>主要向韶关乐华陶瓷公司、工业园二园区及全安镇全安、河塘、杨沥、王亭石等4个村委供水。</w:t>
      </w:r>
    </w:p>
    <w:p w14:paraId="6BCF6372">
      <w:pPr>
        <w:rPr>
          <w:rFonts w:hint="eastAsia" w:hAnsi="宋体" w:cs="宋体"/>
          <w:highlight w:val="none"/>
        </w:rPr>
      </w:pPr>
      <w:r>
        <w:rPr>
          <w:rFonts w:hint="eastAsia" w:hAnsi="宋体" w:cs="宋体"/>
          <w:b/>
          <w:bCs/>
          <w:highlight w:val="none"/>
        </w:rPr>
        <w:t>安全生产发电</w:t>
      </w:r>
      <w:r>
        <w:rPr>
          <w:rFonts w:hint="eastAsia" w:cs="宋体"/>
          <w:highlight w:val="none"/>
          <w:lang w:val="en-US" w:eastAsia="zh-CN"/>
        </w:rPr>
        <w:t xml:space="preserve">  </w:t>
      </w:r>
      <w:r>
        <w:rPr>
          <w:rFonts w:hint="eastAsia" w:hAnsi="宋体" w:cs="宋体"/>
          <w:highlight w:val="none"/>
        </w:rPr>
        <w:t>公司认真落实安全生产责任制</w:t>
      </w:r>
      <w:r>
        <w:rPr>
          <w:rFonts w:hint="eastAsia" w:hAnsi="宋体" w:cs="宋体"/>
          <w:highlight w:val="none"/>
          <w:lang w:eastAsia="zh-CN"/>
        </w:rPr>
        <w:t>，</w:t>
      </w:r>
      <w:r>
        <w:rPr>
          <w:rFonts w:hint="eastAsia" w:hAnsi="宋体" w:cs="宋体"/>
          <w:highlight w:val="none"/>
        </w:rPr>
        <w:t>加强安全生产基础管理，同时公司领导加大对各下属单位贯彻落实安全生产工作要求监管力度，督促做好安全生产管理工作，2015年实现电站安全运行零事故，实现销售电量4591</w:t>
      </w:r>
      <w:r>
        <w:rPr>
          <w:rFonts w:hint="eastAsia" w:ascii="MingLiU_HKSCS" w:hAnsi="MingLiU_HKSCS" w:eastAsia="MingLiU_HKSCS" w:cs="MingLiU_HKSCS"/>
          <w:highlight w:val="none"/>
        </w:rPr>
        <w:t>.</w:t>
      </w:r>
      <w:r>
        <w:rPr>
          <w:rFonts w:hint="eastAsia" w:hAnsi="宋体" w:cs="宋体"/>
          <w:highlight w:val="none"/>
        </w:rPr>
        <w:t>28万千瓦时，销售收入2326</w:t>
      </w:r>
      <w:r>
        <w:rPr>
          <w:rFonts w:hint="eastAsia" w:ascii="MingLiU_HKSCS" w:hAnsi="MingLiU_HKSCS" w:eastAsia="MingLiU_HKSCS" w:cs="MingLiU_HKSCS"/>
          <w:highlight w:val="none"/>
        </w:rPr>
        <w:t>.</w:t>
      </w:r>
      <w:r>
        <w:rPr>
          <w:rFonts w:hint="eastAsia" w:hAnsi="宋体" w:cs="宋体"/>
          <w:highlight w:val="none"/>
        </w:rPr>
        <w:t>77万元，超额完成全年生产目标任务。</w:t>
      </w:r>
    </w:p>
    <w:p w14:paraId="0A88A81A">
      <w:pPr>
        <w:rPr>
          <w:rFonts w:hint="eastAsia" w:hAnsi="宋体" w:cs="宋体"/>
          <w:highlight w:val="none"/>
        </w:rPr>
      </w:pPr>
      <w:r>
        <w:rPr>
          <w:rFonts w:hint="eastAsia" w:hAnsi="宋体" w:cs="宋体"/>
          <w:b/>
          <w:bCs/>
          <w:highlight w:val="none"/>
        </w:rPr>
        <w:t>荣誉称号</w:t>
      </w:r>
      <w:r>
        <w:rPr>
          <w:rFonts w:hint="eastAsia" w:cs="宋体"/>
          <w:highlight w:val="none"/>
          <w:lang w:val="en-US" w:eastAsia="zh-CN"/>
        </w:rPr>
        <w:t xml:space="preserve">  </w:t>
      </w:r>
      <w:r>
        <w:rPr>
          <w:rFonts w:hint="eastAsia" w:hAnsi="宋体" w:cs="宋体"/>
          <w:highlight w:val="none"/>
        </w:rPr>
        <w:t>2015年，公司开展“双学双比”活动，获得市委、市政府颁发“文明单位”，市政府颁发“人口与计划生育工作先进单位”，韶关市税务局颁发的“模范纳税户”，市总工会颁发“工会工作先进单位”，机关支部获得市直工委颁发的“先进基层党支部”，公司员工中分别获得“全国劳模”“韶关市建功立业女能手”“市直工委优秀共产党员”“南雄市青年岗位能手”“南雄市‘双学双比’经济技术创新能手”“南雄市‘巾帼建功’活动先进个人”等荣誉称号。</w:t>
      </w:r>
    </w:p>
    <w:p w14:paraId="790DB60A">
      <w:pPr>
        <w:rPr>
          <w:rFonts w:hint="eastAsia" w:hAnsi="宋体" w:cs="宋体"/>
          <w:highlight w:val="none"/>
        </w:rPr>
      </w:pPr>
      <w:r>
        <w:rPr>
          <w:rFonts w:hint="eastAsia" w:hAnsi="宋体" w:cs="宋体"/>
          <w:b/>
          <w:bCs/>
          <w:highlight w:val="none"/>
        </w:rPr>
        <w:t>电站技改调研</w:t>
      </w:r>
      <w:r>
        <w:rPr>
          <w:rFonts w:hint="eastAsia" w:cs="宋体"/>
          <w:b/>
          <w:bCs/>
          <w:highlight w:val="none"/>
          <w:lang w:val="en-US" w:eastAsia="zh-CN"/>
        </w:rPr>
        <w:t xml:space="preserve">  </w:t>
      </w:r>
      <w:r>
        <w:rPr>
          <w:rFonts w:hint="eastAsia" w:hAnsi="宋体" w:cs="宋体"/>
          <w:highlight w:val="none"/>
        </w:rPr>
        <w:t>针对三枫电站运行以来存在的油耗高、调速器故障频繁等问题进行专项研究，制定详细的技改方案。对百顺新村二站、澜河小流坑电站、兰溪二站进行扩容增效技改调研。</w:t>
      </w:r>
    </w:p>
    <w:p w14:paraId="101F73B8">
      <w:pPr>
        <w:rPr>
          <w:rFonts w:hint="eastAsia" w:hAnsi="宋体" w:cs="宋体"/>
          <w:highlight w:val="none"/>
        </w:rPr>
      </w:pPr>
      <w:r>
        <w:rPr>
          <w:rFonts w:hint="eastAsia" w:hAnsi="宋体" w:cs="宋体"/>
          <w:b/>
          <w:bCs/>
          <w:highlight w:val="none"/>
        </w:rPr>
        <w:t>扩建项目</w:t>
      </w:r>
      <w:r>
        <w:rPr>
          <w:rFonts w:hint="eastAsia" w:cs="宋体"/>
          <w:highlight w:val="none"/>
          <w:lang w:val="en-US" w:eastAsia="zh-CN"/>
        </w:rPr>
        <w:t xml:space="preserve">  </w:t>
      </w:r>
      <w:r>
        <w:rPr>
          <w:rFonts w:hint="eastAsia" w:hAnsi="宋体" w:cs="宋体"/>
          <w:highlight w:val="none"/>
        </w:rPr>
        <w:t>承担市重点建设项目华电和全安镇等3个村委会的生活用水供水项目。华电生活用水供水前期工作准备就绪，随时可以配合华电建设进度铺管供水。全安镇羊角、陂头、古塘3个村委会农村饮水安全工程二期管网工程项目经市财政投资评审中心评审，通过公开招投标，确认韶关市金韶源建材有限公司、南雄市乐达建筑工程有限公司联合体为该项目的中标供应商，项目于2015年12月底动工。</w:t>
      </w:r>
    </w:p>
    <w:p w14:paraId="0A5A9050">
      <w:pPr>
        <w:rPr>
          <w:rFonts w:hint="eastAsia" w:hAnsi="宋体" w:cs="宋体"/>
          <w:highlight w:val="none"/>
        </w:rPr>
      </w:pPr>
      <w:r>
        <w:rPr>
          <w:rFonts w:hint="eastAsia" w:hAnsi="宋体" w:cs="宋体"/>
          <w:b/>
          <w:bCs/>
          <w:highlight w:val="none"/>
        </w:rPr>
        <w:t>员工培训</w:t>
      </w:r>
      <w:r>
        <w:rPr>
          <w:rFonts w:hint="eastAsia" w:cs="宋体"/>
          <w:highlight w:val="none"/>
          <w:lang w:val="en-US" w:eastAsia="zh-CN"/>
        </w:rPr>
        <w:t xml:space="preserve">  </w:t>
      </w:r>
      <w:r>
        <w:rPr>
          <w:rFonts w:hint="eastAsia" w:hAnsi="宋体" w:cs="宋体"/>
          <w:highlight w:val="none"/>
        </w:rPr>
        <w:t>开展安全生产知识培训，强化员工安全生产意识，提高安全生产管理水平。加强员工培养、管理工作，今年公司派出2名员工到湖南学习电站机组新设备、创新技术，组织50多名持有特种作业操作证员工继续学习教育，补充业务知识。</w:t>
      </w:r>
    </w:p>
    <w:p w14:paraId="57D171D6">
      <w:pPr>
        <w:rPr>
          <w:rFonts w:hint="eastAsia" w:hAnsi="宋体" w:cs="宋体"/>
          <w:highlight w:val="none"/>
        </w:rPr>
      </w:pPr>
      <w:r>
        <w:rPr>
          <w:rFonts w:hint="eastAsia" w:hAnsi="宋体" w:cs="宋体"/>
          <w:b/>
          <w:bCs/>
          <w:highlight w:val="none"/>
        </w:rPr>
        <w:t>党风廉政建设</w:t>
      </w:r>
      <w:r>
        <w:rPr>
          <w:rFonts w:hint="eastAsia" w:cs="宋体"/>
          <w:highlight w:val="none"/>
          <w:lang w:val="en-US" w:eastAsia="zh-CN"/>
        </w:rPr>
        <w:t xml:space="preserve">  </w:t>
      </w:r>
      <w:r>
        <w:rPr>
          <w:rFonts w:hint="eastAsia" w:hAnsi="宋体" w:cs="宋体"/>
          <w:highlight w:val="none"/>
        </w:rPr>
        <w:t>落实党风廉政建设责任制，实行一岗双职，切实做到企业党风廉政建设与企业经营生产“两不误，两促进”。同时加强领导干部的廉洁自律教育，努力从源头上预防和治理腐败。</w:t>
      </w:r>
    </w:p>
    <w:p w14:paraId="14098FF0">
      <w:pPr>
        <w:rPr>
          <w:rFonts w:hint="eastAsia" w:hAnsi="宋体" w:cs="宋体"/>
          <w:highlight w:val="none"/>
        </w:rPr>
      </w:pPr>
      <w:r>
        <w:rPr>
          <w:rFonts w:hint="eastAsia" w:hAnsi="宋体" w:cs="宋体"/>
          <w:b/>
          <w:bCs/>
          <w:highlight w:val="none"/>
        </w:rPr>
        <w:t>精神文明建设</w:t>
      </w:r>
      <w:r>
        <w:rPr>
          <w:rFonts w:hint="eastAsia" w:cs="宋体"/>
          <w:highlight w:val="none"/>
          <w:lang w:val="en-US" w:eastAsia="zh-CN"/>
        </w:rPr>
        <w:t xml:space="preserve">  </w:t>
      </w:r>
      <w:r>
        <w:rPr>
          <w:rFonts w:hint="eastAsia" w:hAnsi="宋体" w:cs="宋体"/>
          <w:highlight w:val="none"/>
        </w:rPr>
        <w:t>公司创立融入公司名称、行业特点的企业标志，通过国家市场监督管理总局审核通过确定为公司注册商标。</w:t>
      </w:r>
      <w:r>
        <w:rPr>
          <w:rFonts w:hint="eastAsia" w:hAnsi="宋体" w:cs="宋体"/>
          <w:highlight w:val="none"/>
          <w:lang w:eastAsia="zh-CN"/>
        </w:rPr>
        <w:t>（</w:t>
      </w:r>
      <w:r>
        <w:rPr>
          <w:rFonts w:hint="eastAsia" w:hAnsi="宋体" w:cs="宋体"/>
          <w:highlight w:val="none"/>
        </w:rPr>
        <w:t>沈彩英）</w:t>
      </w:r>
    </w:p>
    <w:p w14:paraId="728DACC6">
      <w:pPr>
        <w:rPr>
          <w:rFonts w:hint="eastAsia" w:hAnsi="宋体" w:eastAsia="宋体" w:cs="宋体"/>
          <w:highlight w:val="none"/>
          <w:lang w:eastAsia="zh-CN"/>
        </w:rPr>
      </w:pPr>
      <w:r>
        <w:rPr>
          <w:rFonts w:hint="eastAsia" w:hAnsi="宋体" w:cs="宋体"/>
          <w:highlight w:val="none"/>
        </w:rPr>
        <w:t>附：2015年市浈江电业有限责任公司领导班子成员名单</w:t>
      </w:r>
    </w:p>
    <w:p w14:paraId="7B602CF9">
      <w:pPr>
        <w:rPr>
          <w:rFonts w:hint="eastAsia" w:hAnsi="宋体" w:eastAsia="宋体" w:cs="宋体"/>
          <w:highlight w:val="none"/>
          <w:lang w:eastAsia="zh-CN"/>
        </w:rPr>
      </w:pPr>
      <w:r>
        <w:rPr>
          <w:rFonts w:hint="eastAsia" w:hAnsi="宋体" w:cs="宋体"/>
          <w:highlight w:val="none"/>
        </w:rPr>
        <w:t>董事长、总经理：刘发军（1月任）</w:t>
      </w:r>
    </w:p>
    <w:p w14:paraId="2BB1EE5B">
      <w:pPr>
        <w:rPr>
          <w:rFonts w:hint="eastAsia" w:hAnsi="宋体" w:eastAsia="宋体" w:cs="宋体"/>
          <w:highlight w:val="none"/>
          <w:lang w:eastAsia="zh-CN"/>
        </w:rPr>
      </w:pPr>
      <w:r>
        <w:rPr>
          <w:rFonts w:hint="eastAsia" w:hAnsi="宋体" w:cs="宋体"/>
          <w:highlight w:val="none"/>
        </w:rPr>
        <w:t>副总经理：龙绍淦 叶林彬（12月任</w:t>
      </w:r>
      <w:r>
        <w:rPr>
          <w:rFonts w:hint="eastAsia" w:hAnsi="宋体" w:cs="宋体"/>
          <w:highlight w:val="none"/>
          <w:lang w:eastAsia="zh-CN"/>
        </w:rPr>
        <w:t>）</w:t>
      </w:r>
    </w:p>
    <w:p w14:paraId="1C1C0806">
      <w:pPr>
        <w:rPr>
          <w:rFonts w:hint="eastAsia" w:hAnsi="宋体" w:eastAsia="宋体" w:cs="宋体"/>
          <w:highlight w:val="none"/>
          <w:lang w:eastAsia="zh-CN"/>
        </w:rPr>
      </w:pPr>
      <w:r>
        <w:rPr>
          <w:rFonts w:hint="eastAsia" w:hAnsi="宋体" w:cs="宋体"/>
          <w:highlight w:val="none"/>
        </w:rPr>
        <w:t>总经理助理：李步荣</w:t>
      </w:r>
    </w:p>
    <w:p w14:paraId="7522CDBC">
      <w:pPr>
        <w:rPr>
          <w:rFonts w:hint="eastAsia" w:hAnsi="宋体" w:eastAsia="宋体" w:cs="宋体"/>
          <w:highlight w:val="none"/>
          <w:lang w:eastAsia="zh-CN"/>
        </w:rPr>
      </w:pPr>
      <w:r>
        <w:rPr>
          <w:rFonts w:hint="eastAsia" w:hAnsi="宋体" w:cs="宋体"/>
          <w:highlight w:val="none"/>
        </w:rPr>
        <w:t>工会主席：王赣华</w:t>
      </w:r>
    </w:p>
    <w:p w14:paraId="3A152CC3">
      <w:pPr>
        <w:pStyle w:val="4"/>
        <w:bidi w:val="0"/>
        <w:rPr>
          <w:rFonts w:hint="eastAsia"/>
          <w:highlight w:val="none"/>
        </w:rPr>
      </w:pPr>
      <w:r>
        <w:rPr>
          <w:rFonts w:hint="eastAsia"/>
          <w:highlight w:val="none"/>
        </w:rPr>
        <w:t>【广东金友集团有限公司】</w:t>
      </w:r>
    </w:p>
    <w:p w14:paraId="690DC67E">
      <w:pPr>
        <w:rPr>
          <w:rFonts w:hint="eastAsia" w:hAnsi="宋体" w:cs="宋体"/>
          <w:highlight w:val="none"/>
        </w:rPr>
      </w:pPr>
      <w:r>
        <w:rPr>
          <w:rFonts w:hint="eastAsia" w:hAnsi="宋体" w:cs="宋体"/>
          <w:highlight w:val="none"/>
        </w:rPr>
        <w:t>广东金友集团有限公司成立于1995年，注册资本为6000万元人民币，是一家以农业综合开发为主体，集房地产开发、工程建筑、房地产开发、金融服务、酒店经营、驾驶员培训、流通于一体民营企业，现有员工219人，其中本科以上学历20人，大专学历78人；高级职称1人，中级职称7人，初级职称10人，华南农业大学、仲恺农业工程学院特聘专家6人。</w:t>
      </w:r>
    </w:p>
    <w:p w14:paraId="45C21A66">
      <w:pPr>
        <w:rPr>
          <w:rFonts w:hint="eastAsia" w:hAnsi="宋体" w:cs="宋体"/>
          <w:highlight w:val="none"/>
        </w:rPr>
      </w:pPr>
      <w:r>
        <w:rPr>
          <w:rFonts w:hint="eastAsia" w:hAnsi="宋体" w:cs="宋体"/>
          <w:highlight w:val="none"/>
        </w:rPr>
        <w:t>公司目前生产有机米、优质米、健康食用油和土特产等四大系列37种产品。金友牌有机米通过香港有机认证中心认证，金友牌贡米、粤香王（米）通过中国绿色食品发展中心认证，金友牌优质米被评为“广东省名牌产品”，金友牌贡米被推选为“广东最具代表性的地方特产”，金友有机米获第十一届中国国际粮油产品及设备技术展览会金奖，以及首届（2015）中国“优佳好食味”有机大米十大金奖品评争霸赛金奖；金友牌香粘王（米）被评为第十届中国优质稻米博览交易会“金奖大米”；金友牌顶级香米两次被授予“放心米”称号。“金友”商标被省工商局评为“广东省著名商标”。</w:t>
      </w:r>
    </w:p>
    <w:p w14:paraId="61E0DC97">
      <w:pPr>
        <w:rPr>
          <w:rFonts w:hint="eastAsia" w:hAnsi="宋体" w:cs="宋体"/>
          <w:highlight w:val="none"/>
        </w:rPr>
      </w:pPr>
      <w:r>
        <w:rPr>
          <w:rFonts w:hint="eastAsia" w:hAnsi="宋体" w:cs="宋体"/>
          <w:highlight w:val="none"/>
        </w:rPr>
        <w:t>公司2008年被评为“广东省农业龙头企业”，2010年被评为“广东省林业龙头企业”</w:t>
      </w:r>
      <w:r>
        <w:rPr>
          <w:rFonts w:hint="eastAsia" w:hAnsi="宋体" w:cs="宋体"/>
          <w:highlight w:val="none"/>
          <w:lang w:eastAsia="zh-CN"/>
        </w:rPr>
        <w:t>，</w:t>
      </w:r>
      <w:r>
        <w:rPr>
          <w:rFonts w:hint="eastAsia" w:hAnsi="宋体" w:cs="宋体"/>
          <w:highlight w:val="none"/>
        </w:rPr>
        <w:t>2012年被评为“广东省粮食行业龙头企业”，是粤北地区规模最大、产业链条最完整的现代化粮油生产企业。公司用工业理念谋划农业发展，以“发展有机农业，推广绿色食品，倡导健康生活”为企业使命，走绿色农业、有机农业、生态农业发展道路。</w:t>
      </w:r>
    </w:p>
    <w:p w14:paraId="7F59EB5D">
      <w:pPr>
        <w:rPr>
          <w:rFonts w:hint="eastAsia" w:hAnsi="宋体" w:cs="宋体"/>
          <w:highlight w:val="none"/>
        </w:rPr>
      </w:pPr>
      <w:r>
        <w:rPr>
          <w:rFonts w:hint="eastAsia" w:hAnsi="宋体" w:cs="宋体"/>
          <w:highlight w:val="none"/>
        </w:rPr>
        <w:t>公司规模化建设和产业化经营取得成效明显，金友农产品加工型园区被评为省级现代农业园区（农产品加工型）。大型粮食储备库、稻谷烘干线、大米加工生产线、米粉加工生产线、米乳饮品生产线、茶油压榨生产线、化妆品精制生产线、粮油食品检测检验中心、有机农业科研中心等项目已基本建成，粮油产业大园区初步成型。新的加工园区可实现原粮仓储保有量长年达到5万吨，形成年加工有机大米和绿色大米3万吨、生产茶油1500吨、米露3000吨的生产规模，年产值可达10亿元。</w:t>
      </w:r>
    </w:p>
    <w:p w14:paraId="2B2A20E0">
      <w:pPr>
        <w:rPr>
          <w:rFonts w:hint="eastAsia" w:hAnsi="宋体" w:cs="宋体"/>
          <w:highlight w:val="none"/>
        </w:rPr>
      </w:pPr>
      <w:r>
        <w:rPr>
          <w:rFonts w:hint="eastAsia" w:hAnsi="宋体" w:cs="宋体"/>
          <w:highlight w:val="none"/>
        </w:rPr>
        <w:t>发展现状，围绕科学发展和绿色转型，公司用工业理念谋划农业发展，从以下几方面展开工作，探索山区现代农业发展新路子。</w:t>
      </w:r>
    </w:p>
    <w:p w14:paraId="213AF797">
      <w:pPr>
        <w:rPr>
          <w:rFonts w:hint="eastAsia" w:hAnsi="宋体" w:cs="宋体"/>
          <w:highlight w:val="none"/>
        </w:rPr>
      </w:pPr>
      <w:r>
        <w:rPr>
          <w:rFonts w:hint="eastAsia" w:hAnsi="宋体" w:cs="宋体"/>
          <w:highlight w:val="none"/>
        </w:rPr>
        <w:t>立足优势特色资源，推动种植规模化发展。根据市场需求，结合南雄市优势自然资源和特色农业资源，积极引导和帮助广大农民调整水稻种植结构，探索与农户对接共建优质稻米种植基地的发展模式。在广东南雄建立有机稻基地5000亩，绿色稻基地1万亩，优质稻基地2万亩，油茶基地1万亩；在江西省丰城县、万载县分别建立富硒稻基地500亩和有机稻基地1000亩。截至2015年底，公司自有基地和带动农户种植面积达7万亩。</w:t>
      </w:r>
    </w:p>
    <w:p w14:paraId="1ED76320">
      <w:pPr>
        <w:rPr>
          <w:rFonts w:hint="eastAsia" w:hAnsi="宋体" w:cs="宋体"/>
          <w:highlight w:val="none"/>
        </w:rPr>
      </w:pPr>
      <w:r>
        <w:rPr>
          <w:rFonts w:hint="eastAsia" w:hAnsi="宋体" w:cs="宋体"/>
          <w:highlight w:val="none"/>
        </w:rPr>
        <w:t>确立效益联结关系，实行农业产业化经营。按照“效益同享、风险共担”的原则，与农户建立稳定的效益共同体。与农户签订长期土地承包合同，稳定土地承包关系，按照优质优价和不低于市场时价的原则和农户签订稻谷购销合同，提高农户水稻种植的积极性。同时为农户推介优良品种、垫付生产资料、提供技术服务，通过以上产前、产中、产后全程全方位服务，促进农业产业化快速发展。2015年，带动农户6800户，带动农户增收1360万元，户均增收2000元。</w:t>
      </w:r>
    </w:p>
    <w:p w14:paraId="4B4D8C1D">
      <w:pPr>
        <w:rPr>
          <w:rFonts w:hint="eastAsia" w:hAnsi="宋体" w:cs="宋体"/>
          <w:highlight w:val="none"/>
        </w:rPr>
      </w:pPr>
      <w:r>
        <w:rPr>
          <w:rFonts w:hint="eastAsia" w:hAnsi="宋体" w:cs="宋体"/>
          <w:highlight w:val="none"/>
        </w:rPr>
        <w:t>执行质量技术规程，推进生产标准化建设。参照国家有关标准，制订金友有机大米生产技术规程、绿色食品——金友大米生产技术规程等企业标准，把种植、收获、仓储、加工、包装等环节纳入标准生产和标准管理的轨道。除生产标准体系外，还建立质量监测体系和产品评价体系，把先进技术和经验组装成生产标准，推广应用到产品生产经营活动中，把科技成果转化为现实的生产力，使稻米、食用油等产品生产科学化、系统化，从而达到高产、优质、高效的目的。</w:t>
      </w:r>
    </w:p>
    <w:p w14:paraId="57B8D9B7">
      <w:pPr>
        <w:rPr>
          <w:rFonts w:hint="eastAsia" w:hAnsi="宋体" w:cs="宋体"/>
          <w:highlight w:val="none"/>
        </w:rPr>
      </w:pPr>
      <w:r>
        <w:rPr>
          <w:rFonts w:hint="eastAsia" w:hAnsi="宋体" w:cs="宋体"/>
          <w:highlight w:val="none"/>
        </w:rPr>
        <w:t>紧扣项目建设内容，促进企业集成化创新。承担了中央投资物流项目、中央农业科技推广示范项目、金友米省级标准化种植基地、广东省健康农业示范基地项目等国家、省级重点建设项目。有机农产品生产加工、物流仓储基地建设项目还被列为广东省现代产业500强（现代农业100强）项目。以项目建设为载体，加大科技创新和新产品研发力度，与华南农业大学、广东省农科院、仲恺农业工程学院、韶关学院等高校和院所建立产学研合作机制，并创建“科技特派员工作站”，在水稻标准化种植、粮食储存加工、茶油精炼等方面进行广泛而深入的合作，形成生产技术核心竞争力。</w:t>
      </w:r>
    </w:p>
    <w:p w14:paraId="6C977D55">
      <w:pPr>
        <w:rPr>
          <w:rFonts w:hint="eastAsia" w:hAnsi="宋体" w:cs="宋体"/>
          <w:highlight w:val="none"/>
        </w:rPr>
      </w:pPr>
      <w:r>
        <w:rPr>
          <w:rFonts w:hint="eastAsia" w:hAnsi="宋体" w:cs="宋体"/>
          <w:highlight w:val="none"/>
        </w:rPr>
        <w:t>围绕商誉制胜战略，进行产品品牌化营销。瞄准“有机米打品牌、优质米创利润、普通米占市场”的市场定位，不断提高产品质量，加强品牌推广，以品质塑造品牌，以品牌带动品质，通过媒体宣传、广告营销、公益传播等渠道对产品和企业形象进行宣传推广。截至2015年底，拥有各类注册商标37个，建立健全商标管理和使用制度，企业商标赢得了较大的市场认可度。公司坚持诚信经营，以“信”带“誉”，以“誉”促“销”，推动品牌建设和产品营销，产品知名度和市场占有率快速提高，企业综合竞争力明显增强。</w:t>
      </w:r>
    </w:p>
    <w:p w14:paraId="06D0B39D">
      <w:pPr>
        <w:rPr>
          <w:rFonts w:hint="eastAsia" w:hAnsi="宋体" w:cs="宋体"/>
          <w:highlight w:val="none"/>
        </w:rPr>
      </w:pPr>
      <w:r>
        <w:rPr>
          <w:rFonts w:hint="eastAsia" w:hAnsi="宋体" w:cs="宋体"/>
          <w:highlight w:val="none"/>
        </w:rPr>
        <w:t>发展规划，公司将继续立足当地优越的生态环境和农业资源，专注优势特色产业发展，打造本土农业品牌，提升农业生产水平和综合效益。以有机大米、绿色大米为主体，以有机山茶油、健康米露饮品等为重要补充，培育发展优势特色农产品，促进传统优势产业转型升级，推动金友健康农产品立体式发展。</w:t>
      </w:r>
    </w:p>
    <w:p w14:paraId="7D9D0117">
      <w:pPr>
        <w:rPr>
          <w:rFonts w:hint="eastAsia" w:hAnsi="宋体" w:cs="宋体"/>
          <w:highlight w:val="none"/>
        </w:rPr>
      </w:pPr>
      <w:r>
        <w:rPr>
          <w:rFonts w:hint="eastAsia" w:hAnsi="宋体" w:cs="宋体"/>
          <w:highlight w:val="none"/>
        </w:rPr>
        <w:t>通过构建大米种植加工立体化生产体系，转变增长方式，大力推进粮油产品精深加工，提升农产品附加值，做长做强加工产业链，走循环经济和可持续发展道路，逐步实现水稻种植区域化、大米生产标准化、企业经营产业化和社会服务专业化，将金友打造成国内一流的健康农产品种植、加工、仓储、物流于一体的现代企业，探索一条山区农业发展的新路子。</w:t>
      </w:r>
    </w:p>
    <w:p w14:paraId="3312B645">
      <w:pPr>
        <w:rPr>
          <w:rFonts w:hint="eastAsia" w:hAnsi="宋体" w:cs="宋体"/>
          <w:highlight w:val="none"/>
        </w:rPr>
      </w:pPr>
      <w:r>
        <w:rPr>
          <w:rFonts w:hint="eastAsia" w:hAnsi="宋体" w:cs="宋体"/>
          <w:highlight w:val="none"/>
        </w:rPr>
        <w:t>2015年10月，公司在广州股权交易中心挂牌展示。计划2016年申报新三板，三年后争取进入IPO主板资本市场，向国家级农业龙头企业迈进。</w:t>
      </w:r>
    </w:p>
    <w:p w14:paraId="4D8452EB">
      <w:pPr>
        <w:rPr>
          <w:rFonts w:hint="eastAsia" w:hAnsi="宋体" w:cs="宋体"/>
          <w:highlight w:val="none"/>
        </w:rPr>
      </w:pPr>
      <w:r>
        <w:rPr>
          <w:rFonts w:hint="eastAsia" w:hAnsi="宋体" w:cs="宋体"/>
          <w:highlight w:val="none"/>
        </w:rPr>
        <w:t>企业发展历程1990年，在邓坊镇创办“金友”粮食加工厂，以加工生产“长丝粘”大米为主，主要销往韶关等地。</w:t>
      </w:r>
    </w:p>
    <w:p w14:paraId="504C2EFD">
      <w:pPr>
        <w:rPr>
          <w:rFonts w:hint="eastAsia" w:hAnsi="宋体" w:cs="宋体"/>
          <w:highlight w:val="none"/>
        </w:rPr>
      </w:pPr>
      <w:r>
        <w:rPr>
          <w:rFonts w:hint="eastAsia" w:hAnsi="宋体" w:cs="宋体"/>
          <w:highlight w:val="none"/>
        </w:rPr>
        <w:t>1995年，成立“南雄金友粮油集团有限公司”，在南雄珠玑三佳村培育出“长丝粘”等优良品种。以加工生产“顶级香米”“贡米”“粤香米”“金友花生油”为主，产品主销韶关、广州、深圳、赣州等地。</w:t>
      </w:r>
    </w:p>
    <w:p w14:paraId="2838F5CF">
      <w:pPr>
        <w:rPr>
          <w:rFonts w:hint="eastAsia" w:hAnsi="宋体" w:cs="宋体"/>
          <w:highlight w:val="none"/>
        </w:rPr>
      </w:pPr>
      <w:r>
        <w:rPr>
          <w:rFonts w:hint="eastAsia" w:hAnsi="宋体" w:cs="宋体"/>
          <w:highlight w:val="none"/>
        </w:rPr>
        <w:t>1996年3月，金友牌香米荣获“96中国名优食品博览会金奖”。</w:t>
      </w:r>
    </w:p>
    <w:p w14:paraId="552EDB68">
      <w:pPr>
        <w:rPr>
          <w:rFonts w:hint="eastAsia" w:hAnsi="宋体" w:cs="宋体"/>
          <w:highlight w:val="none"/>
        </w:rPr>
      </w:pPr>
      <w:r>
        <w:rPr>
          <w:rFonts w:hint="eastAsia" w:hAnsi="宋体" w:cs="宋体"/>
          <w:highlight w:val="none"/>
        </w:rPr>
        <w:t>1999年6月，金友牌香米获“首届广东青年‘三高’农业博览会金奖”，9月被评为“99中国国际农业博览会名牌产品”。</w:t>
      </w:r>
    </w:p>
    <w:p w14:paraId="30521EDC">
      <w:pPr>
        <w:rPr>
          <w:rFonts w:hint="eastAsia" w:hAnsi="宋体" w:cs="宋体"/>
          <w:highlight w:val="none"/>
        </w:rPr>
      </w:pPr>
      <w:r>
        <w:rPr>
          <w:rFonts w:hint="eastAsia" w:hAnsi="宋体" w:cs="宋体"/>
          <w:highlight w:val="none"/>
        </w:rPr>
        <w:t>2000年，在南雄市全安镇河塘村培育“米香粘”等优良品种。</w:t>
      </w:r>
    </w:p>
    <w:p w14:paraId="3CAC9053">
      <w:pPr>
        <w:rPr>
          <w:rFonts w:hint="eastAsia" w:hAnsi="宋体" w:cs="宋体"/>
          <w:highlight w:val="none"/>
        </w:rPr>
      </w:pPr>
      <w:r>
        <w:rPr>
          <w:rFonts w:hint="eastAsia" w:hAnsi="宋体" w:cs="宋体"/>
          <w:highlight w:val="none"/>
        </w:rPr>
        <w:t>2003年8月、2006年9月、2009年9月，“金友牌顶级香米”两次被广东省粮食行业协会授予“放心米”称号。</w:t>
      </w:r>
    </w:p>
    <w:p w14:paraId="7EEDACAD">
      <w:pPr>
        <w:rPr>
          <w:rFonts w:hint="eastAsia" w:hAnsi="宋体" w:cs="宋体"/>
          <w:highlight w:val="none"/>
        </w:rPr>
      </w:pPr>
      <w:r>
        <w:rPr>
          <w:rFonts w:hint="eastAsia" w:hAnsi="宋体" w:cs="宋体"/>
          <w:highlight w:val="none"/>
        </w:rPr>
        <w:t>2002年8月、2006年3月，南雄金友粮油集团有限公司两次被评为“韶关市农业龙头企业”。</w:t>
      </w:r>
    </w:p>
    <w:p w14:paraId="2940A4F6">
      <w:pPr>
        <w:rPr>
          <w:rFonts w:hint="eastAsia" w:hAnsi="宋体" w:cs="宋体"/>
          <w:highlight w:val="none"/>
        </w:rPr>
      </w:pPr>
      <w:r>
        <w:rPr>
          <w:rFonts w:hint="eastAsia" w:hAnsi="宋体" w:cs="宋体"/>
          <w:highlight w:val="none"/>
        </w:rPr>
        <w:t>2007年3月，“金友牌”贡米在韶关市首届旅游商品大赛中荣获“优秀旅游商品”。</w:t>
      </w:r>
    </w:p>
    <w:p w14:paraId="384142AB">
      <w:pPr>
        <w:rPr>
          <w:rFonts w:hint="eastAsia" w:hAnsi="宋体" w:cs="宋体"/>
          <w:highlight w:val="none"/>
        </w:rPr>
      </w:pPr>
      <w:r>
        <w:rPr>
          <w:rFonts w:hint="eastAsia" w:hAnsi="宋体" w:cs="宋体"/>
          <w:highlight w:val="none"/>
        </w:rPr>
        <w:t>2007年10月，“金友牌”优质米被评为“广东省名牌产品”。</w:t>
      </w:r>
    </w:p>
    <w:p w14:paraId="5A040EA2">
      <w:pPr>
        <w:rPr>
          <w:rFonts w:hint="eastAsia" w:hAnsi="宋体" w:cs="宋体"/>
          <w:highlight w:val="none"/>
        </w:rPr>
      </w:pPr>
      <w:r>
        <w:rPr>
          <w:rFonts w:hint="eastAsia" w:hAnsi="宋体" w:cs="宋体"/>
          <w:highlight w:val="none"/>
        </w:rPr>
        <w:t>2007年11月，“南雄金友粮油集团有限公司”改制成“广东金友集团有限公司”。下设“南雄市金友粮油食品加工有限公司”“南雄市乐达房地产开发有限公司”等。</w:t>
      </w:r>
    </w:p>
    <w:p w14:paraId="19EE4438">
      <w:pPr>
        <w:rPr>
          <w:rFonts w:hint="eastAsia" w:hAnsi="宋体" w:cs="宋体"/>
          <w:highlight w:val="none"/>
        </w:rPr>
      </w:pPr>
      <w:r>
        <w:rPr>
          <w:rFonts w:hint="eastAsia" w:hAnsi="宋体" w:cs="宋体"/>
          <w:highlight w:val="none"/>
        </w:rPr>
        <w:t>2008年9月，被广东省信息产业厅、南雄市人民政府评为“广东省信息兴农工程——山区信息化建设项目信息服务站”。</w:t>
      </w:r>
    </w:p>
    <w:p w14:paraId="523A9CCC">
      <w:pPr>
        <w:rPr>
          <w:rFonts w:hint="eastAsia" w:hAnsi="宋体" w:cs="宋体"/>
          <w:highlight w:val="none"/>
        </w:rPr>
      </w:pPr>
      <w:r>
        <w:rPr>
          <w:rFonts w:hint="eastAsia" w:hAnsi="宋体" w:cs="宋体"/>
          <w:highlight w:val="none"/>
        </w:rPr>
        <w:t>2008年12月，“金友牌”有机米通过香港有机认证中心的有机认证。</w:t>
      </w:r>
    </w:p>
    <w:p w14:paraId="2AD6AE63">
      <w:pPr>
        <w:rPr>
          <w:rFonts w:hint="eastAsia" w:hAnsi="宋体" w:cs="宋体"/>
          <w:highlight w:val="none"/>
        </w:rPr>
      </w:pPr>
      <w:r>
        <w:rPr>
          <w:rFonts w:hint="eastAsia" w:hAnsi="宋体" w:cs="宋体"/>
          <w:highlight w:val="none"/>
        </w:rPr>
        <w:t>2008年，广东金友集团有限公司被评为“广东省农业龙头企业”。</w:t>
      </w:r>
    </w:p>
    <w:p w14:paraId="0A2A5D39">
      <w:pPr>
        <w:rPr>
          <w:rFonts w:hint="eastAsia" w:hAnsi="宋体" w:cs="宋体"/>
          <w:highlight w:val="none"/>
        </w:rPr>
      </w:pPr>
      <w:r>
        <w:rPr>
          <w:rFonts w:hint="eastAsia" w:hAnsi="宋体" w:cs="宋体"/>
          <w:highlight w:val="none"/>
        </w:rPr>
        <w:t>2009年，被广东省科学技术厅评为“广东省星火技术产业带建设示范单位”。</w:t>
      </w:r>
    </w:p>
    <w:p w14:paraId="68D49C15">
      <w:pPr>
        <w:rPr>
          <w:rFonts w:hint="eastAsia" w:hAnsi="宋体" w:cs="宋体"/>
          <w:highlight w:val="none"/>
        </w:rPr>
      </w:pPr>
      <w:r>
        <w:rPr>
          <w:rFonts w:hint="eastAsia" w:hAnsi="宋体" w:cs="宋体"/>
          <w:highlight w:val="none"/>
        </w:rPr>
        <w:t>2009年2月，收购“韶华酒店”（现改名为金友大厦），投入服务使用。</w:t>
      </w:r>
    </w:p>
    <w:p w14:paraId="1E432D3E">
      <w:pPr>
        <w:rPr>
          <w:rFonts w:hint="eastAsia" w:hAnsi="宋体" w:cs="宋体"/>
          <w:highlight w:val="none"/>
        </w:rPr>
      </w:pPr>
      <w:r>
        <w:rPr>
          <w:rFonts w:hint="eastAsia" w:hAnsi="宋体" w:cs="宋体"/>
          <w:highlight w:val="none"/>
        </w:rPr>
        <w:t>2010年1月，金友米被广东省饮食文化研究会特产文化专业委员会评为“广东最具代表性的地方特产”。</w:t>
      </w:r>
    </w:p>
    <w:p w14:paraId="3F2E4B89">
      <w:pPr>
        <w:rPr>
          <w:rFonts w:hint="eastAsia" w:hAnsi="宋体" w:cs="宋体"/>
          <w:highlight w:val="none"/>
        </w:rPr>
      </w:pPr>
      <w:r>
        <w:rPr>
          <w:rFonts w:hint="eastAsia" w:hAnsi="宋体" w:cs="宋体"/>
          <w:highlight w:val="none"/>
        </w:rPr>
        <w:t>2010年3月，“金友”商标被评为“广东省著名商标”。</w:t>
      </w:r>
    </w:p>
    <w:p w14:paraId="67831AFF">
      <w:pPr>
        <w:rPr>
          <w:rFonts w:hint="eastAsia" w:hAnsi="宋体" w:cs="宋体"/>
          <w:highlight w:val="none"/>
        </w:rPr>
      </w:pPr>
      <w:r>
        <w:rPr>
          <w:rFonts w:hint="eastAsia" w:hAnsi="宋体" w:cs="宋体"/>
          <w:highlight w:val="none"/>
        </w:rPr>
        <w:t>2010年8月，被广东省经济动员办公室广东省军区后勤部评为“给养应急保障动员企业”。</w:t>
      </w:r>
    </w:p>
    <w:p w14:paraId="2A7EAB45">
      <w:pPr>
        <w:rPr>
          <w:rFonts w:hint="eastAsia" w:hAnsi="宋体" w:cs="宋体"/>
          <w:highlight w:val="none"/>
        </w:rPr>
      </w:pPr>
      <w:r>
        <w:rPr>
          <w:rFonts w:hint="eastAsia" w:hAnsi="宋体" w:cs="宋体"/>
          <w:highlight w:val="none"/>
        </w:rPr>
        <w:t>2010年9月，广东金友集团有限公司荣获“广东省林业龙头企业”称号。同年被广东省科学技术厅评为“广东省健康农业科技示范基地”。</w:t>
      </w:r>
    </w:p>
    <w:p w14:paraId="46F62681">
      <w:pPr>
        <w:rPr>
          <w:rFonts w:hint="eastAsia" w:hAnsi="宋体" w:cs="宋体"/>
          <w:highlight w:val="none"/>
        </w:rPr>
      </w:pPr>
      <w:r>
        <w:rPr>
          <w:rFonts w:hint="eastAsia" w:hAnsi="宋体" w:cs="宋体"/>
          <w:highlight w:val="none"/>
        </w:rPr>
        <w:t>2010年12月，金友集团被广东省农业厅评为“省级现代农业园区”。</w:t>
      </w:r>
    </w:p>
    <w:p w14:paraId="757FD1C2">
      <w:pPr>
        <w:rPr>
          <w:rFonts w:hint="eastAsia" w:hAnsi="宋体" w:cs="宋体"/>
          <w:highlight w:val="none"/>
        </w:rPr>
      </w:pPr>
      <w:r>
        <w:rPr>
          <w:rFonts w:hint="eastAsia" w:hAnsi="宋体" w:cs="宋体"/>
          <w:highlight w:val="none"/>
        </w:rPr>
        <w:t>2011年，“金友牌”贡米、粤香王（米）被中国绿色食品发展中心认证为绿色食品。</w:t>
      </w:r>
    </w:p>
    <w:p w14:paraId="23F43972">
      <w:pPr>
        <w:rPr>
          <w:rFonts w:hint="eastAsia" w:hAnsi="宋体" w:cs="宋体"/>
          <w:highlight w:val="none"/>
        </w:rPr>
      </w:pPr>
      <w:r>
        <w:rPr>
          <w:rFonts w:hint="eastAsia" w:hAnsi="宋体" w:cs="宋体"/>
          <w:highlight w:val="none"/>
        </w:rPr>
        <w:t>2011年10月，金友有机米被中国国际粮油产品及设备技术展览会组委会评为“第11届中国国际粮油产品及设备技术展览会金奖”。</w:t>
      </w:r>
    </w:p>
    <w:p w14:paraId="50D001FF">
      <w:pPr>
        <w:rPr>
          <w:rFonts w:hint="eastAsia" w:hAnsi="宋体" w:cs="宋体"/>
          <w:highlight w:val="none"/>
        </w:rPr>
      </w:pPr>
      <w:r>
        <w:rPr>
          <w:rFonts w:hint="eastAsia" w:hAnsi="宋体" w:cs="宋体"/>
          <w:highlight w:val="none"/>
        </w:rPr>
        <w:t>2011年11月，在第十届中国段质稻米博览交易会中获金奖。</w:t>
      </w:r>
    </w:p>
    <w:p w14:paraId="783C06DE">
      <w:pPr>
        <w:rPr>
          <w:rFonts w:hint="eastAsia" w:hAnsi="宋体" w:cs="宋体"/>
          <w:highlight w:val="none"/>
        </w:rPr>
      </w:pPr>
      <w:r>
        <w:rPr>
          <w:rFonts w:hint="eastAsia" w:hAnsi="宋体" w:cs="宋体"/>
          <w:highlight w:val="none"/>
        </w:rPr>
        <w:t>2012年，金友有机农产品加工仓储项目被评为“广东省现代产业500强（现代农业100强）项目”，成为仲恺学院校企协同培养基地，被国家经济动员办公室、总后勤部军需物资油料部定为“军用物资采购动员供应商”，被共青团韶关市会委评为“青年就业创业见习基地”，金友贡米被第十届中国国际农产品交易会组委会评为第十届中国国际农产品交易会金奖</w:t>
      </w:r>
    </w:p>
    <w:p w14:paraId="7CAE4079">
      <w:pPr>
        <w:rPr>
          <w:rFonts w:hint="eastAsia" w:hAnsi="宋体" w:cs="宋体"/>
          <w:highlight w:val="none"/>
        </w:rPr>
      </w:pPr>
      <w:r>
        <w:rPr>
          <w:rFonts w:hint="eastAsia" w:hAnsi="宋体" w:cs="宋体"/>
          <w:highlight w:val="none"/>
        </w:rPr>
        <w:t>2012年12月，教育部联同科技部、中国科学院将金友集团设为“企业科技特派员工作站”，被广东省粮食行业协会评为“广东粮食行业龙头企业”。</w:t>
      </w:r>
    </w:p>
    <w:p w14:paraId="256C444B">
      <w:pPr>
        <w:rPr>
          <w:rFonts w:hint="eastAsia" w:hAnsi="宋体" w:cs="宋体"/>
          <w:highlight w:val="none"/>
        </w:rPr>
      </w:pPr>
      <w:r>
        <w:rPr>
          <w:rFonts w:hint="eastAsia" w:hAnsi="宋体" w:cs="宋体"/>
          <w:highlight w:val="none"/>
        </w:rPr>
        <w:t>2013年7月，金友被广东省企业联合会、广东省企业家协会评为“广东省优秀自主品牌”。</w:t>
      </w:r>
    </w:p>
    <w:p w14:paraId="11199972">
      <w:pPr>
        <w:rPr>
          <w:rFonts w:hint="eastAsia" w:hAnsi="宋体" w:cs="宋体"/>
          <w:highlight w:val="none"/>
        </w:rPr>
      </w:pPr>
      <w:r>
        <w:rPr>
          <w:rFonts w:hint="eastAsia" w:hAnsi="宋体" w:cs="宋体"/>
          <w:highlight w:val="none"/>
        </w:rPr>
        <w:t>2013年10月，金友集团二塘基地被教育部、国家粮食局评为“全国中小学爱粮节粮教育社会实践基地”。</w:t>
      </w:r>
    </w:p>
    <w:p w14:paraId="36192044">
      <w:pPr>
        <w:rPr>
          <w:rFonts w:hint="eastAsia" w:hAnsi="宋体" w:cs="宋体"/>
          <w:highlight w:val="none"/>
        </w:rPr>
      </w:pPr>
      <w:r>
        <w:rPr>
          <w:rFonts w:hint="eastAsia" w:hAnsi="宋体" w:cs="宋体"/>
          <w:highlight w:val="none"/>
        </w:rPr>
        <w:t>2013年11月，金友集团二塘基地被农业部、共青团中央评为“全国青少年农业科普示范基地”。</w:t>
      </w:r>
    </w:p>
    <w:p w14:paraId="73E1B6EA">
      <w:pPr>
        <w:rPr>
          <w:rFonts w:hint="eastAsia" w:hAnsi="宋体" w:cs="宋体"/>
          <w:highlight w:val="none"/>
        </w:rPr>
      </w:pPr>
      <w:r>
        <w:rPr>
          <w:rFonts w:hint="eastAsia" w:hAnsi="宋体" w:cs="宋体"/>
          <w:highlight w:val="none"/>
        </w:rPr>
        <w:t>2013年12月，金友集团二塘基地被全国青少年食品安全科技创新实验行动领导小组办公室评为“全国青少年食品安全科技创新实验示范（南雄）基地”，被广东省人民政府评为广东省直通车服务重点企业，中国产学研合作促进授予中国产学研合作创新奖。</w:t>
      </w:r>
    </w:p>
    <w:p w14:paraId="0D782923">
      <w:pPr>
        <w:rPr>
          <w:rFonts w:hint="eastAsia" w:hAnsi="宋体" w:cs="宋体"/>
          <w:highlight w:val="none"/>
        </w:rPr>
      </w:pPr>
      <w:r>
        <w:rPr>
          <w:rFonts w:hint="eastAsia" w:hAnsi="宋体" w:cs="宋体"/>
          <w:highlight w:val="none"/>
        </w:rPr>
        <w:t>2014年1月，金友集团二塘基地被广东省人力资源和社会保障厅评为广东省博士后创新实践基地，成为韶关学院食品专业应用型人才校企协同培养基地，被广东省韶关市粮食局评为粮食应急加工企业，被共青团韶关市委员会评为韶关市五四红旗团支部（总支）标兵，被共青团南雄市会委评为先进基层团委。</w:t>
      </w:r>
    </w:p>
    <w:p w14:paraId="405E3BF9">
      <w:pPr>
        <w:rPr>
          <w:rFonts w:hint="eastAsia" w:hAnsi="宋体" w:cs="宋体"/>
          <w:highlight w:val="none"/>
        </w:rPr>
      </w:pPr>
      <w:r>
        <w:rPr>
          <w:rFonts w:hint="eastAsia" w:hAnsi="宋体" w:cs="宋体"/>
          <w:highlight w:val="none"/>
        </w:rPr>
        <w:t>2014年6月，金友集团被韶关市粮食行业协会评为韶关市粮食行业协会会员单位，被广东省菜篮子工程协会认定为广东省菜篮子工程协会常务理事单位。</w:t>
      </w:r>
    </w:p>
    <w:p w14:paraId="53D56E27">
      <w:pPr>
        <w:rPr>
          <w:rFonts w:hint="eastAsia" w:hAnsi="宋体" w:cs="宋体"/>
          <w:highlight w:val="none"/>
        </w:rPr>
      </w:pPr>
      <w:r>
        <w:rPr>
          <w:rFonts w:hint="eastAsia" w:hAnsi="宋体" w:cs="宋体"/>
          <w:highlight w:val="none"/>
        </w:rPr>
        <w:t>2014年8月，金友集团成为韶关市私营企业协会第四届（理事单位），被韶关市科学技术局设为韶关市稻米高植化工程技术研究开发中心。</w:t>
      </w:r>
    </w:p>
    <w:p w14:paraId="2221C754">
      <w:pPr>
        <w:rPr>
          <w:rFonts w:hint="eastAsia" w:hAnsi="宋体" w:cs="宋体"/>
          <w:highlight w:val="none"/>
        </w:rPr>
      </w:pPr>
      <w:r>
        <w:rPr>
          <w:rFonts w:hint="eastAsia" w:hAnsi="宋体" w:cs="宋体"/>
          <w:highlight w:val="none"/>
        </w:rPr>
        <w:t>2014年9月，金友集团被南雄市爱善义工联合会评为爱心企业。</w:t>
      </w:r>
    </w:p>
    <w:p w14:paraId="2BC7505C">
      <w:pPr>
        <w:rPr>
          <w:rFonts w:hint="eastAsia" w:hAnsi="宋体" w:cs="宋体"/>
          <w:highlight w:val="none"/>
        </w:rPr>
      </w:pPr>
      <w:r>
        <w:rPr>
          <w:rFonts w:hint="eastAsia" w:hAnsi="宋体" w:cs="宋体"/>
          <w:highlight w:val="none"/>
        </w:rPr>
        <w:t>2014年10月，金友集团被广东省安全生产协会评为安全生产标准化二级企业（轻工）。</w:t>
      </w:r>
    </w:p>
    <w:p w14:paraId="10B7DA81">
      <w:pPr>
        <w:rPr>
          <w:rFonts w:hint="eastAsia" w:hAnsi="宋体" w:cs="宋体"/>
          <w:highlight w:val="none"/>
        </w:rPr>
      </w:pPr>
      <w:r>
        <w:rPr>
          <w:rFonts w:hint="eastAsia" w:hAnsi="宋体" w:cs="宋体"/>
          <w:highlight w:val="none"/>
        </w:rPr>
        <w:t>2014年12月，金友贡米被广东省农业厅联合广东省科学技术厅等评为广东名米。</w:t>
      </w:r>
    </w:p>
    <w:p w14:paraId="208927E6">
      <w:pPr>
        <w:rPr>
          <w:rFonts w:hint="eastAsia" w:hAnsi="宋体" w:cs="宋体"/>
          <w:highlight w:val="none"/>
        </w:rPr>
      </w:pPr>
      <w:r>
        <w:rPr>
          <w:rFonts w:hint="eastAsia" w:hAnsi="宋体" w:cs="宋体"/>
          <w:highlight w:val="none"/>
        </w:rPr>
        <w:t>2015年1月，金友集团被广东省教育厅评为广东省联合培养研究生示范基地。</w:t>
      </w:r>
    </w:p>
    <w:p w14:paraId="22539D85">
      <w:pPr>
        <w:rPr>
          <w:rFonts w:hint="eastAsia" w:hAnsi="宋体" w:cs="宋体"/>
          <w:highlight w:val="none"/>
        </w:rPr>
      </w:pPr>
      <w:r>
        <w:rPr>
          <w:rFonts w:hint="eastAsia" w:hAnsi="宋体" w:cs="宋体"/>
          <w:highlight w:val="none"/>
        </w:rPr>
        <w:t>2015年3月，金友集团被广东省粮食行业协会评为2014年广东最具竞争力粮食企业，被韶关市消费者委员会评为2014年度诚信单位。</w:t>
      </w:r>
    </w:p>
    <w:p w14:paraId="1090EA8B">
      <w:pPr>
        <w:rPr>
          <w:rFonts w:hint="eastAsia" w:hAnsi="宋体" w:cs="宋体"/>
          <w:highlight w:val="none"/>
        </w:rPr>
      </w:pPr>
      <w:r>
        <w:rPr>
          <w:rFonts w:hint="eastAsia" w:hAnsi="宋体" w:cs="宋体"/>
          <w:highlight w:val="none"/>
        </w:rPr>
        <w:t>2015年10月，公司在广州股权交易中心挂牌展示。（吴高志）</w:t>
      </w:r>
    </w:p>
    <w:p w14:paraId="440C9039">
      <w:pPr>
        <w:rPr>
          <w:rFonts w:hint="eastAsia" w:hAnsi="宋体" w:eastAsia="宋体" w:cs="宋体"/>
          <w:highlight w:val="none"/>
          <w:lang w:eastAsia="zh-CN"/>
        </w:rPr>
      </w:pPr>
      <w:r>
        <w:rPr>
          <w:rFonts w:hint="eastAsia" w:hAnsi="宋体" w:cs="宋体"/>
          <w:highlight w:val="none"/>
        </w:rPr>
        <w:t>附：2015年广东金友集团公司领导班子成员名单</w:t>
      </w:r>
    </w:p>
    <w:p w14:paraId="5B822CEA">
      <w:pPr>
        <w:rPr>
          <w:rFonts w:hint="eastAsia" w:hAnsi="宋体" w:eastAsia="宋体" w:cs="宋体"/>
          <w:highlight w:val="none"/>
          <w:lang w:eastAsia="zh-CN"/>
        </w:rPr>
      </w:pPr>
      <w:r>
        <w:rPr>
          <w:rFonts w:hint="eastAsia" w:hAnsi="宋体" w:cs="宋体"/>
          <w:highlight w:val="none"/>
        </w:rPr>
        <w:t>董事长、总经理：康小松</w:t>
      </w:r>
    </w:p>
    <w:p w14:paraId="387EA0FD">
      <w:pPr>
        <w:rPr>
          <w:rFonts w:hint="eastAsia" w:hAnsi="宋体" w:eastAsia="宋体" w:cs="宋体"/>
          <w:highlight w:val="none"/>
          <w:lang w:eastAsia="zh-CN"/>
        </w:rPr>
      </w:pPr>
      <w:r>
        <w:rPr>
          <w:rFonts w:hint="eastAsia" w:hAnsi="宋体" w:cs="宋体"/>
          <w:highlight w:val="none"/>
        </w:rPr>
        <w:t>副总经理：黄良荣</w:t>
      </w:r>
    </w:p>
    <w:p w14:paraId="632AD54C">
      <w:pPr>
        <w:rPr>
          <w:rFonts w:hint="eastAsia" w:hAnsi="宋体" w:eastAsia="宋体" w:cs="宋体"/>
          <w:highlight w:val="none"/>
          <w:lang w:eastAsia="zh-CN"/>
        </w:rPr>
      </w:pPr>
      <w:r>
        <w:rPr>
          <w:rFonts w:hint="eastAsia" w:hAnsi="宋体" w:cs="宋体"/>
          <w:highlight w:val="none"/>
        </w:rPr>
        <w:t>总经理助理：刘光华（5月任）</w:t>
      </w:r>
    </w:p>
    <w:p w14:paraId="14669B6D">
      <w:pPr>
        <w:pStyle w:val="2"/>
        <w:rPr>
          <w:rFonts w:hint="eastAsia"/>
          <w:highlight w:val="none"/>
        </w:rPr>
      </w:pPr>
      <w:r>
        <w:rPr>
          <w:highlight w:val="none"/>
        </w:rPr>
        <w:br w:type="page"/>
      </w:r>
      <w:r>
        <w:rPr>
          <w:rFonts w:hint="eastAsia"/>
          <w:highlight w:val="none"/>
        </w:rPr>
        <w:t>农林水·气象</w:t>
      </w:r>
    </w:p>
    <w:p w14:paraId="089D295F">
      <w:pPr>
        <w:pStyle w:val="3"/>
        <w:bidi w:val="0"/>
        <w:rPr>
          <w:rFonts w:hint="eastAsia"/>
          <w:highlight w:val="none"/>
        </w:rPr>
      </w:pPr>
      <w:r>
        <w:rPr>
          <w:rFonts w:hint="eastAsia"/>
          <w:highlight w:val="none"/>
        </w:rPr>
        <w:t>农业</w:t>
      </w:r>
    </w:p>
    <w:p w14:paraId="12125B84">
      <w:pPr>
        <w:pStyle w:val="4"/>
        <w:bidi w:val="0"/>
        <w:rPr>
          <w:rFonts w:hint="eastAsia"/>
          <w:highlight w:val="none"/>
        </w:rPr>
      </w:pPr>
      <w:r>
        <w:rPr>
          <w:rFonts w:hint="eastAsia"/>
          <w:highlight w:val="none"/>
        </w:rPr>
        <w:t>【概况】</w:t>
      </w:r>
    </w:p>
    <w:p w14:paraId="6A9C2A41">
      <w:pPr>
        <w:rPr>
          <w:rFonts w:hint="eastAsia" w:hAnsi="宋体" w:cs="宋体"/>
          <w:highlight w:val="none"/>
        </w:rPr>
      </w:pPr>
      <w:r>
        <w:rPr>
          <w:rFonts w:hint="eastAsia" w:hAnsi="宋体" w:cs="宋体"/>
          <w:highlight w:val="none"/>
        </w:rPr>
        <w:t>南雄市农业局，加挂中共南雄市委农村工作办公室，是南雄市人民政府直属的正科级工作部门。经南雄市编委会研究，2015年1月13日撤销农村财务管理办公室；2015年6月16日，设立“南雄市不动产登记中心”，由南雄市农业局划转1名行政编制；2015年9月11日，将南雄市农业局承担的农业综合开发职责划转市财政局承担，并从南雄市农业局划转2名行政编制到市财政局。至此，南雄市机关行政编制23名，在编23名，后勤服务人员3名。内设8个职能股室：办公室、人事股、政策法规股、农村新能源建设股、农村经济体制与经营管理股（市农村集体资产管理与财务审计办公室）、科教信息股、种养业管理办公室、财务与审计股</w:t>
      </w:r>
      <w:r>
        <w:rPr>
          <w:rFonts w:hint="eastAsia" w:hAnsi="宋体" w:cs="宋体"/>
          <w:highlight w:val="none"/>
          <w:lang w:eastAsia="zh-CN"/>
        </w:rPr>
        <w:t>（</w:t>
      </w:r>
      <w:r>
        <w:rPr>
          <w:rFonts w:hint="eastAsia" w:hAnsi="宋体" w:cs="宋体"/>
          <w:highlight w:val="none"/>
        </w:rPr>
        <w:t>发展计划股</w:t>
      </w:r>
      <w:r>
        <w:rPr>
          <w:rFonts w:hint="eastAsia" w:hAnsi="宋体" w:cs="宋体"/>
          <w:highlight w:val="none"/>
          <w:lang w:eastAsia="zh-CN"/>
        </w:rPr>
        <w:t>）</w:t>
      </w:r>
      <w:r>
        <w:rPr>
          <w:rFonts w:hint="eastAsia" w:hAnsi="宋体" w:cs="宋体"/>
          <w:highlight w:val="none"/>
        </w:rPr>
        <w:t>。下设7个事业单位：种子站、农技推广中心、扶贫办、农产品质量安全监督检测站、植保植检管理站、农业科学研究所、农业示范场。其中，种子站、农技推广中心为副科级事业单位。</w:t>
      </w:r>
    </w:p>
    <w:p w14:paraId="4F1C3ACC">
      <w:pPr>
        <w:rPr>
          <w:rFonts w:hint="eastAsia" w:hAnsi="宋体" w:cs="宋体"/>
          <w:highlight w:val="none"/>
        </w:rPr>
      </w:pPr>
      <w:r>
        <w:rPr>
          <w:rFonts w:hint="eastAsia" w:hAnsi="宋体" w:cs="宋体"/>
          <w:highlight w:val="none"/>
        </w:rPr>
        <w:t>2015年，完成农业总产值41</w:t>
      </w:r>
      <w:r>
        <w:rPr>
          <w:rFonts w:hint="eastAsia" w:ascii="MingLiU_HKSCS" w:hAnsi="MingLiU_HKSCS" w:eastAsia="MingLiU_HKSCS" w:cs="MingLiU_HKSCS"/>
          <w:highlight w:val="none"/>
        </w:rPr>
        <w:t>.</w:t>
      </w:r>
      <w:r>
        <w:rPr>
          <w:rFonts w:hint="eastAsia" w:hAnsi="宋体" w:cs="宋体"/>
          <w:highlight w:val="none"/>
        </w:rPr>
        <w:t>9亿元，同比增长4%；实现农业增加值25</w:t>
      </w:r>
      <w:r>
        <w:rPr>
          <w:rFonts w:hint="eastAsia" w:ascii="MingLiU_HKSCS" w:hAnsi="MingLiU_HKSCS" w:eastAsia="MingLiU_HKSCS" w:cs="MingLiU_HKSCS"/>
          <w:highlight w:val="none"/>
        </w:rPr>
        <w:t>.</w:t>
      </w:r>
      <w:r>
        <w:rPr>
          <w:rFonts w:hint="eastAsia" w:hAnsi="宋体" w:cs="宋体"/>
          <w:highlight w:val="none"/>
        </w:rPr>
        <w:t>9亿元，同比增长4</w:t>
      </w:r>
      <w:r>
        <w:rPr>
          <w:rFonts w:hint="eastAsia" w:ascii="MingLiU_HKSCS" w:hAnsi="MingLiU_HKSCS" w:eastAsia="MingLiU_HKSCS" w:cs="MingLiU_HKSCS"/>
          <w:highlight w:val="none"/>
        </w:rPr>
        <w:t>.</w:t>
      </w:r>
      <w:r>
        <w:rPr>
          <w:rFonts w:hint="eastAsia" w:hAnsi="宋体" w:cs="宋体"/>
          <w:highlight w:val="none"/>
        </w:rPr>
        <w:t>2%</w:t>
      </w:r>
      <w:r>
        <w:rPr>
          <w:rFonts w:hint="eastAsia" w:hAnsi="宋体" w:cs="宋体"/>
          <w:highlight w:val="none"/>
          <w:lang w:eastAsia="zh-CN"/>
        </w:rPr>
        <w:t>；</w:t>
      </w:r>
      <w:r>
        <w:rPr>
          <w:rFonts w:hint="eastAsia" w:hAnsi="宋体" w:cs="宋体"/>
          <w:highlight w:val="none"/>
        </w:rPr>
        <w:t>农村居民人均可支配收入</w:t>
      </w:r>
      <w:r>
        <w:rPr>
          <w:rFonts w:hint="eastAsia" w:hAnsi="宋体" w:cs="宋体"/>
          <w:highlight w:val="none"/>
          <w:lang w:eastAsia="zh-CN"/>
        </w:rPr>
        <w:t>（</w:t>
      </w:r>
      <w:r>
        <w:rPr>
          <w:rFonts w:hint="eastAsia" w:hAnsi="宋体" w:cs="宋体"/>
          <w:highlight w:val="none"/>
        </w:rPr>
        <w:t>预计</w:t>
      </w:r>
      <w:r>
        <w:rPr>
          <w:rFonts w:hint="eastAsia" w:hAnsi="宋体" w:cs="宋体"/>
          <w:highlight w:val="none"/>
          <w:lang w:eastAsia="zh-CN"/>
        </w:rPr>
        <w:t>）</w:t>
      </w:r>
      <w:r>
        <w:rPr>
          <w:rFonts w:hint="eastAsia" w:hAnsi="宋体" w:cs="宋体"/>
          <w:highlight w:val="none"/>
        </w:rPr>
        <w:t>达到11000元，同比增长10%。</w:t>
      </w:r>
    </w:p>
    <w:p w14:paraId="3259D83C">
      <w:pPr>
        <w:pStyle w:val="4"/>
        <w:bidi w:val="0"/>
        <w:rPr>
          <w:rFonts w:hint="eastAsia"/>
          <w:highlight w:val="none"/>
        </w:rPr>
      </w:pPr>
      <w:r>
        <w:rPr>
          <w:rFonts w:hint="eastAsia"/>
          <w:highlight w:val="none"/>
        </w:rPr>
        <w:t>【落实国家强农惠农政策】</w:t>
      </w:r>
    </w:p>
    <w:p w14:paraId="587AB109">
      <w:pPr>
        <w:rPr>
          <w:rFonts w:hint="eastAsia" w:hAnsi="宋体" w:cs="宋体"/>
          <w:highlight w:val="none"/>
        </w:rPr>
      </w:pPr>
      <w:r>
        <w:rPr>
          <w:rFonts w:hint="eastAsia" w:hAnsi="宋体" w:cs="宋体"/>
          <w:highlight w:val="none"/>
        </w:rPr>
        <w:t>2015年发放水稻良种补贴5902906</w:t>
      </w:r>
      <w:r>
        <w:rPr>
          <w:rFonts w:hint="eastAsia" w:ascii="MingLiU_HKSCS" w:hAnsi="MingLiU_HKSCS" w:eastAsia="MingLiU_HKSCS" w:cs="MingLiU_HKSCS"/>
          <w:highlight w:val="none"/>
        </w:rPr>
        <w:t>.</w:t>
      </w:r>
      <w:r>
        <w:rPr>
          <w:rFonts w:hint="eastAsia" w:hAnsi="宋体" w:cs="宋体"/>
          <w:highlight w:val="none"/>
        </w:rPr>
        <w:t>2元（中央补助15元/亩），发放水稻综合补贴2400</w:t>
      </w:r>
      <w:r>
        <w:rPr>
          <w:rFonts w:hint="eastAsia" w:ascii="MingLiU_HKSCS" w:hAnsi="MingLiU_HKSCS" w:eastAsia="MingLiU_HKSCS" w:cs="MingLiU_HKSCS"/>
          <w:highlight w:val="none"/>
        </w:rPr>
        <w:t>.</w:t>
      </w:r>
      <w:r>
        <w:rPr>
          <w:rFonts w:hint="eastAsia" w:hAnsi="宋体" w:cs="宋体"/>
          <w:highlight w:val="none"/>
        </w:rPr>
        <w:t>51万元（中央补助61元/亩），发放水稻直接补贴314</w:t>
      </w:r>
      <w:r>
        <w:rPr>
          <w:rFonts w:hint="eastAsia" w:ascii="MingLiU_HKSCS" w:hAnsi="MingLiU_HKSCS" w:eastAsia="MingLiU_HKSCS" w:cs="MingLiU_HKSCS"/>
          <w:highlight w:val="none"/>
        </w:rPr>
        <w:t>.</w:t>
      </w:r>
      <w:r>
        <w:rPr>
          <w:rFonts w:hint="eastAsia" w:hAnsi="宋体" w:cs="宋体"/>
          <w:highlight w:val="none"/>
        </w:rPr>
        <w:t>82万元（其中省级补助4元/亩、韶关市级补助2元/亩、南雄市财政补助2元/亩）。落实农机购置补贴450万元，能繁母猪保险167</w:t>
      </w:r>
      <w:r>
        <w:rPr>
          <w:rFonts w:hint="eastAsia" w:ascii="MingLiU_HKSCS" w:hAnsi="MingLiU_HKSCS" w:eastAsia="MingLiU_HKSCS" w:cs="MingLiU_HKSCS"/>
          <w:highlight w:val="none"/>
        </w:rPr>
        <w:t>.</w:t>
      </w:r>
      <w:r>
        <w:rPr>
          <w:rFonts w:hint="eastAsia" w:hAnsi="宋体" w:cs="宋体"/>
          <w:highlight w:val="none"/>
        </w:rPr>
        <w:t>97万元（保费为60元/头，其中中央补助24元、省级配套21元、韶关市级配套4元、南雄市财政配套4元、农户负担7元），政策性水稻种植保险784</w:t>
      </w:r>
      <w:r>
        <w:rPr>
          <w:rFonts w:hint="eastAsia" w:ascii="MingLiU_HKSCS" w:hAnsi="MingLiU_HKSCS" w:eastAsia="MingLiU_HKSCS" w:cs="MingLiU_HKSCS"/>
          <w:highlight w:val="none"/>
        </w:rPr>
        <w:t>.</w:t>
      </w:r>
      <w:r>
        <w:rPr>
          <w:rFonts w:hint="eastAsia" w:hAnsi="宋体" w:cs="宋体"/>
          <w:highlight w:val="none"/>
        </w:rPr>
        <w:t>43万元，赔款支出61</w:t>
      </w:r>
      <w:r>
        <w:rPr>
          <w:rFonts w:hint="eastAsia" w:ascii="MingLiU_HKSCS" w:hAnsi="MingLiU_HKSCS" w:eastAsia="MingLiU_HKSCS" w:cs="MingLiU_HKSCS"/>
          <w:highlight w:val="none"/>
        </w:rPr>
        <w:t>.</w:t>
      </w:r>
      <w:r>
        <w:rPr>
          <w:rFonts w:hint="eastAsia" w:hAnsi="宋体" w:cs="宋体"/>
          <w:highlight w:val="none"/>
        </w:rPr>
        <w:t>74万元（每亩保额为400元，费率为5%，每亩保费20元，其中中央财政补贴7元、省财政补贴6元、韶关市财政补贴1</w:t>
      </w:r>
      <w:r>
        <w:rPr>
          <w:rFonts w:hint="eastAsia" w:ascii="MingLiU_HKSCS" w:hAnsi="MingLiU_HKSCS" w:eastAsia="MingLiU_HKSCS" w:cs="MingLiU_HKSCS"/>
          <w:highlight w:val="none"/>
        </w:rPr>
        <w:t>.</w:t>
      </w:r>
      <w:r>
        <w:rPr>
          <w:rFonts w:hint="eastAsia" w:hAnsi="宋体" w:cs="宋体"/>
          <w:highlight w:val="none"/>
        </w:rPr>
        <w:t>5元、南雄市财政补贴1</w:t>
      </w:r>
      <w:r>
        <w:rPr>
          <w:rFonts w:hint="eastAsia" w:ascii="MingLiU_HKSCS" w:hAnsi="MingLiU_HKSCS" w:eastAsia="MingLiU_HKSCS" w:cs="MingLiU_HKSCS"/>
          <w:highlight w:val="none"/>
        </w:rPr>
        <w:t>.</w:t>
      </w:r>
      <w:r>
        <w:rPr>
          <w:rFonts w:hint="eastAsia" w:hAnsi="宋体" w:cs="宋体"/>
          <w:highlight w:val="none"/>
        </w:rPr>
        <w:t>5元、农户承担4元）。</w:t>
      </w:r>
    </w:p>
    <w:p w14:paraId="7619F647">
      <w:pPr>
        <w:pStyle w:val="4"/>
        <w:bidi w:val="0"/>
        <w:rPr>
          <w:rFonts w:hint="eastAsia"/>
          <w:highlight w:val="none"/>
        </w:rPr>
      </w:pPr>
      <w:r>
        <w:rPr>
          <w:rFonts w:hint="eastAsia"/>
          <w:highlight w:val="none"/>
        </w:rPr>
        <w:t>【农业生产】</w:t>
      </w:r>
    </w:p>
    <w:p w14:paraId="7AE8E7BD">
      <w:pPr>
        <w:rPr>
          <w:rFonts w:hint="eastAsia" w:hAnsi="宋体" w:cs="宋体"/>
          <w:highlight w:val="none"/>
        </w:rPr>
      </w:pPr>
      <w:r>
        <w:rPr>
          <w:rFonts w:hint="eastAsia" w:hAnsi="宋体" w:cs="宋体"/>
          <w:highlight w:val="none"/>
        </w:rPr>
        <w:t>2015年，完成粮食播种面积54</w:t>
      </w:r>
      <w:r>
        <w:rPr>
          <w:rFonts w:hint="eastAsia" w:ascii="MingLiU_HKSCS" w:hAnsi="MingLiU_HKSCS" w:eastAsia="MingLiU_HKSCS" w:cs="MingLiU_HKSCS"/>
          <w:highlight w:val="none"/>
        </w:rPr>
        <w:t>.</w:t>
      </w:r>
      <w:r>
        <w:rPr>
          <w:rFonts w:hint="eastAsia" w:hAnsi="宋体" w:cs="宋体"/>
          <w:highlight w:val="none"/>
        </w:rPr>
        <w:t>12万亩，总产量21</w:t>
      </w:r>
      <w:r>
        <w:rPr>
          <w:rFonts w:hint="eastAsia" w:ascii="MingLiU_HKSCS" w:hAnsi="MingLiU_HKSCS" w:eastAsia="MingLiU_HKSCS" w:cs="MingLiU_HKSCS"/>
          <w:highlight w:val="none"/>
        </w:rPr>
        <w:t>.</w:t>
      </w:r>
      <w:r>
        <w:rPr>
          <w:rFonts w:hint="eastAsia" w:hAnsi="宋体" w:cs="宋体"/>
          <w:highlight w:val="none"/>
        </w:rPr>
        <w:t>38万吨；水稻播种面积44</w:t>
      </w:r>
      <w:r>
        <w:rPr>
          <w:rFonts w:hint="eastAsia" w:ascii="MingLiU_HKSCS" w:hAnsi="MingLiU_HKSCS" w:eastAsia="MingLiU_HKSCS" w:cs="MingLiU_HKSCS"/>
          <w:highlight w:val="none"/>
        </w:rPr>
        <w:t>.</w:t>
      </w:r>
      <w:r>
        <w:rPr>
          <w:rFonts w:hint="eastAsia" w:hAnsi="宋体" w:cs="宋体"/>
          <w:highlight w:val="none"/>
        </w:rPr>
        <w:t>91万亩，总产量19</w:t>
      </w:r>
      <w:r>
        <w:rPr>
          <w:rFonts w:hint="eastAsia" w:ascii="MingLiU_HKSCS" w:hAnsi="MingLiU_HKSCS" w:eastAsia="MingLiU_HKSCS" w:cs="MingLiU_HKSCS"/>
          <w:highlight w:val="none"/>
        </w:rPr>
        <w:t>.</w:t>
      </w:r>
      <w:r>
        <w:rPr>
          <w:rFonts w:hint="eastAsia" w:hAnsi="宋体" w:cs="宋体"/>
          <w:highlight w:val="none"/>
        </w:rPr>
        <w:t>30万吨。黄烟种植面积9</w:t>
      </w:r>
      <w:r>
        <w:rPr>
          <w:rFonts w:hint="eastAsia" w:ascii="MingLiU_HKSCS" w:hAnsi="MingLiU_HKSCS" w:eastAsia="MingLiU_HKSCS" w:cs="MingLiU_HKSCS"/>
          <w:highlight w:val="none"/>
        </w:rPr>
        <w:t>.</w:t>
      </w:r>
      <w:r>
        <w:rPr>
          <w:rFonts w:hint="eastAsia" w:hAnsi="宋体" w:cs="宋体"/>
          <w:highlight w:val="none"/>
        </w:rPr>
        <w:t>16万亩，收购26</w:t>
      </w:r>
      <w:r>
        <w:rPr>
          <w:rFonts w:hint="eastAsia" w:ascii="MingLiU_HKSCS" w:hAnsi="MingLiU_HKSCS" w:eastAsia="MingLiU_HKSCS" w:cs="MingLiU_HKSCS"/>
          <w:highlight w:val="none"/>
        </w:rPr>
        <w:t>.</w:t>
      </w:r>
      <w:r>
        <w:rPr>
          <w:rFonts w:hint="eastAsia" w:hAnsi="宋体" w:cs="宋体"/>
          <w:highlight w:val="none"/>
        </w:rPr>
        <w:t>493万担，实现收购金额3</w:t>
      </w:r>
      <w:r>
        <w:rPr>
          <w:rFonts w:hint="eastAsia" w:ascii="MingLiU_HKSCS" w:hAnsi="MingLiU_HKSCS" w:eastAsia="MingLiU_HKSCS" w:cs="MingLiU_HKSCS"/>
          <w:highlight w:val="none"/>
        </w:rPr>
        <w:t>.</w:t>
      </w:r>
      <w:r>
        <w:rPr>
          <w:rFonts w:hint="eastAsia" w:hAnsi="宋体" w:cs="宋体"/>
          <w:highlight w:val="none"/>
        </w:rPr>
        <w:t>25亿元。位于雄州街道、珠玑镇、湖口镇、乌迳镇4个花生高产示范片平均亩产达到321</w:t>
      </w:r>
      <w:r>
        <w:rPr>
          <w:rFonts w:hint="eastAsia" w:ascii="MingLiU_HKSCS" w:hAnsi="MingLiU_HKSCS" w:eastAsia="MingLiU_HKSCS" w:cs="MingLiU_HKSCS"/>
          <w:highlight w:val="none"/>
        </w:rPr>
        <w:t>.</w:t>
      </w:r>
      <w:r>
        <w:rPr>
          <w:rFonts w:hint="eastAsia" w:hAnsi="宋体" w:cs="宋体"/>
          <w:highlight w:val="none"/>
        </w:rPr>
        <w:t>9公斤，比预定亩产目标增产21</w:t>
      </w:r>
      <w:r>
        <w:rPr>
          <w:rFonts w:hint="eastAsia" w:ascii="MingLiU_HKSCS" w:hAnsi="MingLiU_HKSCS" w:eastAsia="MingLiU_HKSCS" w:cs="MingLiU_HKSCS"/>
          <w:highlight w:val="none"/>
        </w:rPr>
        <w:t>.</w:t>
      </w:r>
      <w:r>
        <w:rPr>
          <w:rFonts w:hint="eastAsia" w:hAnsi="宋体" w:cs="宋体"/>
          <w:highlight w:val="none"/>
        </w:rPr>
        <w:t>9公斤，增产效果显著。</w:t>
      </w:r>
    </w:p>
    <w:p w14:paraId="50EFFDF7">
      <w:pPr>
        <w:pStyle w:val="4"/>
        <w:bidi w:val="0"/>
        <w:rPr>
          <w:rFonts w:hint="eastAsia"/>
          <w:highlight w:val="none"/>
        </w:rPr>
      </w:pPr>
      <w:r>
        <w:rPr>
          <w:rFonts w:hint="eastAsia"/>
          <w:highlight w:val="none"/>
        </w:rPr>
        <w:t>【科技兴农】</w:t>
      </w:r>
    </w:p>
    <w:p w14:paraId="1DF3BF83">
      <w:pPr>
        <w:rPr>
          <w:rFonts w:hint="eastAsia" w:hAnsi="宋体" w:cs="宋体"/>
          <w:highlight w:val="none"/>
        </w:rPr>
      </w:pPr>
      <w:r>
        <w:rPr>
          <w:rFonts w:hint="eastAsia" w:hAnsi="宋体" w:cs="宋体"/>
          <w:highlight w:val="none"/>
        </w:rPr>
        <w:t>2015年，完成国家、省、市试验示范新品种240个；举办各类农业科技培训班40多期，参训干部群众达5000人次，印发科技培训资料2</w:t>
      </w:r>
      <w:r>
        <w:rPr>
          <w:rFonts w:hint="eastAsia" w:ascii="MingLiU_HKSCS" w:hAnsi="MingLiU_HKSCS" w:eastAsia="MingLiU_HKSCS" w:cs="MingLiU_HKSCS"/>
          <w:highlight w:val="none"/>
        </w:rPr>
        <w:t>.</w:t>
      </w:r>
      <w:r>
        <w:rPr>
          <w:rFonts w:hint="eastAsia" w:hAnsi="宋体" w:cs="宋体"/>
          <w:highlight w:val="none"/>
        </w:rPr>
        <w:t>3万份。推广使用水稻、花生配方肥，印发测土配方施肥技术手册10万份。遴选80名农技人员作为技术指导员，筛选800户科技示范户，通过采取集中办班、入户座谈、田间指导等多种有效形式，辐射带动8000农户使用农业新品种、新技术，使科技培训直接到户，良种良法直接到田。市农科所凭借名特新蔬菜“绿星秋葵”的引进与推广获得韶关市科技进步三等奖。</w:t>
      </w:r>
    </w:p>
    <w:p w14:paraId="364543BF">
      <w:pPr>
        <w:pStyle w:val="4"/>
        <w:bidi w:val="0"/>
        <w:rPr>
          <w:rFonts w:hint="eastAsia"/>
          <w:highlight w:val="none"/>
        </w:rPr>
      </w:pPr>
      <w:r>
        <w:rPr>
          <w:rFonts w:hint="eastAsia"/>
          <w:highlight w:val="none"/>
        </w:rPr>
        <w:t>【社会主义新农村建设】</w:t>
      </w:r>
    </w:p>
    <w:p w14:paraId="2E6495F9">
      <w:pPr>
        <w:rPr>
          <w:rFonts w:hint="eastAsia" w:hAnsi="宋体" w:cs="宋体"/>
          <w:highlight w:val="none"/>
        </w:rPr>
      </w:pPr>
      <w:r>
        <w:rPr>
          <w:rFonts w:hint="eastAsia" w:hAnsi="宋体" w:cs="宋体"/>
          <w:highlight w:val="none"/>
        </w:rPr>
        <w:t>完成2014年度国家农业综合开发项目、2012—2014年3个年度高标准基本农田建设项目、34个村级公益事业“一事一议”和2个名村5个示范村等项目建设。实施省“美丽乡村”建设试点和省级幸福村居示范片坪田镇“千年银杏走廊”建设工作。成功竞得省级新农村示范片建设项目，并获得1亿元的省级财政补助资金。经国家批准，列入全国休闲农业与乡村旅游示范县。</w:t>
      </w:r>
    </w:p>
    <w:p w14:paraId="385508CB">
      <w:pPr>
        <w:pStyle w:val="4"/>
        <w:bidi w:val="0"/>
        <w:rPr>
          <w:rFonts w:hint="eastAsia"/>
          <w:highlight w:val="none"/>
        </w:rPr>
      </w:pPr>
      <w:r>
        <w:rPr>
          <w:rFonts w:hint="eastAsia"/>
          <w:highlight w:val="none"/>
        </w:rPr>
        <w:t>【农业安全生产】</w:t>
      </w:r>
    </w:p>
    <w:p w14:paraId="4AF107D4">
      <w:pPr>
        <w:rPr>
          <w:rFonts w:hint="eastAsia" w:hAnsi="宋体" w:cs="宋体"/>
          <w:highlight w:val="none"/>
        </w:rPr>
      </w:pPr>
      <w:r>
        <w:rPr>
          <w:rFonts w:hint="eastAsia" w:hAnsi="宋体" w:cs="宋体"/>
          <w:highlight w:val="none"/>
        </w:rPr>
        <w:t>密切监测农作物病虫害发生趋势，发出病虫情报28期，发布病虫信息及农业病虫测报电视栏目47期，发放《除虫警报》20万份，测报准确率100%。组织技术人员对城区中学、市迎宾馆、财政局招待所及郊区蔬菜菜地、全市规模较大的基地开展农残例行检测，2015年，抽检蔬菜样品2760个，其中，合格2728个，合格率为98</w:t>
      </w:r>
      <w:r>
        <w:rPr>
          <w:rFonts w:hint="eastAsia" w:ascii="MingLiU_HKSCS" w:hAnsi="MingLiU_HKSCS" w:eastAsia="MingLiU_HKSCS" w:cs="MingLiU_HKSCS"/>
          <w:highlight w:val="none"/>
        </w:rPr>
        <w:t>.</w:t>
      </w:r>
      <w:r>
        <w:rPr>
          <w:rFonts w:hint="eastAsia" w:hAnsi="宋体" w:cs="宋体"/>
          <w:highlight w:val="none"/>
        </w:rPr>
        <w:t>84%；兽残速测抽取尿样108个，合格107个，合格率为99</w:t>
      </w:r>
      <w:r>
        <w:rPr>
          <w:rFonts w:hint="eastAsia" w:ascii="MingLiU_HKSCS" w:hAnsi="MingLiU_HKSCS" w:eastAsia="MingLiU_HKSCS" w:cs="MingLiU_HKSCS"/>
          <w:highlight w:val="none"/>
        </w:rPr>
        <w:t>.</w:t>
      </w:r>
      <w:r>
        <w:rPr>
          <w:rFonts w:hint="eastAsia" w:hAnsi="宋体" w:cs="宋体"/>
          <w:highlight w:val="none"/>
        </w:rPr>
        <w:t>07%，为市民“舌尖上”安全提供有力保障。加大农业执法力度，2015年出动执法人员3620人次，检查企业905家次，查获种子、肥料、农药等违法农资产品9651千克</w:t>
      </w:r>
      <w:r>
        <w:rPr>
          <w:rFonts w:hint="eastAsia" w:hAnsi="宋体" w:cs="宋体"/>
          <w:highlight w:val="none"/>
          <w:lang w:eastAsia="zh-CN"/>
        </w:rPr>
        <w:t>，</w:t>
      </w:r>
      <w:r>
        <w:rPr>
          <w:rFonts w:hint="eastAsia" w:hAnsi="宋体" w:cs="宋体"/>
          <w:highlight w:val="none"/>
        </w:rPr>
        <w:t>依法查处农资案件32宗</w:t>
      </w:r>
      <w:r>
        <w:rPr>
          <w:rFonts w:hint="eastAsia" w:hAnsi="宋体" w:cs="宋体"/>
          <w:highlight w:val="none"/>
          <w:lang w:eastAsia="zh-CN"/>
        </w:rPr>
        <w:t>，</w:t>
      </w:r>
      <w:r>
        <w:rPr>
          <w:rFonts w:hint="eastAsia" w:hAnsi="宋体" w:cs="宋体"/>
          <w:highlight w:val="none"/>
        </w:rPr>
        <w:t>其中种子案1宗、化肥6宗、农药25宗并全部结案，罚没款近30万元。</w:t>
      </w:r>
    </w:p>
    <w:p w14:paraId="175DF89D">
      <w:pPr>
        <w:pStyle w:val="4"/>
        <w:bidi w:val="0"/>
        <w:rPr>
          <w:rFonts w:hint="eastAsia"/>
          <w:highlight w:val="none"/>
        </w:rPr>
      </w:pPr>
      <w:r>
        <w:rPr>
          <w:rFonts w:hint="eastAsia"/>
          <w:highlight w:val="none"/>
        </w:rPr>
        <w:t>【农业产业化发展】</w:t>
      </w:r>
    </w:p>
    <w:p w14:paraId="7701A973">
      <w:pPr>
        <w:rPr>
          <w:rFonts w:hint="eastAsia" w:hAnsi="宋体" w:cs="宋体"/>
          <w:highlight w:val="none"/>
        </w:rPr>
      </w:pPr>
      <w:r>
        <w:rPr>
          <w:rFonts w:hint="eastAsia" w:hAnsi="宋体" w:cs="宋体"/>
          <w:highlight w:val="none"/>
        </w:rPr>
        <w:t>截至2015年，有广东金友集团有限公司等7家省、市级农业龙头企业，采取“公司＋基地+农户”的运作模式，带动农户2</w:t>
      </w:r>
      <w:r>
        <w:rPr>
          <w:rFonts w:hint="eastAsia" w:ascii="MingLiU_HKSCS" w:hAnsi="MingLiU_HKSCS" w:eastAsia="MingLiU_HKSCS" w:cs="MingLiU_HKSCS"/>
          <w:highlight w:val="none"/>
        </w:rPr>
        <w:t>.</w:t>
      </w:r>
      <w:r>
        <w:rPr>
          <w:rFonts w:hint="eastAsia" w:hAnsi="宋体" w:cs="宋体"/>
          <w:highlight w:val="none"/>
        </w:rPr>
        <w:t>26万户，增加收入11276</w:t>
      </w:r>
      <w:r>
        <w:rPr>
          <w:rFonts w:hint="eastAsia" w:ascii="MingLiU_HKSCS" w:hAnsi="MingLiU_HKSCS" w:eastAsia="MingLiU_HKSCS" w:cs="MingLiU_HKSCS"/>
          <w:highlight w:val="none"/>
        </w:rPr>
        <w:t>.</w:t>
      </w:r>
      <w:r>
        <w:rPr>
          <w:rFonts w:hint="eastAsia" w:hAnsi="宋体" w:cs="宋体"/>
          <w:highlight w:val="none"/>
        </w:rPr>
        <w:t>66万元，户均增收4989</w:t>
      </w:r>
      <w:r>
        <w:rPr>
          <w:rFonts w:hint="eastAsia" w:ascii="MingLiU_HKSCS" w:hAnsi="MingLiU_HKSCS" w:eastAsia="MingLiU_HKSCS" w:cs="MingLiU_HKSCS"/>
          <w:highlight w:val="none"/>
        </w:rPr>
        <w:t>.</w:t>
      </w:r>
      <w:r>
        <w:rPr>
          <w:rFonts w:hint="eastAsia" w:hAnsi="宋体" w:cs="宋体"/>
          <w:highlight w:val="none"/>
        </w:rPr>
        <w:t>6元。同时，围绕特色农业发展，成立农民专业合作社495家，其中省级示范性专业合作社6家，韶关市级示范性专业合作社20家，南雄市示范性专业合作社25家，吸纳成员8497人，累计出资总额达1</w:t>
      </w:r>
      <w:r>
        <w:rPr>
          <w:rFonts w:hint="eastAsia" w:ascii="MingLiU_HKSCS" w:hAnsi="MingLiU_HKSCS" w:eastAsia="MingLiU_HKSCS" w:cs="MingLiU_HKSCS"/>
          <w:highlight w:val="none"/>
        </w:rPr>
        <w:t>.</w:t>
      </w:r>
      <w:r>
        <w:rPr>
          <w:rFonts w:hint="eastAsia" w:hAnsi="宋体" w:cs="宋体"/>
          <w:highlight w:val="none"/>
        </w:rPr>
        <w:t>62亿元，其中出资总额100万元以上的48家。发展家庭农场31家，出台《南雄市县级示范家庭农场认定管理办法》，示范性家庭农场2家。同时，大力推行农业标准化生产，金友品牌被评为全省著名商标，金友牌香米获得省名牌产品和放心米的荣誉称号；有3家农业加工企业、9家农民专业合作社的12个农产品获得有机农产品（食品）认证；广东金友集团有限公司的“粤香王”“贡米”获得绿色食品认证；有5家农业加工企业、5家农民专业合作社10个农产品获得无公害农产品认证。</w:t>
      </w:r>
    </w:p>
    <w:p w14:paraId="69DC7277">
      <w:pPr>
        <w:pStyle w:val="4"/>
        <w:bidi w:val="0"/>
        <w:rPr>
          <w:rFonts w:hint="eastAsia"/>
          <w:highlight w:val="none"/>
        </w:rPr>
      </w:pPr>
      <w:r>
        <w:rPr>
          <w:rFonts w:hint="eastAsia"/>
          <w:highlight w:val="none"/>
        </w:rPr>
        <w:t>【扶贫开发“双到”工作】</w:t>
      </w:r>
    </w:p>
    <w:p w14:paraId="4DDEDEE1">
      <w:pPr>
        <w:rPr>
          <w:rFonts w:hint="eastAsia" w:hAnsi="宋体" w:cs="宋体"/>
          <w:highlight w:val="none"/>
        </w:rPr>
      </w:pPr>
      <w:r>
        <w:rPr>
          <w:rFonts w:hint="eastAsia" w:hAnsi="宋体" w:cs="宋体"/>
          <w:highlight w:val="none"/>
        </w:rPr>
        <w:t>2015年，全市59个省核定贫困村，2070户贫困户100%落实帮扶措施，落实帮扶资金4</w:t>
      </w:r>
      <w:r>
        <w:rPr>
          <w:rFonts w:hint="eastAsia" w:ascii="MingLiU_HKSCS" w:hAnsi="MingLiU_HKSCS" w:eastAsia="MingLiU_HKSCS" w:cs="MingLiU_HKSCS"/>
          <w:highlight w:val="none"/>
        </w:rPr>
        <w:t>.</w:t>
      </w:r>
      <w:r>
        <w:rPr>
          <w:rFonts w:hint="eastAsia" w:hAnsi="宋体" w:cs="宋体"/>
          <w:highlight w:val="none"/>
        </w:rPr>
        <w:t>5亿元，2015年村集体经济收入平均达到9</w:t>
      </w:r>
      <w:r>
        <w:rPr>
          <w:rFonts w:hint="eastAsia" w:ascii="MingLiU_HKSCS" w:hAnsi="MingLiU_HKSCS" w:eastAsia="MingLiU_HKSCS" w:cs="MingLiU_HKSCS"/>
          <w:highlight w:val="none"/>
        </w:rPr>
        <w:t>.</w:t>
      </w:r>
      <w:r>
        <w:rPr>
          <w:rFonts w:hint="eastAsia" w:hAnsi="宋体" w:cs="宋体"/>
          <w:highlight w:val="none"/>
        </w:rPr>
        <w:t>26万元；2015年有劳动能力的贫困户人均纯收入达10584元，贫困村农民人均纯收入达12409元，所有有劳动能力贫困户的贫困人口实现脱贫。市扶贫“双到”办业务组组长庄素梅同志被评为“2015年南雄榜样”先进个人。老区工作取得长足发展，蓝师发在全省老区开展烈士后裔助学20年工作中，成绩突出，被评为先进个人。</w:t>
      </w:r>
    </w:p>
    <w:p w14:paraId="24A24BBD">
      <w:pPr>
        <w:pStyle w:val="4"/>
        <w:bidi w:val="0"/>
        <w:rPr>
          <w:rFonts w:hint="eastAsia"/>
          <w:highlight w:val="none"/>
        </w:rPr>
      </w:pPr>
      <w:r>
        <w:rPr>
          <w:rFonts w:hint="eastAsia"/>
          <w:highlight w:val="none"/>
        </w:rPr>
        <w:t>【农村综合改革】</w:t>
      </w:r>
    </w:p>
    <w:p w14:paraId="4D5F4225">
      <w:pPr>
        <w:rPr>
          <w:rFonts w:hint="eastAsia" w:hAnsi="宋体" w:cs="宋体"/>
          <w:highlight w:val="none"/>
        </w:rPr>
      </w:pPr>
      <w:r>
        <w:rPr>
          <w:rFonts w:hint="eastAsia" w:hAnsi="宋体" w:cs="宋体"/>
          <w:highlight w:val="none"/>
        </w:rPr>
        <w:t>2015年，完成农村土地承包经营权确权登记颁证2个试点村工作。确权后2个试点村计27个经济合作社，1042户农户，耕地面积5300亩，比确权之前耕地面积3800亩多1500亩，确权实测面积比原面积多39</w:t>
      </w:r>
      <w:r>
        <w:rPr>
          <w:rFonts w:hint="eastAsia" w:ascii="MingLiU_HKSCS" w:hAnsi="MingLiU_HKSCS" w:eastAsia="MingLiU_HKSCS" w:cs="MingLiU_HKSCS"/>
          <w:highlight w:val="none"/>
        </w:rPr>
        <w:t>.</w:t>
      </w:r>
      <w:r>
        <w:rPr>
          <w:rFonts w:hint="eastAsia" w:hAnsi="宋体" w:cs="宋体"/>
          <w:highlight w:val="none"/>
        </w:rPr>
        <w:t>5%。同时，全面完成18个乡镇（街道）的“三资”清理核实工作，“三资”台账数据也全部输入省系统平台，实行动态管理，工作稳步推进。</w:t>
      </w:r>
    </w:p>
    <w:p w14:paraId="102BB79F">
      <w:pPr>
        <w:pStyle w:val="4"/>
        <w:bidi w:val="0"/>
        <w:rPr>
          <w:rFonts w:hint="eastAsia"/>
          <w:highlight w:val="none"/>
        </w:rPr>
      </w:pPr>
      <w:r>
        <w:rPr>
          <w:rFonts w:hint="eastAsia"/>
          <w:highlight w:val="none"/>
        </w:rPr>
        <w:t>【争取项目】</w:t>
      </w:r>
    </w:p>
    <w:p w14:paraId="2CE4A29B">
      <w:pPr>
        <w:rPr>
          <w:rFonts w:hint="eastAsia" w:hAnsi="宋体" w:cs="宋体"/>
          <w:highlight w:val="none"/>
        </w:rPr>
      </w:pPr>
      <w:r>
        <w:rPr>
          <w:rFonts w:hint="eastAsia" w:hAnsi="宋体" w:cs="宋体"/>
          <w:highlight w:val="none"/>
        </w:rPr>
        <w:t>2015年争取粮食高产创建、基层农技推广体系建设、美丽乡村、“一事一议”、高标准农田建设等上级农业项目38个，项目资金20140万元，其中中央项目资金2144万元，省级项目资金16683万元，市级项目资金1312万元。（张朝玉）</w:t>
      </w:r>
    </w:p>
    <w:p w14:paraId="51B76E3B">
      <w:pPr>
        <w:rPr>
          <w:rFonts w:hint="eastAsia" w:hAnsi="宋体" w:eastAsia="宋体" w:cs="宋体"/>
          <w:highlight w:val="none"/>
          <w:lang w:eastAsia="zh-CN"/>
        </w:rPr>
      </w:pPr>
      <w:r>
        <w:rPr>
          <w:rFonts w:hint="eastAsia" w:hAnsi="宋体" w:cs="宋体"/>
          <w:highlight w:val="none"/>
        </w:rPr>
        <w:t>附：2015年市农业局领导班子成员名单</w:t>
      </w:r>
    </w:p>
    <w:p w14:paraId="73B94372">
      <w:pPr>
        <w:rPr>
          <w:rFonts w:hint="eastAsia" w:hAnsi="宋体" w:eastAsia="宋体" w:cs="宋体"/>
          <w:highlight w:val="none"/>
          <w:lang w:eastAsia="zh-CN"/>
        </w:rPr>
      </w:pPr>
      <w:r>
        <w:rPr>
          <w:rFonts w:hint="eastAsia" w:hAnsi="宋体" w:cs="宋体"/>
          <w:highlight w:val="none"/>
        </w:rPr>
        <w:t>局长</w:t>
      </w:r>
      <w:r>
        <w:rPr>
          <w:rFonts w:hint="eastAsia" w:hAnsi="宋体" w:cs="宋体"/>
          <w:highlight w:val="none"/>
          <w:lang w:eastAsia="zh-CN"/>
        </w:rPr>
        <w:t>：</w:t>
      </w:r>
      <w:r>
        <w:rPr>
          <w:rFonts w:hint="eastAsia" w:hAnsi="宋体" w:cs="宋体"/>
          <w:highlight w:val="none"/>
        </w:rPr>
        <w:t>陈仁麟</w:t>
      </w:r>
    </w:p>
    <w:p w14:paraId="4EE86443">
      <w:pPr>
        <w:rPr>
          <w:rFonts w:hint="eastAsia" w:hAnsi="宋体" w:eastAsia="宋体" w:cs="宋体"/>
          <w:highlight w:val="none"/>
          <w:lang w:eastAsia="zh-CN"/>
        </w:rPr>
      </w:pPr>
      <w:r>
        <w:rPr>
          <w:rFonts w:hint="eastAsia" w:hAnsi="宋体" w:cs="宋体"/>
          <w:highlight w:val="none"/>
        </w:rPr>
        <w:t>党组书记：范桂全（任至12月）</w:t>
      </w:r>
    </w:p>
    <w:p w14:paraId="7E95FC52">
      <w:pPr>
        <w:rPr>
          <w:rFonts w:hint="eastAsia" w:hAnsi="宋体" w:cs="宋体"/>
          <w:highlight w:val="none"/>
        </w:rPr>
      </w:pPr>
      <w:r>
        <w:rPr>
          <w:rFonts w:hint="eastAsia" w:hAnsi="宋体" w:cs="宋体"/>
          <w:highlight w:val="none"/>
        </w:rPr>
        <w:t>农口中心纪检组组长、纪检组长</w:t>
      </w:r>
      <w:r>
        <w:rPr>
          <w:rFonts w:hint="eastAsia" w:hAnsi="宋体" w:cs="宋体"/>
          <w:highlight w:val="none"/>
          <w:lang w:eastAsia="zh-CN"/>
        </w:rPr>
        <w:t>：</w:t>
      </w:r>
      <w:r>
        <w:rPr>
          <w:rFonts w:hint="eastAsia" w:hAnsi="宋体" w:cs="宋体"/>
          <w:highlight w:val="none"/>
        </w:rPr>
        <w:t>江学文</w:t>
      </w:r>
    </w:p>
    <w:p w14:paraId="1A0C9F0D">
      <w:pPr>
        <w:rPr>
          <w:rFonts w:hint="eastAsia" w:hAnsi="宋体" w:eastAsia="宋体" w:cs="宋体"/>
          <w:highlight w:val="none"/>
          <w:lang w:eastAsia="zh-CN"/>
        </w:rPr>
      </w:pPr>
      <w:r>
        <w:rPr>
          <w:rFonts w:hint="eastAsia" w:hAnsi="宋体" w:cs="宋体"/>
          <w:highlight w:val="none"/>
        </w:rPr>
        <w:t>副局长：吴英德 朱天骥</w:t>
      </w:r>
    </w:p>
    <w:p w14:paraId="1E0827A6">
      <w:pPr>
        <w:pStyle w:val="3"/>
        <w:bidi w:val="0"/>
        <w:rPr>
          <w:rFonts w:hint="eastAsia"/>
          <w:highlight w:val="none"/>
        </w:rPr>
      </w:pPr>
      <w:r>
        <w:rPr>
          <w:rFonts w:hint="eastAsia"/>
          <w:highlight w:val="none"/>
        </w:rPr>
        <w:t>种子站</w:t>
      </w:r>
    </w:p>
    <w:p w14:paraId="5EABA3F7">
      <w:pPr>
        <w:pStyle w:val="4"/>
        <w:bidi w:val="0"/>
        <w:rPr>
          <w:rFonts w:hint="eastAsia"/>
          <w:highlight w:val="none"/>
        </w:rPr>
      </w:pPr>
      <w:r>
        <w:rPr>
          <w:rFonts w:hint="eastAsia"/>
          <w:highlight w:val="none"/>
        </w:rPr>
        <w:t>【概况】</w:t>
      </w:r>
    </w:p>
    <w:p w14:paraId="462DA555">
      <w:pPr>
        <w:rPr>
          <w:rFonts w:hint="eastAsia" w:hAnsi="宋体" w:cs="宋体"/>
          <w:highlight w:val="none"/>
        </w:rPr>
      </w:pPr>
      <w:r>
        <w:rPr>
          <w:rFonts w:hint="eastAsia" w:hAnsi="宋体" w:cs="宋体"/>
          <w:highlight w:val="none"/>
        </w:rPr>
        <w:t>根据事业单位分类改革精神，南雄市种子站是市农业局管理的公益一类事业单位，副科级。核定事业编制20名，其中站长1名、副站长2名，内设2个副股级机构：种子管理股和品种管理股，副股级领导职数2名。经费按财政补助一类拨付。主要依法承担种子管理、执法、市场监管；负责农作物新品种试验、示范、表征；负责转基因种子安全、标识监督；负责农作物质量的检测、鉴定、农药市场监管、肥料登记监管等工作。2015年，查处农资案件32宗，其中种子案1宗、化肥6宗、农药25宗，并全部结案，罚没款30万元。分别承担农业部农作物新品种展示、示范项目和省农业厅农作物种子质量监督检测区域站建设项目。</w:t>
      </w:r>
    </w:p>
    <w:p w14:paraId="1CB0E20A">
      <w:pPr>
        <w:pStyle w:val="4"/>
        <w:bidi w:val="0"/>
        <w:rPr>
          <w:rFonts w:hint="eastAsia"/>
          <w:highlight w:val="none"/>
        </w:rPr>
      </w:pPr>
      <w:r>
        <w:rPr>
          <w:rFonts w:hint="eastAsia"/>
          <w:highlight w:val="none"/>
        </w:rPr>
        <w:t>【农业执法】</w:t>
      </w:r>
    </w:p>
    <w:p w14:paraId="7C5B4A04">
      <w:pPr>
        <w:rPr>
          <w:rFonts w:hint="eastAsia" w:hAnsi="宋体" w:cs="宋体"/>
          <w:highlight w:val="none"/>
        </w:rPr>
      </w:pPr>
      <w:r>
        <w:rPr>
          <w:rFonts w:hint="eastAsia" w:hAnsi="宋体" w:cs="宋体"/>
          <w:highlight w:val="none"/>
        </w:rPr>
        <w:t>2015年，举办2期南雄市农资经营人员培训班。参加培训人员213人，占全市农资经营人员的90%以上，印发农资执法相关资料近5000份。通过培训让农资经营者学习相关的农业法律知识，提高农资生产者、经营者的守法意识和业务水平。2015年，加大农业执法力度，出动执法人员3620人次，检查企业905家次，查获种子、肥料、农药等违法农资产品9651千克，依法查处农资案件32宗，其中种子案1宗、化肥6宗、农药25宗，现已全部结案，罚没款30万元。</w:t>
      </w:r>
    </w:p>
    <w:p w14:paraId="77665D98">
      <w:pPr>
        <w:pStyle w:val="4"/>
        <w:bidi w:val="0"/>
        <w:rPr>
          <w:rFonts w:hint="eastAsia"/>
          <w:highlight w:val="none"/>
        </w:rPr>
      </w:pPr>
      <w:r>
        <w:rPr>
          <w:rFonts w:hint="eastAsia"/>
          <w:highlight w:val="none"/>
        </w:rPr>
        <w:t>【品种展示】</w:t>
      </w:r>
    </w:p>
    <w:p w14:paraId="5C79BD2A">
      <w:pPr>
        <w:rPr>
          <w:rFonts w:hint="eastAsia" w:hAnsi="宋体" w:cs="宋体"/>
          <w:highlight w:val="none"/>
        </w:rPr>
      </w:pPr>
      <w:r>
        <w:rPr>
          <w:rFonts w:hint="eastAsia" w:hAnsi="宋体" w:cs="宋体"/>
          <w:highlight w:val="none"/>
        </w:rPr>
        <w:t>2015年，实施农业部品种展示试验示范项目。展示品种26个，示范品种4个，分早、晚造进行。通过实施新品种展示示范项目，筛选优良农作物品种，为发展优质高效农业奠定坚实的基础。</w:t>
      </w:r>
    </w:p>
    <w:p w14:paraId="584E50B4">
      <w:pPr>
        <w:pStyle w:val="4"/>
        <w:bidi w:val="0"/>
        <w:rPr>
          <w:rFonts w:hint="eastAsia"/>
          <w:highlight w:val="none"/>
        </w:rPr>
      </w:pPr>
      <w:r>
        <w:rPr>
          <w:rFonts w:hint="eastAsia"/>
          <w:highlight w:val="none"/>
        </w:rPr>
        <w:t>【区域站建设】</w:t>
      </w:r>
    </w:p>
    <w:p w14:paraId="24150BDC">
      <w:pPr>
        <w:rPr>
          <w:rFonts w:hint="eastAsia" w:hAnsi="宋体" w:cs="宋体"/>
          <w:highlight w:val="none"/>
        </w:rPr>
      </w:pPr>
      <w:r>
        <w:rPr>
          <w:rFonts w:hint="eastAsia" w:hAnsi="宋体" w:cs="宋体"/>
          <w:highlight w:val="none"/>
        </w:rPr>
        <w:t>2014年2月向省农业厅申报南雄市农作物种子质量监督检测区域站项目，经省厅审批，于2014年12月下达项目建设批复。2015年2月，正式启动项目建设，具体内容：改造种子检验室460平方米，其中检验检测区230平方米，检验检测服务区230平方米。完善建设种子纯度鉴定圃7</w:t>
      </w:r>
      <w:r>
        <w:rPr>
          <w:rFonts w:hint="eastAsia" w:ascii="MingLiU_HKSCS" w:hAnsi="MingLiU_HKSCS" w:eastAsia="MingLiU_HKSCS" w:cs="MingLiU_HKSCS"/>
          <w:highlight w:val="none"/>
        </w:rPr>
        <w:t>.</w:t>
      </w:r>
      <w:r>
        <w:rPr>
          <w:rFonts w:hint="eastAsia" w:hAnsi="宋体" w:cs="宋体"/>
          <w:highlight w:val="none"/>
        </w:rPr>
        <w:t>5亩。购置仪器设备613台（套），完善配套附属工程、信息网络、供电、供水、防漏隔热、防盗等。根据项目实施方案要求，2015年6月开工建设。（李明）</w:t>
      </w:r>
    </w:p>
    <w:p w14:paraId="6565E648">
      <w:pPr>
        <w:rPr>
          <w:rFonts w:hint="eastAsia" w:hAnsi="宋体" w:eastAsia="宋体" w:cs="宋体"/>
          <w:b w:val="0"/>
          <w:bCs w:val="0"/>
          <w:highlight w:val="none"/>
          <w:lang w:eastAsia="zh-CN"/>
        </w:rPr>
      </w:pPr>
      <w:r>
        <w:rPr>
          <w:rFonts w:hint="eastAsia" w:hAnsi="宋体" w:cs="宋体"/>
          <w:b w:val="0"/>
          <w:bCs w:val="0"/>
          <w:highlight w:val="none"/>
        </w:rPr>
        <w:t>附：2015年市种子站领导班子成员名单</w:t>
      </w:r>
    </w:p>
    <w:p w14:paraId="149AD5FA">
      <w:pPr>
        <w:rPr>
          <w:rFonts w:hint="eastAsia" w:hAnsi="宋体" w:eastAsia="宋体" w:cs="宋体"/>
          <w:b w:val="0"/>
          <w:bCs w:val="0"/>
          <w:highlight w:val="none"/>
          <w:lang w:eastAsia="zh-CN"/>
        </w:rPr>
      </w:pPr>
      <w:r>
        <w:rPr>
          <w:rFonts w:hint="eastAsia" w:hAnsi="宋体" w:cs="宋体"/>
          <w:b w:val="0"/>
          <w:bCs w:val="0"/>
          <w:highlight w:val="none"/>
        </w:rPr>
        <w:t>站</w:t>
      </w:r>
      <w:r>
        <w:rPr>
          <w:rFonts w:hint="eastAsia" w:hAnsi="宋体" w:cs="宋体"/>
          <w:b w:val="0"/>
          <w:bCs w:val="0"/>
          <w:highlight w:val="none"/>
          <w:lang w:val="en-US" w:eastAsia="zh-CN"/>
        </w:rPr>
        <w:t xml:space="preserve">  </w:t>
      </w:r>
      <w:r>
        <w:rPr>
          <w:rFonts w:hint="eastAsia" w:hAnsi="宋体" w:cs="宋体"/>
          <w:b w:val="0"/>
          <w:bCs w:val="0"/>
          <w:highlight w:val="none"/>
        </w:rPr>
        <w:t>长</w:t>
      </w:r>
      <w:r>
        <w:rPr>
          <w:rFonts w:hint="eastAsia" w:hAnsi="宋体" w:cs="宋体"/>
          <w:b w:val="0"/>
          <w:bCs w:val="0"/>
          <w:highlight w:val="none"/>
          <w:lang w:eastAsia="zh-CN"/>
        </w:rPr>
        <w:t>：</w:t>
      </w:r>
      <w:r>
        <w:rPr>
          <w:rFonts w:hint="eastAsia" w:hAnsi="宋体" w:cs="宋体"/>
          <w:b w:val="0"/>
          <w:bCs w:val="0"/>
          <w:highlight w:val="none"/>
        </w:rPr>
        <w:t>张祥辉</w:t>
      </w:r>
    </w:p>
    <w:p w14:paraId="79257F96">
      <w:pPr>
        <w:rPr>
          <w:rFonts w:hint="eastAsia" w:hAnsi="宋体" w:eastAsia="宋体" w:cs="宋体"/>
          <w:b w:val="0"/>
          <w:bCs w:val="0"/>
          <w:highlight w:val="none"/>
          <w:lang w:eastAsia="zh-CN"/>
        </w:rPr>
      </w:pPr>
      <w:r>
        <w:rPr>
          <w:rFonts w:hint="eastAsia" w:hAnsi="宋体" w:cs="宋体"/>
          <w:b w:val="0"/>
          <w:bCs w:val="0"/>
          <w:highlight w:val="none"/>
        </w:rPr>
        <w:t>副站长：朱祖华 陈逢义</w:t>
      </w:r>
    </w:p>
    <w:p w14:paraId="12C19876">
      <w:pPr>
        <w:pStyle w:val="3"/>
        <w:bidi w:val="0"/>
        <w:rPr>
          <w:rFonts w:hint="eastAsia"/>
          <w:highlight w:val="none"/>
        </w:rPr>
      </w:pPr>
      <w:r>
        <w:rPr>
          <w:rFonts w:hint="eastAsia"/>
          <w:highlight w:val="none"/>
        </w:rPr>
        <w:t>农业机械</w:t>
      </w:r>
    </w:p>
    <w:p w14:paraId="231D9E41">
      <w:pPr>
        <w:pStyle w:val="4"/>
        <w:bidi w:val="0"/>
        <w:rPr>
          <w:rFonts w:hint="eastAsia"/>
          <w:highlight w:val="none"/>
        </w:rPr>
      </w:pPr>
      <w:r>
        <w:rPr>
          <w:rFonts w:hint="eastAsia"/>
          <w:highlight w:val="none"/>
        </w:rPr>
        <w:t>【概况】</w:t>
      </w:r>
    </w:p>
    <w:p w14:paraId="59EF01DF">
      <w:pPr>
        <w:rPr>
          <w:rFonts w:hint="eastAsia" w:hAnsi="宋体" w:cs="宋体"/>
          <w:highlight w:val="none"/>
        </w:rPr>
      </w:pPr>
      <w:r>
        <w:rPr>
          <w:rFonts w:hint="eastAsia" w:hAnsi="宋体" w:cs="宋体"/>
          <w:highlight w:val="none"/>
        </w:rPr>
        <w:t>南雄市农机管理总站隶属市农业局，人员编制5人，2011年农机管理总站经省人力资源保障厅（粤人社函〔2011〕4189号）批复，定为参公单位，副科级事业单位，总站内设机构有办公室、业务股。主要职能：贯彻执行国家和省、市农业机械化的法律法规和方针政策，参与制订全市农业机械化发展方向、中长期规划和技术推广计划；引进国内外先进适用农业机械，引导农业机械新产品的结构调整；组织农机化示范推广应用，人员培训，重点科研项目的论证、开发；拟订农机作业规范的技术标准；实施拖拉机、联合收割机、农用运输车等农业机械的安全标准和安全监理、产品质量检验、鉴定及论证管理；指导农业机械化推广体系的服务体系建设；负责农机救灾物资的安排和农业机械化统计；管理市农机学校及各镇农机管理服务站；承办市人民政府和上级主管部门交办的其他事项。</w:t>
      </w:r>
    </w:p>
    <w:p w14:paraId="3E2C8B32">
      <w:pPr>
        <w:pStyle w:val="4"/>
        <w:bidi w:val="0"/>
        <w:rPr>
          <w:rFonts w:hint="eastAsia"/>
          <w:highlight w:val="none"/>
        </w:rPr>
      </w:pPr>
      <w:r>
        <w:rPr>
          <w:rFonts w:hint="eastAsia"/>
          <w:highlight w:val="none"/>
        </w:rPr>
        <w:t>【党建工作】</w:t>
      </w:r>
    </w:p>
    <w:p w14:paraId="36806F83">
      <w:pPr>
        <w:rPr>
          <w:rFonts w:hint="eastAsia" w:hAnsi="宋体" w:cs="宋体"/>
          <w:highlight w:val="none"/>
        </w:rPr>
      </w:pPr>
      <w:r>
        <w:rPr>
          <w:rFonts w:hint="eastAsia" w:hAnsi="宋体" w:cs="宋体"/>
          <w:highlight w:val="none"/>
        </w:rPr>
        <w:t>突出</w:t>
      </w:r>
      <w:r>
        <w:rPr>
          <w:rFonts w:hint="eastAsia" w:cs="宋体"/>
          <w:highlight w:val="none"/>
          <w:lang w:val="en-US" w:eastAsia="zh-CN"/>
        </w:rPr>
        <w:t>全面</w:t>
      </w:r>
      <w:r>
        <w:rPr>
          <w:rFonts w:hint="eastAsia" w:hAnsi="宋体" w:cs="宋体"/>
          <w:highlight w:val="none"/>
        </w:rPr>
        <w:t>从严治党这条主线，对照“三严三实”要求，以适应新常态、做出新业绩、树立新形象为目标，教育引导广大党员干部以身边能人、身边先进为榜样，牢固树立社会主义核心价值观，打苏区牌，走生态路，大抓项目落实，形成艰苦奋斗、务实创新、奋发有为、攻坚克难的干事创业氛围，贯彻落实党惠农政策，把握发展机遇，发挥部门优势，大力推广农业机械化，努力为农业、农村、农民服务，促进农村发展、农业增效、农民增收，抓好党建促工作，为加快南雄市农业机械化发展做出贡献。</w:t>
      </w:r>
    </w:p>
    <w:p w14:paraId="4135C444">
      <w:pPr>
        <w:pStyle w:val="4"/>
        <w:bidi w:val="0"/>
        <w:rPr>
          <w:rFonts w:hint="eastAsia"/>
          <w:highlight w:val="none"/>
        </w:rPr>
      </w:pPr>
      <w:r>
        <w:rPr>
          <w:rFonts w:hint="eastAsia"/>
          <w:highlight w:val="none"/>
        </w:rPr>
        <w:t>【农机作业服务组织】</w:t>
      </w:r>
    </w:p>
    <w:p w14:paraId="2D3E5576">
      <w:pPr>
        <w:rPr>
          <w:rFonts w:hint="eastAsia" w:hAnsi="宋体" w:cs="宋体"/>
          <w:highlight w:val="none"/>
        </w:rPr>
      </w:pPr>
      <w:r>
        <w:rPr>
          <w:rFonts w:hint="eastAsia" w:hAnsi="宋体" w:cs="宋体"/>
          <w:highlight w:val="none"/>
        </w:rPr>
        <w:t>2015年全市农机作业服务组织农机户28022户，其中农机服务专业户1406户，专业户占农机户5%，全市农机维修网点133个，农机配件供应网点22个，乡村农机供油点6个，基本上覆盖全市各镇，各类农机经纪人、农机大户、农机经营户在农业生产中发挥着应有的作用，全市形成以农机中介、农机销售、农机维修大户为依托，农机户为基础的农机社会服务体系，为全市农村、农业、农民开展耕、种、收、运等多项农业化作业提供优质、廉价服务，促进农机化发展，并且也获取一定的经济效益。2015年农机从业人员4235人。2015年南雄市农机经营总收入10590万元，农机作业成本与费用为9885万元，利润总额705万元，基本收入和支出都与2014年有所增加，特别是利润增加幅度增大，基本原因是2015年油价低、成本更低，利润高。</w:t>
      </w:r>
    </w:p>
    <w:p w14:paraId="7391011E">
      <w:pPr>
        <w:pStyle w:val="4"/>
        <w:bidi w:val="0"/>
        <w:rPr>
          <w:rFonts w:hint="eastAsia"/>
          <w:highlight w:val="none"/>
        </w:rPr>
      </w:pPr>
      <w:r>
        <w:rPr>
          <w:rFonts w:hint="eastAsia"/>
          <w:highlight w:val="none"/>
        </w:rPr>
        <w:t>【农机拥有量】</w:t>
      </w:r>
    </w:p>
    <w:p w14:paraId="17C71654">
      <w:pPr>
        <w:rPr>
          <w:rFonts w:hint="eastAsia" w:hAnsi="宋体" w:cs="宋体"/>
          <w:highlight w:val="none"/>
        </w:rPr>
      </w:pPr>
      <w:r>
        <w:rPr>
          <w:rFonts w:hint="eastAsia" w:hAnsi="宋体" w:cs="宋体"/>
          <w:highlight w:val="none"/>
        </w:rPr>
        <w:t>2015年，市农机机械总动力为445720千瓦，柴油机动力387960千瓦，汽油发动机动力1680千瓦，电动机动力56080千瓦。其中拖拉机20275台、174259千瓦；耕整机1870台，27303千瓦；农用排灌机械6758台，28815千瓦；机动喷雾器9626台，2445千瓦；水稻插秧机75台，382千瓦；水稻联合收割机1038台，37620千瓦；机动脱粒机29795台，92342千瓦；农产品初加工动力机械3680台，34382千瓦；畜牧养殖机械2018台，16798千瓦；渔业机械878台，3859千瓦；林果机械350台，590千瓦；运输机械1546台，64450千瓦；农田基本建设199台，12759千瓦；手扶变型运输机323台，12753千瓦，2015年农机拥有量比2014年明显增加，增长35</w:t>
      </w:r>
      <w:r>
        <w:rPr>
          <w:rFonts w:hint="eastAsia" w:ascii="MingLiU_HKSCS" w:hAnsi="MingLiU_HKSCS" w:eastAsia="MingLiU_HKSCS" w:cs="MingLiU_HKSCS"/>
          <w:highlight w:val="none"/>
        </w:rPr>
        <w:t>.</w:t>
      </w:r>
      <w:r>
        <w:rPr>
          <w:rFonts w:hint="eastAsia" w:hAnsi="宋体" w:cs="宋体"/>
          <w:highlight w:val="none"/>
        </w:rPr>
        <w:t>34%。</w:t>
      </w:r>
    </w:p>
    <w:p w14:paraId="4AC86745">
      <w:pPr>
        <w:pStyle w:val="4"/>
        <w:bidi w:val="0"/>
        <w:rPr>
          <w:rFonts w:hint="eastAsia"/>
          <w:highlight w:val="none"/>
        </w:rPr>
      </w:pPr>
      <w:r>
        <w:rPr>
          <w:rFonts w:hint="eastAsia"/>
          <w:highlight w:val="none"/>
        </w:rPr>
        <w:t>【农机化生产情况】</w:t>
      </w:r>
    </w:p>
    <w:p w14:paraId="23CA508D">
      <w:pPr>
        <w:rPr>
          <w:rFonts w:hint="eastAsia" w:hAnsi="宋体" w:cs="宋体"/>
          <w:highlight w:val="none"/>
        </w:rPr>
      </w:pPr>
      <w:r>
        <w:rPr>
          <w:rFonts w:hint="eastAsia" w:hAnsi="宋体" w:cs="宋体"/>
          <w:highlight w:val="none"/>
        </w:rPr>
        <w:t>2015年，全市完成机耕面积919935亩，机收面积501375，机插面积19920亩，机电灌溉面积67590亩，机械植保面积326190亩，耕、种、收、综合机械化水平56</w:t>
      </w:r>
      <w:r>
        <w:rPr>
          <w:rFonts w:hint="eastAsia" w:ascii="MingLiU_HKSCS" w:hAnsi="MingLiU_HKSCS" w:eastAsia="MingLiU_HKSCS" w:cs="MingLiU_HKSCS"/>
          <w:highlight w:val="none"/>
        </w:rPr>
        <w:t>.</w:t>
      </w:r>
      <w:r>
        <w:rPr>
          <w:rFonts w:hint="eastAsia" w:hAnsi="宋体" w:cs="宋体"/>
          <w:highlight w:val="none"/>
        </w:rPr>
        <w:t>57%。</w:t>
      </w:r>
    </w:p>
    <w:p w14:paraId="4FEF9327">
      <w:pPr>
        <w:pStyle w:val="4"/>
        <w:bidi w:val="0"/>
        <w:rPr>
          <w:rFonts w:hint="eastAsia"/>
          <w:highlight w:val="none"/>
        </w:rPr>
      </w:pPr>
      <w:r>
        <w:rPr>
          <w:rFonts w:hint="eastAsia"/>
          <w:highlight w:val="none"/>
        </w:rPr>
        <w:t>【农机购置补贴】</w:t>
      </w:r>
    </w:p>
    <w:p w14:paraId="7752FA53">
      <w:pPr>
        <w:rPr>
          <w:rFonts w:hint="eastAsia" w:hAnsi="宋体" w:cs="宋体"/>
          <w:highlight w:val="none"/>
        </w:rPr>
      </w:pPr>
      <w:r>
        <w:rPr>
          <w:rFonts w:hint="eastAsia" w:hAnsi="宋体" w:cs="宋体"/>
          <w:highlight w:val="none"/>
        </w:rPr>
        <w:t>2015年争取中央财政农机购置补贴资金613万元，由于大力宣传党的惠民政策，实施方案落实到位，广大农民购机热情高涨，2015年办理各类型农机具1583台，受益农户1398户，加快了南雄市农业机械化的发展步伐。</w:t>
      </w:r>
    </w:p>
    <w:p w14:paraId="35B379D3">
      <w:pPr>
        <w:pStyle w:val="4"/>
        <w:bidi w:val="0"/>
        <w:rPr>
          <w:rFonts w:hint="eastAsia"/>
          <w:highlight w:val="none"/>
        </w:rPr>
      </w:pPr>
      <w:r>
        <w:rPr>
          <w:rFonts w:hint="eastAsia"/>
          <w:highlight w:val="none"/>
        </w:rPr>
        <w:t>【农机化管理情况】</w:t>
      </w:r>
    </w:p>
    <w:p w14:paraId="5F9496F6">
      <w:pPr>
        <w:rPr>
          <w:rFonts w:hint="eastAsia" w:hAnsi="宋体" w:cs="宋体"/>
          <w:highlight w:val="none"/>
        </w:rPr>
      </w:pPr>
      <w:r>
        <w:rPr>
          <w:rFonts w:hint="eastAsia" w:hAnsi="宋体" w:cs="宋体"/>
          <w:highlight w:val="none"/>
        </w:rPr>
        <w:t>2015年全市农机培训406人次，培训农机管理人员35人，培训农机技术人员51人，培训农机操作人员320人次，修理各类拖拉机9660台次，联合收割机78台次；运输机械1745台次，无重特大农机事故发生。</w:t>
      </w:r>
    </w:p>
    <w:p w14:paraId="56E2ECE5">
      <w:pPr>
        <w:pStyle w:val="4"/>
        <w:bidi w:val="0"/>
        <w:rPr>
          <w:rFonts w:hint="eastAsia"/>
          <w:highlight w:val="none"/>
        </w:rPr>
      </w:pPr>
      <w:r>
        <w:rPr>
          <w:rFonts w:hint="eastAsia"/>
          <w:highlight w:val="none"/>
        </w:rPr>
        <w:t>【农机安全监理工作】</w:t>
      </w:r>
    </w:p>
    <w:p w14:paraId="272586B4">
      <w:pPr>
        <w:rPr>
          <w:rFonts w:hint="eastAsia" w:hAnsi="宋体" w:eastAsia="宋体" w:cs="宋体"/>
          <w:highlight w:val="none"/>
          <w:lang w:eastAsia="zh-CN"/>
        </w:rPr>
      </w:pPr>
      <w:r>
        <w:rPr>
          <w:rFonts w:hint="eastAsia" w:hAnsi="宋体" w:cs="宋体"/>
          <w:highlight w:val="none"/>
        </w:rPr>
        <w:t>农机总站以年检、年审及夏收农机安全生产大检查为契机，以清理无牌无证、违章驾驶和违章载客为突破口，组织农机监理人员深入到乡村道路、田间地头进行安全检查、从源头上抓农机安全生产、并在办证程序上严格把关，杜绝不合格农机入户。同时还配合工商、公安交警部门开展农机市场的整顿，道路交通执法工作，确保农机安全生产。（王征丽）</w:t>
      </w:r>
    </w:p>
    <w:p w14:paraId="5F9011F3">
      <w:pPr>
        <w:rPr>
          <w:rFonts w:hint="eastAsia" w:hAnsi="宋体" w:eastAsia="宋体" w:cs="宋体"/>
          <w:b w:val="0"/>
          <w:bCs w:val="0"/>
          <w:highlight w:val="none"/>
          <w:lang w:eastAsia="zh-CN"/>
        </w:rPr>
      </w:pPr>
      <w:r>
        <w:rPr>
          <w:rFonts w:hint="eastAsia" w:hAnsi="宋体" w:cs="宋体"/>
          <w:b w:val="0"/>
          <w:bCs w:val="0"/>
          <w:highlight w:val="none"/>
        </w:rPr>
        <w:t>附：2015年农机管理总站领导班子成员名单</w:t>
      </w:r>
    </w:p>
    <w:p w14:paraId="75F07426">
      <w:pPr>
        <w:rPr>
          <w:rFonts w:hint="eastAsia" w:hAnsi="宋体" w:eastAsia="宋体" w:cs="宋体"/>
          <w:b w:val="0"/>
          <w:bCs w:val="0"/>
          <w:highlight w:val="none"/>
          <w:lang w:eastAsia="zh-CN"/>
        </w:rPr>
      </w:pPr>
      <w:r>
        <w:rPr>
          <w:rFonts w:hint="eastAsia" w:hAnsi="宋体" w:cs="宋体"/>
          <w:b w:val="0"/>
          <w:bCs w:val="0"/>
          <w:highlight w:val="none"/>
        </w:rPr>
        <w:t>站</w:t>
      </w:r>
      <w:r>
        <w:rPr>
          <w:rFonts w:hint="eastAsia" w:hAnsi="宋体" w:cs="宋体"/>
          <w:b w:val="0"/>
          <w:bCs w:val="0"/>
          <w:highlight w:val="none"/>
          <w:lang w:val="en-US" w:eastAsia="zh-CN"/>
        </w:rPr>
        <w:t xml:space="preserve">  </w:t>
      </w:r>
      <w:r>
        <w:rPr>
          <w:rFonts w:hint="eastAsia" w:hAnsi="宋体" w:cs="宋体"/>
          <w:b w:val="0"/>
          <w:bCs w:val="0"/>
          <w:highlight w:val="none"/>
        </w:rPr>
        <w:t>长：叶东霞</w:t>
      </w:r>
    </w:p>
    <w:p w14:paraId="6296540E">
      <w:pPr>
        <w:pStyle w:val="3"/>
        <w:bidi w:val="0"/>
        <w:rPr>
          <w:rFonts w:hint="eastAsia" w:eastAsia="宋体"/>
          <w:highlight w:val="none"/>
          <w:lang w:eastAsia="zh-CN"/>
        </w:rPr>
      </w:pPr>
      <w:r>
        <w:rPr>
          <w:rFonts w:hint="eastAsia"/>
          <w:highlight w:val="none"/>
        </w:rPr>
        <w:t>畜牧兽医水产</w:t>
      </w:r>
    </w:p>
    <w:p w14:paraId="5961E56B">
      <w:pPr>
        <w:pStyle w:val="4"/>
        <w:bidi w:val="0"/>
        <w:rPr>
          <w:rFonts w:hint="eastAsia"/>
          <w:highlight w:val="none"/>
        </w:rPr>
      </w:pPr>
      <w:r>
        <w:rPr>
          <w:rFonts w:hint="eastAsia"/>
          <w:highlight w:val="none"/>
        </w:rPr>
        <w:t>【概况】</w:t>
      </w:r>
    </w:p>
    <w:p w14:paraId="62890EC5">
      <w:pPr>
        <w:rPr>
          <w:rFonts w:hint="eastAsia" w:hAnsi="宋体" w:cs="宋体"/>
          <w:highlight w:val="none"/>
        </w:rPr>
      </w:pPr>
      <w:r>
        <w:rPr>
          <w:rFonts w:hint="eastAsia" w:hAnsi="宋体" w:cs="宋体"/>
          <w:highlight w:val="none"/>
        </w:rPr>
        <w:t>南雄市畜牧兽医水产局沿革：1958年10月成立水产畜牧局。1961年6月将水产畜牧局改称为畜牧水产管理总站。1985年1月畜牧水产管理总站划分为畜牧兽医管理总站、水产管理总站，同年3月19日改为畜牧局、水产局。1997年3月划分为畜牧管理总站，水产管理总站。2001年12月畜牧水产合并为畜牧水产技术推广中心。2008年12月23日根据南雄市人民政府雄府〔2008〕95号文《关于南雄市兽医水产管理体制改革方案的通知》改为“南雄市畜牧兽医水产局”。主要职能：贯彻执行国家和省有关畜牧兽医水产管理的法律、法规和方针、政策，研究拟订地方畜牧业、渔业的管理有关规定，依法实施畜牧业、渔业行业监督管理；拟订全市畜牧兽医行业、渔业发展战略、中长期发展规划并组织实施；拟订全市动物疫病防治规划，组织动物疫病监测、控制和扑杀；负责动物防疫、防疫监督、动物及动物产品检疫、兽药残留监督、饲料质量安全监督的管理工作；负责兽医医政、兽药药政工作；负责国家、行业、地方相关标准的监督实施；指导畜禽养殖、水生野生动物的开发利用；指导和推进畜牧业产业结构调整；负责畜牧养殖业、渔业环境监测管理工作；负责种畜禽、牧草、饲料、饲料添加剂管理工作；负责全市畜禽及其产品和水产品质量安全管理和监控工作；组织实施畜产资源和牧草地资源保护工作；负责水生动物防疫检疫管理工作，负责组织实施水生动物的疫病控制和扑灭，负责水产养殖病害防治工作；承办市人民政府和上级主管部门交办的其他事项。机构编制：为副科级事业单位，隶属于市农业局，赋予行政管理职能。核定编制19名，其中干部17名、后勤编制2名，配局长1名，副局长2名，设立总畜牧兽医师1名。内设人秘股、财会股、畜牧股、兽医股、水产股，股长职数5名。人员参照公务员管理，经费全额纳入市级财政预算。2015年全市生猪饲养量105</w:t>
      </w:r>
      <w:r>
        <w:rPr>
          <w:rFonts w:hint="eastAsia" w:ascii="MingLiU_HKSCS" w:hAnsi="MingLiU_HKSCS" w:eastAsia="MingLiU_HKSCS" w:cs="MingLiU_HKSCS"/>
          <w:highlight w:val="none"/>
        </w:rPr>
        <w:t>.</w:t>
      </w:r>
      <w:r>
        <w:rPr>
          <w:rFonts w:hint="eastAsia" w:hAnsi="宋体" w:cs="宋体"/>
          <w:highlight w:val="none"/>
        </w:rPr>
        <w:t>3万头，增长10</w:t>
      </w:r>
      <w:r>
        <w:rPr>
          <w:rFonts w:hint="eastAsia" w:ascii="MingLiU_HKSCS" w:hAnsi="MingLiU_HKSCS" w:eastAsia="MingLiU_HKSCS" w:cs="MingLiU_HKSCS"/>
          <w:highlight w:val="none"/>
        </w:rPr>
        <w:t>.</w:t>
      </w:r>
      <w:r>
        <w:rPr>
          <w:rFonts w:hint="eastAsia" w:hAnsi="宋体" w:cs="宋体"/>
          <w:highlight w:val="none"/>
        </w:rPr>
        <w:t>4%，出栏量71</w:t>
      </w:r>
      <w:r>
        <w:rPr>
          <w:rFonts w:hint="eastAsia" w:ascii="MingLiU_HKSCS" w:hAnsi="MingLiU_HKSCS" w:eastAsia="MingLiU_HKSCS" w:cs="MingLiU_HKSCS"/>
          <w:highlight w:val="none"/>
        </w:rPr>
        <w:t>.</w:t>
      </w:r>
      <w:r>
        <w:rPr>
          <w:rFonts w:hint="eastAsia" w:hAnsi="宋体" w:cs="宋体"/>
          <w:highlight w:val="none"/>
        </w:rPr>
        <w:t>8万头，存栏量33</w:t>
      </w:r>
      <w:r>
        <w:rPr>
          <w:rFonts w:hint="eastAsia" w:ascii="MingLiU_HKSCS" w:hAnsi="MingLiU_HKSCS" w:eastAsia="MingLiU_HKSCS" w:cs="MingLiU_HKSCS"/>
          <w:highlight w:val="none"/>
        </w:rPr>
        <w:t>.</w:t>
      </w:r>
      <w:r>
        <w:rPr>
          <w:rFonts w:hint="eastAsia" w:hAnsi="宋体" w:cs="宋体"/>
          <w:highlight w:val="none"/>
        </w:rPr>
        <w:t>5万头，与2014年同比分别增长9</w:t>
      </w:r>
      <w:r>
        <w:rPr>
          <w:rFonts w:hint="eastAsia" w:ascii="MingLiU_HKSCS" w:hAnsi="MingLiU_HKSCS" w:eastAsia="MingLiU_HKSCS" w:cs="MingLiU_HKSCS"/>
          <w:highlight w:val="none"/>
        </w:rPr>
        <w:t>.</w:t>
      </w:r>
      <w:r>
        <w:rPr>
          <w:rFonts w:hint="eastAsia" w:hAnsi="宋体" w:cs="宋体"/>
          <w:highlight w:val="none"/>
        </w:rPr>
        <w:t>45和12</w:t>
      </w:r>
      <w:r>
        <w:rPr>
          <w:rFonts w:hint="eastAsia" w:ascii="MingLiU_HKSCS" w:hAnsi="MingLiU_HKSCS" w:eastAsia="MingLiU_HKSCS" w:cs="MingLiU_HKSCS"/>
          <w:highlight w:val="none"/>
        </w:rPr>
        <w:t>.</w:t>
      </w:r>
      <w:r>
        <w:rPr>
          <w:rFonts w:hint="eastAsia" w:hAnsi="宋体" w:cs="宋体"/>
          <w:highlight w:val="none"/>
        </w:rPr>
        <w:t>4%；家禽饲养量726万只，增长6</w:t>
      </w:r>
      <w:r>
        <w:rPr>
          <w:rFonts w:hint="eastAsia" w:ascii="MingLiU_HKSCS" w:hAnsi="MingLiU_HKSCS" w:eastAsia="MingLiU_HKSCS" w:cs="MingLiU_HKSCS"/>
          <w:highlight w:val="none"/>
        </w:rPr>
        <w:t>.</w:t>
      </w:r>
      <w:r>
        <w:rPr>
          <w:rFonts w:hint="eastAsia" w:hAnsi="宋体" w:cs="宋体"/>
          <w:highlight w:val="none"/>
        </w:rPr>
        <w:t>92%，家禽出栏量412</w:t>
      </w:r>
      <w:r>
        <w:rPr>
          <w:rFonts w:hint="eastAsia" w:ascii="MingLiU_HKSCS" w:hAnsi="MingLiU_HKSCS" w:eastAsia="MingLiU_HKSCS" w:cs="MingLiU_HKSCS"/>
          <w:highlight w:val="none"/>
        </w:rPr>
        <w:t>.</w:t>
      </w:r>
      <w:r>
        <w:rPr>
          <w:rFonts w:hint="eastAsia" w:hAnsi="宋体" w:cs="宋体"/>
          <w:highlight w:val="none"/>
        </w:rPr>
        <w:t>6万只，存栏313</w:t>
      </w:r>
      <w:r>
        <w:rPr>
          <w:rFonts w:hint="eastAsia" w:ascii="MingLiU_HKSCS" w:hAnsi="MingLiU_HKSCS" w:eastAsia="MingLiU_HKSCS" w:cs="MingLiU_HKSCS"/>
          <w:highlight w:val="none"/>
        </w:rPr>
        <w:t>.</w:t>
      </w:r>
      <w:r>
        <w:rPr>
          <w:rFonts w:hint="eastAsia" w:hAnsi="宋体" w:cs="宋体"/>
          <w:highlight w:val="none"/>
        </w:rPr>
        <w:t>4万只，同比分别增长11和2</w:t>
      </w:r>
      <w:r>
        <w:rPr>
          <w:rFonts w:hint="eastAsia" w:ascii="MingLiU_HKSCS" w:hAnsi="MingLiU_HKSCS" w:eastAsia="MingLiU_HKSCS" w:cs="MingLiU_HKSCS"/>
          <w:highlight w:val="none"/>
        </w:rPr>
        <w:t>.</w:t>
      </w:r>
      <w:r>
        <w:rPr>
          <w:rFonts w:hint="eastAsia" w:hAnsi="宋体" w:cs="宋体"/>
          <w:highlight w:val="none"/>
        </w:rPr>
        <w:t>4%；牛存栏3</w:t>
      </w:r>
      <w:r>
        <w:rPr>
          <w:rFonts w:hint="eastAsia" w:ascii="MingLiU_HKSCS" w:hAnsi="MingLiU_HKSCS" w:eastAsia="MingLiU_HKSCS" w:cs="MingLiU_HKSCS"/>
          <w:highlight w:val="none"/>
        </w:rPr>
        <w:t>.</w:t>
      </w:r>
      <w:r>
        <w:rPr>
          <w:rFonts w:hint="eastAsia" w:hAnsi="宋体" w:cs="宋体"/>
          <w:highlight w:val="none"/>
        </w:rPr>
        <w:t>16万头，出栏0</w:t>
      </w:r>
      <w:r>
        <w:rPr>
          <w:rFonts w:hint="eastAsia" w:ascii="MingLiU_HKSCS" w:hAnsi="MingLiU_HKSCS" w:eastAsia="MingLiU_HKSCS" w:cs="MingLiU_HKSCS"/>
          <w:highlight w:val="none"/>
        </w:rPr>
        <w:t>.</w:t>
      </w:r>
      <w:r>
        <w:rPr>
          <w:rFonts w:hint="eastAsia" w:hAnsi="宋体" w:cs="宋体"/>
          <w:highlight w:val="none"/>
        </w:rPr>
        <w:t>78万头，分别增长5</w:t>
      </w:r>
      <w:r>
        <w:rPr>
          <w:rFonts w:hint="eastAsia" w:ascii="MingLiU_HKSCS" w:hAnsi="MingLiU_HKSCS" w:eastAsia="MingLiU_HKSCS" w:cs="MingLiU_HKSCS"/>
          <w:highlight w:val="none"/>
        </w:rPr>
        <w:t>.</w:t>
      </w:r>
      <w:r>
        <w:rPr>
          <w:rFonts w:hint="eastAsia" w:hAnsi="宋体" w:cs="宋体"/>
          <w:highlight w:val="none"/>
        </w:rPr>
        <w:t>6%和1</w:t>
      </w:r>
      <w:r>
        <w:rPr>
          <w:rFonts w:hint="eastAsia" w:ascii="MingLiU_HKSCS" w:hAnsi="MingLiU_HKSCS" w:eastAsia="MingLiU_HKSCS" w:cs="MingLiU_HKSCS"/>
          <w:highlight w:val="none"/>
        </w:rPr>
        <w:t>.</w:t>
      </w:r>
      <w:r>
        <w:rPr>
          <w:rFonts w:hint="eastAsia" w:hAnsi="宋体" w:cs="宋体"/>
          <w:highlight w:val="none"/>
        </w:rPr>
        <w:t>43%；羊存栏0</w:t>
      </w:r>
      <w:r>
        <w:rPr>
          <w:rFonts w:hint="eastAsia" w:ascii="MingLiU_HKSCS" w:hAnsi="MingLiU_HKSCS" w:eastAsia="MingLiU_HKSCS" w:cs="MingLiU_HKSCS"/>
          <w:highlight w:val="none"/>
        </w:rPr>
        <w:t>.</w:t>
      </w:r>
      <w:r>
        <w:rPr>
          <w:rFonts w:hint="eastAsia" w:hAnsi="宋体" w:cs="宋体"/>
          <w:highlight w:val="none"/>
        </w:rPr>
        <w:t>75万头，出栏0</w:t>
      </w:r>
      <w:r>
        <w:rPr>
          <w:rFonts w:hint="eastAsia" w:ascii="MingLiU_HKSCS" w:hAnsi="MingLiU_HKSCS" w:eastAsia="MingLiU_HKSCS" w:cs="MingLiU_HKSCS"/>
          <w:highlight w:val="none"/>
        </w:rPr>
        <w:t>.</w:t>
      </w:r>
      <w:r>
        <w:rPr>
          <w:rFonts w:hint="eastAsia" w:hAnsi="宋体" w:cs="宋体"/>
          <w:highlight w:val="none"/>
        </w:rPr>
        <w:t>45万头，分别增长4</w:t>
      </w:r>
      <w:r>
        <w:rPr>
          <w:rFonts w:hint="eastAsia" w:ascii="MingLiU_HKSCS" w:hAnsi="MingLiU_HKSCS" w:eastAsia="MingLiU_HKSCS" w:cs="MingLiU_HKSCS"/>
          <w:highlight w:val="none"/>
        </w:rPr>
        <w:t>.</w:t>
      </w:r>
      <w:r>
        <w:rPr>
          <w:rFonts w:hint="eastAsia" w:hAnsi="宋体" w:cs="宋体"/>
          <w:highlight w:val="none"/>
        </w:rPr>
        <w:t>7%和5%，畜牧总产值124659万元；渔业总产17183吨，比上年增长4</w:t>
      </w:r>
      <w:r>
        <w:rPr>
          <w:rFonts w:hint="eastAsia" w:ascii="MingLiU_HKSCS" w:hAnsi="MingLiU_HKSCS" w:eastAsia="MingLiU_HKSCS" w:cs="MingLiU_HKSCS"/>
          <w:highlight w:val="none"/>
        </w:rPr>
        <w:t>.</w:t>
      </w:r>
      <w:r>
        <w:rPr>
          <w:rFonts w:hint="eastAsia" w:hAnsi="宋体" w:cs="宋体"/>
          <w:highlight w:val="none"/>
        </w:rPr>
        <w:t>3%，渔业总产值15771</w:t>
      </w:r>
      <w:r>
        <w:rPr>
          <w:rFonts w:hint="eastAsia" w:ascii="MingLiU_HKSCS" w:hAnsi="MingLiU_HKSCS" w:eastAsia="MingLiU_HKSCS" w:cs="MingLiU_HKSCS"/>
          <w:highlight w:val="none"/>
        </w:rPr>
        <w:t>.</w:t>
      </w:r>
      <w:r>
        <w:rPr>
          <w:rFonts w:hint="eastAsia" w:hAnsi="宋体" w:cs="宋体"/>
          <w:highlight w:val="none"/>
        </w:rPr>
        <w:t>51万元，黑颈龟产值3360万元。</w:t>
      </w:r>
    </w:p>
    <w:p w14:paraId="32B4EAF9">
      <w:pPr>
        <w:pStyle w:val="4"/>
        <w:bidi w:val="0"/>
        <w:rPr>
          <w:rFonts w:hint="eastAsia"/>
          <w:highlight w:val="none"/>
        </w:rPr>
      </w:pPr>
      <w:r>
        <w:rPr>
          <w:rFonts w:hint="eastAsia"/>
          <w:highlight w:val="none"/>
        </w:rPr>
        <w:t>【动物防疫】</w:t>
      </w:r>
    </w:p>
    <w:p w14:paraId="3666BA63">
      <w:pPr>
        <w:rPr>
          <w:rFonts w:hint="eastAsia" w:hAnsi="宋体" w:cs="宋体"/>
          <w:highlight w:val="none"/>
        </w:rPr>
      </w:pPr>
      <w:r>
        <w:rPr>
          <w:rFonts w:hint="eastAsia" w:hAnsi="宋体" w:cs="宋体"/>
          <w:highlight w:val="none"/>
        </w:rPr>
        <w:t>按照市政府布置的动物防疫工作要求，全面完动物防疫工作。统一思想，明确任务，强化责任；落实动物防疫责任制，层层签订责任书，把动物防疫的硬指标分解到村，责任到人，落实到场（户）。</w:t>
      </w:r>
    </w:p>
    <w:p w14:paraId="1B4D90CB">
      <w:pPr>
        <w:pStyle w:val="4"/>
        <w:bidi w:val="0"/>
        <w:rPr>
          <w:rFonts w:hint="eastAsia"/>
          <w:highlight w:val="none"/>
        </w:rPr>
      </w:pPr>
      <w:r>
        <w:rPr>
          <w:rFonts w:hint="eastAsia"/>
          <w:highlight w:val="none"/>
        </w:rPr>
        <w:t>【动物食品安全监管】</w:t>
      </w:r>
    </w:p>
    <w:p w14:paraId="414E8E1D">
      <w:pPr>
        <w:rPr>
          <w:rFonts w:hint="eastAsia" w:hAnsi="宋体" w:cs="宋体"/>
          <w:highlight w:val="none"/>
        </w:rPr>
      </w:pPr>
      <w:r>
        <w:rPr>
          <w:rFonts w:hint="eastAsia" w:hAnsi="宋体" w:cs="宋体"/>
          <w:highlight w:val="none"/>
        </w:rPr>
        <w:t>整合力量，依法加大查处打击力度，打、防、管、建多头并举，严把动物食品安全关，严把生猪宰前、宰中、宰后的检验检疫关，重点强化生猪养殖、屠宰环节“瘦肉精”监测，每月不定期对全市养殖场进行“瘦肉精”检查监控，各镇每月监测2个场，每个场抽检2头份，利民屠宰场每日抽检1批2—4头份，全市年抽检3300多分；做好屠宰场、县城市场检疫工作，加大乡镇和市场检查力度。2015年累计无害化处理病害生猪31头，生猪产品4</w:t>
      </w:r>
      <w:r>
        <w:rPr>
          <w:rFonts w:hint="eastAsia" w:ascii="MingLiU_HKSCS" w:hAnsi="MingLiU_HKSCS" w:eastAsia="MingLiU_HKSCS" w:cs="MingLiU_HKSCS"/>
          <w:highlight w:val="none"/>
        </w:rPr>
        <w:t>.</w:t>
      </w:r>
      <w:r>
        <w:rPr>
          <w:rFonts w:hint="eastAsia" w:hAnsi="宋体" w:cs="宋体"/>
          <w:highlight w:val="none"/>
        </w:rPr>
        <w:t>9吨，让人民群众吃上放心肉。</w:t>
      </w:r>
    </w:p>
    <w:p w14:paraId="4D5CBFF5">
      <w:pPr>
        <w:pStyle w:val="4"/>
        <w:bidi w:val="0"/>
        <w:rPr>
          <w:rFonts w:hint="eastAsia"/>
          <w:highlight w:val="none"/>
        </w:rPr>
      </w:pPr>
      <w:r>
        <w:rPr>
          <w:rFonts w:hint="eastAsia"/>
          <w:highlight w:val="none"/>
        </w:rPr>
        <w:t>【养殖减排治理】</w:t>
      </w:r>
    </w:p>
    <w:p w14:paraId="0DB99EB1">
      <w:pPr>
        <w:rPr>
          <w:rFonts w:hint="eastAsia" w:hAnsi="宋体" w:cs="宋体"/>
          <w:highlight w:val="none"/>
        </w:rPr>
      </w:pPr>
      <w:r>
        <w:rPr>
          <w:rFonts w:hint="eastAsia" w:hAnsi="宋体" w:cs="宋体"/>
          <w:highlight w:val="none"/>
        </w:rPr>
        <w:t>配合环保部门抓好南雄市农业源减排工作，2015年关闭养殖场32家，猪规模养殖场减排121家，并由市政府和各镇（街道）畜禽养殖“三区”划分实施方案。</w:t>
      </w:r>
    </w:p>
    <w:p w14:paraId="2C8F04DE">
      <w:pPr>
        <w:pStyle w:val="4"/>
        <w:bidi w:val="0"/>
        <w:rPr>
          <w:rFonts w:hint="eastAsia"/>
          <w:highlight w:val="none"/>
        </w:rPr>
      </w:pPr>
      <w:r>
        <w:rPr>
          <w:rFonts w:hint="eastAsia"/>
          <w:highlight w:val="none"/>
        </w:rPr>
        <w:t>【渔政执法工作】</w:t>
      </w:r>
    </w:p>
    <w:p w14:paraId="28BD72B6">
      <w:pPr>
        <w:rPr>
          <w:rFonts w:hint="eastAsia" w:hAnsi="宋体" w:cs="宋体"/>
          <w:highlight w:val="none"/>
        </w:rPr>
      </w:pPr>
      <w:r>
        <w:rPr>
          <w:rFonts w:hint="eastAsia" w:hAnsi="宋体" w:cs="宋体"/>
          <w:highlight w:val="none"/>
        </w:rPr>
        <w:t>重点抓好浈江、凌江流域非法捕捞行为，平均3天对2条河道进行巡查1次，禁渔期间劝离捕鱼人员30多人次，收缴非法电渔工具3套。打击非法捕捞行为，维持渔业生产秩序，促进浈江、凌江流域渔业可持续发展。</w:t>
      </w:r>
    </w:p>
    <w:p w14:paraId="1AFD47FB">
      <w:pPr>
        <w:pStyle w:val="4"/>
        <w:bidi w:val="0"/>
        <w:rPr>
          <w:rFonts w:hint="eastAsia"/>
          <w:highlight w:val="none"/>
        </w:rPr>
      </w:pPr>
      <w:r>
        <w:rPr>
          <w:rFonts w:hint="eastAsia"/>
          <w:highlight w:val="none"/>
        </w:rPr>
        <w:t>【发展特种水产养殖】</w:t>
      </w:r>
    </w:p>
    <w:p w14:paraId="27A0B108">
      <w:pPr>
        <w:rPr>
          <w:rFonts w:hint="eastAsia" w:hAnsi="宋体" w:cs="宋体"/>
          <w:highlight w:val="none"/>
        </w:rPr>
      </w:pPr>
      <w:r>
        <w:rPr>
          <w:rFonts w:hint="eastAsia" w:hAnsi="宋体" w:cs="宋体"/>
          <w:highlight w:val="none"/>
        </w:rPr>
        <w:t>抓好水产优质鱼的养殖。为推动山塘、水库的优质水产品养殖，改变传统水产养殖结构，2015年特选适应水库养殖的品种“三角鲂”纯正亲鱼800公斤，在水口、江头的中小型水库繁育养殖，取得较好成效。金友公司在南亩登氏林场养殖娃娃鱼和中华鲟取得成功。抓好黑颈龟养殖。全国现存在可繁殖种龟3000—3500只，其中南雄占有1600多只（后备种龟约4000多只），是黑颈乌龟最大野生种质资源地，也是最大黑颈乌龟种苗繁殖地和交易地。2015年全市养龟户发展到230多户，产黑颈龟苗约8000多只。</w:t>
      </w:r>
    </w:p>
    <w:p w14:paraId="13AEC67C">
      <w:pPr>
        <w:pStyle w:val="4"/>
        <w:bidi w:val="0"/>
        <w:rPr>
          <w:rFonts w:hint="eastAsia"/>
          <w:highlight w:val="none"/>
        </w:rPr>
      </w:pPr>
      <w:r>
        <w:rPr>
          <w:rFonts w:hint="eastAsia"/>
          <w:highlight w:val="none"/>
        </w:rPr>
        <w:t>【项目工程建设】</w:t>
      </w:r>
    </w:p>
    <w:p w14:paraId="69FDBE31">
      <w:pPr>
        <w:rPr>
          <w:rFonts w:hint="eastAsia" w:hAnsi="宋体" w:cs="宋体"/>
          <w:highlight w:val="none"/>
        </w:rPr>
      </w:pPr>
      <w:r>
        <w:rPr>
          <w:rFonts w:hint="eastAsia" w:hAnsi="宋体" w:cs="宋体"/>
          <w:highlight w:val="none"/>
        </w:rPr>
        <w:t>2015年争取畜牧猪小区规模化建设和菜篮子工程以及水产规模化养殖建设项目，加大其他项目的招商力度。</w:t>
      </w:r>
    </w:p>
    <w:p w14:paraId="71B3D193">
      <w:pPr>
        <w:rPr>
          <w:rFonts w:hint="eastAsia" w:hAnsi="宋体" w:cs="宋体"/>
          <w:highlight w:val="none"/>
        </w:rPr>
      </w:pPr>
      <w:r>
        <w:rPr>
          <w:rFonts w:hint="eastAsia" w:hAnsi="宋体" w:cs="宋体"/>
          <w:highlight w:val="none"/>
        </w:rPr>
        <w:t>继续抓好安全古塘黑颈龟良种场建设。该良种场的建设目前主办公大楼七层主体和合作社专用楼已经完成，副楼主体三层已经完成，隐蔽工程和龟池、塘边护提建设目前已完成，现在主楼和副楼内部装饰工程正在进行。该良种场是集产品展销、龟苗生产、技术培训、交流、科研等于一体的场所。为大力发展黑颈乌龟的养殖奠定了坚实基础。</w:t>
      </w:r>
    </w:p>
    <w:p w14:paraId="4B09ABAB">
      <w:pPr>
        <w:pStyle w:val="4"/>
        <w:bidi w:val="0"/>
        <w:rPr>
          <w:rFonts w:hint="eastAsia"/>
          <w:highlight w:val="none"/>
        </w:rPr>
      </w:pPr>
      <w:r>
        <w:rPr>
          <w:rFonts w:hint="eastAsia"/>
          <w:highlight w:val="none"/>
        </w:rPr>
        <w:t>【信访维稳工作】</w:t>
      </w:r>
    </w:p>
    <w:p w14:paraId="7C7A3258">
      <w:pPr>
        <w:rPr>
          <w:rFonts w:hint="eastAsia" w:hAnsi="宋体" w:cs="宋体"/>
          <w:highlight w:val="none"/>
        </w:rPr>
      </w:pPr>
      <w:r>
        <w:rPr>
          <w:rFonts w:hint="eastAsia" w:hAnsi="宋体" w:cs="宋体"/>
          <w:highlight w:val="none"/>
        </w:rPr>
        <w:t>做好矛盾纠纷排查工作，主要对原兽医员要求解决编制、财政全额拨款工资等诉求和原四大公司下岗人员要求解决社保、医保等诉求，妥善解决信访群众的合理诉求，做好耐心细致思想政治工作，维护社会稳定。（李芳红）</w:t>
      </w:r>
    </w:p>
    <w:p w14:paraId="0FA61B8C">
      <w:pPr>
        <w:rPr>
          <w:rFonts w:hint="eastAsia" w:hAnsi="宋体" w:eastAsia="宋体" w:cs="宋体"/>
          <w:b w:val="0"/>
          <w:bCs w:val="0"/>
          <w:highlight w:val="none"/>
          <w:lang w:eastAsia="zh-CN"/>
        </w:rPr>
      </w:pPr>
      <w:r>
        <w:rPr>
          <w:rFonts w:hint="eastAsia" w:hAnsi="宋体" w:cs="宋体"/>
          <w:b w:val="0"/>
          <w:bCs w:val="0"/>
          <w:highlight w:val="none"/>
        </w:rPr>
        <w:t>附：2015年市畜牧兽医水产局班子成员名单</w:t>
      </w:r>
    </w:p>
    <w:p w14:paraId="618B51F0">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长：张红华</w:t>
      </w:r>
    </w:p>
    <w:p w14:paraId="23985F66">
      <w:pPr>
        <w:rPr>
          <w:rFonts w:hint="eastAsia" w:hAnsi="宋体" w:eastAsia="宋体" w:cs="宋体"/>
          <w:b w:val="0"/>
          <w:bCs w:val="0"/>
          <w:highlight w:val="none"/>
          <w:lang w:eastAsia="zh-CN"/>
        </w:rPr>
      </w:pPr>
      <w:r>
        <w:rPr>
          <w:rFonts w:hint="eastAsia" w:hAnsi="宋体" w:cs="宋体"/>
          <w:b w:val="0"/>
          <w:bCs w:val="0"/>
          <w:highlight w:val="none"/>
        </w:rPr>
        <w:t>副局长：张帮生 张燕宏</w:t>
      </w:r>
    </w:p>
    <w:p w14:paraId="3183B5EC">
      <w:pPr>
        <w:rPr>
          <w:rFonts w:hint="eastAsia" w:hAnsi="宋体" w:eastAsia="宋体" w:cs="宋体"/>
          <w:b w:val="0"/>
          <w:bCs w:val="0"/>
          <w:highlight w:val="none"/>
          <w:lang w:eastAsia="zh-CN"/>
        </w:rPr>
      </w:pPr>
      <w:r>
        <w:rPr>
          <w:rFonts w:hint="eastAsia" w:hAnsi="宋体" w:cs="宋体"/>
          <w:b w:val="0"/>
          <w:bCs w:val="0"/>
          <w:highlight w:val="none"/>
        </w:rPr>
        <w:t>工会主席：龚金凤</w:t>
      </w:r>
    </w:p>
    <w:p w14:paraId="2C11B6E9">
      <w:pPr>
        <w:rPr>
          <w:rFonts w:hint="eastAsia" w:hAnsi="宋体" w:cs="宋体"/>
          <w:b w:val="0"/>
          <w:bCs w:val="0"/>
          <w:highlight w:val="none"/>
        </w:rPr>
      </w:pPr>
      <w:r>
        <w:rPr>
          <w:rFonts w:hint="eastAsia" w:hAnsi="宋体" w:cs="宋体"/>
          <w:b w:val="0"/>
          <w:bCs w:val="0"/>
          <w:highlight w:val="none"/>
        </w:rPr>
        <w:t>总畜牧兽医师：谢俊兰</w:t>
      </w:r>
    </w:p>
    <w:p w14:paraId="436D4FF6">
      <w:pPr>
        <w:pStyle w:val="3"/>
        <w:bidi w:val="0"/>
        <w:rPr>
          <w:rFonts w:hint="eastAsia"/>
          <w:highlight w:val="none"/>
        </w:rPr>
      </w:pPr>
      <w:r>
        <w:rPr>
          <w:rFonts w:hint="eastAsia"/>
          <w:highlight w:val="none"/>
        </w:rPr>
        <w:t>林业</w:t>
      </w:r>
    </w:p>
    <w:p w14:paraId="7D257EFF">
      <w:pPr>
        <w:pStyle w:val="4"/>
        <w:bidi w:val="0"/>
        <w:rPr>
          <w:rFonts w:hint="eastAsia"/>
          <w:highlight w:val="none"/>
        </w:rPr>
      </w:pPr>
      <w:r>
        <w:rPr>
          <w:rFonts w:hint="eastAsia"/>
          <w:highlight w:val="none"/>
        </w:rPr>
        <w:t>【概况】</w:t>
      </w:r>
    </w:p>
    <w:p w14:paraId="356D520A">
      <w:pPr>
        <w:rPr>
          <w:rFonts w:hint="eastAsia" w:hAnsi="宋体" w:cs="宋体"/>
          <w:highlight w:val="none"/>
        </w:rPr>
      </w:pPr>
      <w:r>
        <w:rPr>
          <w:rFonts w:hint="eastAsia" w:hAnsi="宋体" w:cs="宋体"/>
          <w:highlight w:val="none"/>
        </w:rPr>
        <w:t>南雄市是国家级重点生态功能区和广东省重点林区，先后被授予“全国造林绿化百佳县”“中国银杏之乡”“中国特色竹乡”“广东省林业生态县”等称号。全市现有林业用地面积239</w:t>
      </w:r>
      <w:r>
        <w:rPr>
          <w:rFonts w:hint="eastAsia" w:ascii="MingLiU_HKSCS" w:hAnsi="MingLiU_HKSCS" w:eastAsia="MingLiU_HKSCS" w:cs="MingLiU_HKSCS"/>
          <w:highlight w:val="none"/>
        </w:rPr>
        <w:t>.</w:t>
      </w:r>
      <w:r>
        <w:rPr>
          <w:rFonts w:hint="eastAsia" w:hAnsi="宋体" w:cs="宋体"/>
          <w:highlight w:val="none"/>
        </w:rPr>
        <w:t>09万亩，占总面积的68%，现有有林地面积226</w:t>
      </w:r>
      <w:r>
        <w:rPr>
          <w:rFonts w:hint="eastAsia" w:ascii="MingLiU_HKSCS" w:hAnsi="MingLiU_HKSCS" w:eastAsia="MingLiU_HKSCS" w:cs="MingLiU_HKSCS"/>
          <w:highlight w:val="none"/>
        </w:rPr>
        <w:t>.</w:t>
      </w:r>
      <w:r>
        <w:rPr>
          <w:rFonts w:hint="eastAsia" w:hAnsi="宋体" w:cs="宋体"/>
          <w:highlight w:val="none"/>
        </w:rPr>
        <w:t>95万亩，森林覆盖率66</w:t>
      </w:r>
      <w:r>
        <w:rPr>
          <w:rFonts w:hint="eastAsia" w:ascii="MingLiU_HKSCS" w:hAnsi="MingLiU_HKSCS" w:eastAsia="MingLiU_HKSCS" w:cs="MingLiU_HKSCS"/>
          <w:highlight w:val="none"/>
        </w:rPr>
        <w:t>.</w:t>
      </w:r>
      <w:r>
        <w:rPr>
          <w:rFonts w:hint="eastAsia" w:hAnsi="宋体" w:cs="宋体"/>
          <w:highlight w:val="none"/>
        </w:rPr>
        <w:t>86%，森林蓄积量910万立方米。近年来，林木年生长量均在36万立方米左右，年消耗量在20万立方米左右，森林资源持续保持增长态势。按分类经营工作方针，全市森林分商品林和生态公益林两大类进行分类经营管理，其中国家级生态林和省级生态公益林面积为112万多亩，建成小流坑—青嶂山省级自然保护区、孔江国家湿地公园和帽子峰省级森林公园，雄州、梅关、苍石、观音山、秤砣岭、坪田银杏、罗佛寨等县级森林公园。</w:t>
      </w:r>
    </w:p>
    <w:p w14:paraId="1C26FCCB">
      <w:pPr>
        <w:pStyle w:val="4"/>
        <w:bidi w:val="0"/>
        <w:rPr>
          <w:rFonts w:hint="eastAsia"/>
          <w:highlight w:val="none"/>
        </w:rPr>
      </w:pPr>
      <w:r>
        <w:rPr>
          <w:rFonts w:hint="eastAsia"/>
          <w:highlight w:val="none"/>
        </w:rPr>
        <w:t>【造林绿化】</w:t>
      </w:r>
    </w:p>
    <w:p w14:paraId="0B6FAE88">
      <w:pPr>
        <w:rPr>
          <w:rFonts w:hint="eastAsia" w:hAnsi="宋体" w:cs="宋体"/>
          <w:highlight w:val="none"/>
        </w:rPr>
      </w:pPr>
      <w:r>
        <w:rPr>
          <w:rFonts w:hint="eastAsia" w:hAnsi="宋体" w:cs="宋体"/>
          <w:highlight w:val="none"/>
        </w:rPr>
        <w:t>2015年</w:t>
      </w:r>
      <w:r>
        <w:rPr>
          <w:rFonts w:hint="eastAsia" w:hAnsi="宋体" w:cs="宋体"/>
          <w:highlight w:val="none"/>
          <w:lang w:eastAsia="zh-CN"/>
        </w:rPr>
        <w:t>，</w:t>
      </w:r>
      <w:r>
        <w:rPr>
          <w:rFonts w:hint="eastAsia" w:hAnsi="宋体" w:cs="宋体"/>
          <w:highlight w:val="none"/>
        </w:rPr>
        <w:t>全市完成春季造林任务5</w:t>
      </w:r>
      <w:r>
        <w:rPr>
          <w:rFonts w:hint="eastAsia" w:ascii="MingLiU_HKSCS" w:hAnsi="MingLiU_HKSCS" w:eastAsia="MingLiU_HKSCS" w:cs="MingLiU_HKSCS"/>
          <w:highlight w:val="none"/>
        </w:rPr>
        <w:t>.</w:t>
      </w:r>
      <w:r>
        <w:rPr>
          <w:rFonts w:hint="eastAsia" w:hAnsi="宋体" w:cs="宋体"/>
          <w:highlight w:val="none"/>
        </w:rPr>
        <w:t>5万亩，其中，森林碳汇、乡村绿化美化和生态景观林带及森林围城等重点生态工程林4</w:t>
      </w:r>
      <w:r>
        <w:rPr>
          <w:rFonts w:hint="eastAsia" w:ascii="MingLiU_HKSCS" w:hAnsi="MingLiU_HKSCS" w:eastAsia="MingLiU_HKSCS" w:cs="MingLiU_HKSCS"/>
          <w:highlight w:val="none"/>
        </w:rPr>
        <w:t>.</w:t>
      </w:r>
      <w:r>
        <w:rPr>
          <w:rFonts w:hint="eastAsia" w:hAnsi="宋体" w:cs="宋体"/>
          <w:highlight w:val="none"/>
        </w:rPr>
        <w:t>5万亩，迹地更新和社会造林等商品林1万多亩。经检查验收造林成活率达95%以上。植树节期间，市四套班子领导与林业局干部职工在雄州公园开展义务植树活动，与此同时，各镇、街道也迅速掀起了植树造林热潮，全市各镇、街道及单位共完成义务植树80万多株，为南雄绿化工作做出贡献。</w:t>
      </w:r>
    </w:p>
    <w:p w14:paraId="4335C13F">
      <w:pPr>
        <w:pStyle w:val="4"/>
        <w:bidi w:val="0"/>
        <w:rPr>
          <w:rFonts w:hint="eastAsia"/>
          <w:highlight w:val="none"/>
        </w:rPr>
      </w:pPr>
      <w:r>
        <w:rPr>
          <w:rFonts w:hint="eastAsia"/>
          <w:highlight w:val="none"/>
        </w:rPr>
        <w:t>【确保造林成效】</w:t>
      </w:r>
    </w:p>
    <w:p w14:paraId="36A71A03">
      <w:pPr>
        <w:rPr>
          <w:rFonts w:hint="eastAsia" w:hAnsi="宋体" w:cs="宋体"/>
          <w:highlight w:val="none"/>
        </w:rPr>
      </w:pPr>
      <w:r>
        <w:rPr>
          <w:rFonts w:hint="eastAsia" w:hAnsi="宋体" w:cs="宋体"/>
          <w:highlight w:val="none"/>
        </w:rPr>
        <w:t>落实南雄林业重点工作任务，及时、准确地掌握全市造林情况，保证造林成果。2015年，林业局领导班子和各部门负责人组成督导小组分别到各挂点乡镇的工程造林现场检查督导工程造林开展情况，督导人员每到一处都严格抓好造林质量工作，查看是否选用良种壮苗上山、是否下足基肥等造林相关工作，保证造林成活率。</w:t>
      </w:r>
    </w:p>
    <w:p w14:paraId="57BDC2E1">
      <w:pPr>
        <w:pStyle w:val="4"/>
        <w:bidi w:val="0"/>
        <w:rPr>
          <w:rFonts w:hint="eastAsia"/>
          <w:highlight w:val="none"/>
        </w:rPr>
      </w:pPr>
      <w:r>
        <w:rPr>
          <w:rFonts w:hint="eastAsia"/>
          <w:highlight w:val="none"/>
        </w:rPr>
        <w:t>【创建全国绿化模范县】</w:t>
      </w:r>
    </w:p>
    <w:p w14:paraId="37C875CF">
      <w:pPr>
        <w:rPr>
          <w:rFonts w:hint="eastAsia" w:hAnsi="宋体" w:cs="宋体"/>
          <w:highlight w:val="none"/>
        </w:rPr>
      </w:pPr>
      <w:r>
        <w:rPr>
          <w:rFonts w:hint="eastAsia" w:hAnsi="宋体" w:cs="宋体"/>
          <w:highlight w:val="none"/>
        </w:rPr>
        <w:t>2015年，林业局精心组织，脚踏实地地开展创建全国绿化模范县各项工作，通过全国绿化模范县核查组的核查，认为各项绿化工作考核指标均达到绿化模范县标准。自创模工作开展以来，全市绿化工作取得明显成效，森林资源和绿地面积明显增加，生态质量明显提升，生态功能明显增强，城乡生态环境发生显著的变化。</w:t>
      </w:r>
    </w:p>
    <w:p w14:paraId="57C9D9B4">
      <w:pPr>
        <w:pStyle w:val="4"/>
        <w:bidi w:val="0"/>
        <w:rPr>
          <w:rFonts w:hint="eastAsia"/>
          <w:highlight w:val="none"/>
        </w:rPr>
      </w:pPr>
      <w:r>
        <w:rPr>
          <w:rFonts w:hint="eastAsia"/>
          <w:highlight w:val="none"/>
        </w:rPr>
        <w:t>【林政管理】</w:t>
      </w:r>
    </w:p>
    <w:p w14:paraId="25313F55">
      <w:pPr>
        <w:rPr>
          <w:rFonts w:hint="eastAsia" w:hAnsi="宋体" w:cs="宋体"/>
          <w:highlight w:val="none"/>
        </w:rPr>
      </w:pPr>
      <w:r>
        <w:rPr>
          <w:rFonts w:hint="eastAsia" w:hAnsi="宋体" w:cs="宋体"/>
          <w:highlight w:val="none"/>
        </w:rPr>
        <w:t>2015年，林业局坚持依法行政，做好林业行政执法工作。实行林木限额采伐，林木采伐量比上年压减9000立方米；通过建立伐区管理责任人制度，强化伐区管理，使滥伐林木案件下降20%。</w:t>
      </w:r>
    </w:p>
    <w:p w14:paraId="05CD7793">
      <w:pPr>
        <w:pStyle w:val="4"/>
        <w:bidi w:val="0"/>
        <w:rPr>
          <w:rFonts w:hint="eastAsia"/>
          <w:highlight w:val="none"/>
        </w:rPr>
      </w:pPr>
      <w:r>
        <w:rPr>
          <w:rFonts w:hint="eastAsia"/>
          <w:highlight w:val="none"/>
        </w:rPr>
        <w:t>【森林资源保护】</w:t>
      </w:r>
    </w:p>
    <w:p w14:paraId="5DB7D6D1">
      <w:pPr>
        <w:rPr>
          <w:rFonts w:hint="eastAsia" w:hAnsi="宋体" w:cs="宋体"/>
          <w:highlight w:val="none"/>
        </w:rPr>
      </w:pPr>
      <w:r>
        <w:rPr>
          <w:rFonts w:hint="eastAsia" w:hAnsi="宋体" w:cs="宋体"/>
          <w:highlight w:val="none"/>
        </w:rPr>
        <w:t>2015年，林业局执法部门联合公安森林分局精心组织，全力出击，组织开展以保护森林生态资源为中心的 “利剑”“两伐”等专项整治行动，加大对破坏森林资源违法犯罪行为打击力度，林区治安秩序明显好转，森林案件呈下降趋势。查处林业违法案件148宗，其中刑事案件3宗，行政案件145宗，依法处理违法人员230余人次。</w:t>
      </w:r>
    </w:p>
    <w:p w14:paraId="420C2F0B">
      <w:pPr>
        <w:pStyle w:val="4"/>
        <w:bidi w:val="0"/>
        <w:rPr>
          <w:rFonts w:hint="eastAsia"/>
          <w:highlight w:val="none"/>
        </w:rPr>
      </w:pPr>
      <w:r>
        <w:rPr>
          <w:rFonts w:hint="eastAsia"/>
          <w:highlight w:val="none"/>
        </w:rPr>
        <w:t>【野生动物保护】</w:t>
      </w:r>
    </w:p>
    <w:p w14:paraId="0A3A174E">
      <w:pPr>
        <w:rPr>
          <w:rFonts w:hint="eastAsia" w:hAnsi="宋体" w:cs="宋体"/>
          <w:highlight w:val="none"/>
        </w:rPr>
      </w:pPr>
      <w:r>
        <w:rPr>
          <w:rFonts w:hint="eastAsia" w:hAnsi="宋体" w:cs="宋体"/>
          <w:highlight w:val="none"/>
        </w:rPr>
        <w:t>全面打击乱捕滥猎野生动物违法犯罪活动，2015年，林业局执法部门联合公安森林分局严厉打击涉林违法行为，开展野生动物保护专项行动，切实保护好南雄市野生动物资源，维护南雄生态文明建设成果。行动开展以来，破获多起乱捕滥猎野生动物案件，查获黄猄2只，猪獾、狗獾、鼬獾等獾类133只，野生动物鸟类350只（其中活体288只，死体62只）、乌梢蛇、赤链蛇等蛇类230条（活体）、捕鸟拉网8张，蛙类101只。野生动物活体均已放生。</w:t>
      </w:r>
    </w:p>
    <w:p w14:paraId="348B3FCC">
      <w:pPr>
        <w:pStyle w:val="4"/>
        <w:bidi w:val="0"/>
        <w:rPr>
          <w:rFonts w:hint="eastAsia"/>
          <w:highlight w:val="none"/>
        </w:rPr>
      </w:pPr>
      <w:r>
        <w:rPr>
          <w:rFonts w:hint="eastAsia"/>
          <w:highlight w:val="none"/>
        </w:rPr>
        <w:t>【森林防火工作】</w:t>
      </w:r>
    </w:p>
    <w:p w14:paraId="253CE5AB">
      <w:pPr>
        <w:rPr>
          <w:rFonts w:hint="eastAsia" w:hAnsi="宋体" w:cs="宋体"/>
          <w:highlight w:val="none"/>
        </w:rPr>
      </w:pPr>
      <w:r>
        <w:rPr>
          <w:rFonts w:hint="eastAsia" w:hAnsi="宋体" w:cs="宋体"/>
          <w:highlight w:val="none"/>
        </w:rPr>
        <w:t>2015年，林业局全面落实森林防火责任，加强防火宣传工作，严格野外用火管理，抓好队伍建设，强化值班监控火警报告制度，实现对林区森林火灾情况进行实时动态监测，全面提升森林防火水平和提高森林消防综合能力。同时，安排专业人员到各镇、街道对镇村干部及护林员进行森林防火授课培训。清明时节，天干物燥，野外火源管理极其严峻，爆竹的燃放极易引发森林火灾，对此，林业局和森林防火指挥部认真抓好森林防火责任落实与队伍建设、强化野外用火管理、做好扑火物资准备，另外，安排各部门人员到挂点联系乡镇进行巡查，切实抓好森林防火工作。</w:t>
      </w:r>
    </w:p>
    <w:p w14:paraId="4F322B28">
      <w:pPr>
        <w:pStyle w:val="4"/>
        <w:bidi w:val="0"/>
        <w:rPr>
          <w:rFonts w:hint="eastAsia"/>
          <w:highlight w:val="none"/>
        </w:rPr>
      </w:pPr>
      <w:r>
        <w:rPr>
          <w:rFonts w:hint="eastAsia"/>
          <w:highlight w:val="none"/>
        </w:rPr>
        <w:t>【“双学双比”活动】</w:t>
      </w:r>
    </w:p>
    <w:p w14:paraId="215EFB52">
      <w:pPr>
        <w:rPr>
          <w:rFonts w:hint="eastAsia" w:hAnsi="宋体" w:cs="宋体"/>
          <w:highlight w:val="none"/>
        </w:rPr>
      </w:pPr>
      <w:r>
        <w:rPr>
          <w:rFonts w:hint="eastAsia" w:hAnsi="宋体" w:cs="宋体"/>
          <w:highlight w:val="none"/>
        </w:rPr>
        <w:t>2015年，林业局组织开展“双学双比”主题活动和“项目落实年”的总体要求，结合工作实际，制定《南雄市林业局2015年各单位各部门工作目标和工作亮点》。要求各单位各部门在认真履行职责，切实抓好各项本职工作的基础上，按照讲规矩、定目标、创亮点、争先进要求，以“精、准、细、廉”工作方法为抓手，踏踏实实做好每一项工作，确保每一项工作目标按要求完成，每一个工作亮点发挥“闪亮”效果。荣获“2015南雄榜样”先进集体。</w:t>
      </w:r>
    </w:p>
    <w:p w14:paraId="60B5FB39">
      <w:pPr>
        <w:pStyle w:val="4"/>
        <w:bidi w:val="0"/>
        <w:rPr>
          <w:rFonts w:hint="eastAsia"/>
          <w:highlight w:val="none"/>
        </w:rPr>
      </w:pPr>
      <w:r>
        <w:rPr>
          <w:rFonts w:hint="eastAsia"/>
          <w:highlight w:val="none"/>
        </w:rPr>
        <w:t>【林科所】</w:t>
      </w:r>
    </w:p>
    <w:p w14:paraId="6A77B103">
      <w:pPr>
        <w:rPr>
          <w:rFonts w:hint="eastAsia" w:hAnsi="宋体" w:cs="宋体"/>
          <w:highlight w:val="none"/>
        </w:rPr>
      </w:pPr>
      <w:r>
        <w:rPr>
          <w:rFonts w:hint="eastAsia" w:hAnsi="宋体" w:cs="宋体"/>
          <w:highlight w:val="none"/>
        </w:rPr>
        <w:t>2015年，林科所完成苗木生产近220亩，新增苗木培育面积30亩，培育苗木达300多万株，为2016年各项重点工程造林提供优质壮苗奠定基础，所培育苗木有杉苗40万株，枫香80万株、木荷60万株、香樟、杜英、火力楠、无患子各10万株，同时承接上级红锥良种苗木培育任务100万株。2015年春季为义务植树、“乡村绿化美化”以及各项造林工程项目和周边园林绿化提供约250多万株的优质壮苗，主要园林及乡村绿化树种有美花红千层、黄金香柳、栾树、闽楠、罗汉松、苏铁、美人梅等，保证南雄市生态建设各类苗木需求。同时，林科所着眼于苗木市场需求做好市场调查，并根据主管部门部署，做好来年苗木生产规划和培育工作，计划从苗木品质上、品种上作规划，并在科研方面有所提升。</w:t>
      </w:r>
    </w:p>
    <w:p w14:paraId="7994E0E9">
      <w:pPr>
        <w:jc w:val="right"/>
        <w:rPr>
          <w:rFonts w:hint="eastAsia" w:hAnsi="宋体" w:cs="宋体"/>
          <w:highlight w:val="none"/>
        </w:rPr>
      </w:pPr>
      <w:r>
        <w:rPr>
          <w:rFonts w:hint="eastAsia" w:hAnsi="宋体" w:cs="宋体"/>
          <w:highlight w:val="none"/>
        </w:rPr>
        <w:t>（陈帆）</w:t>
      </w:r>
    </w:p>
    <w:p w14:paraId="15CD087D">
      <w:pPr>
        <w:rPr>
          <w:rFonts w:hint="eastAsia" w:hAnsi="宋体" w:eastAsia="宋体" w:cs="宋体"/>
          <w:b w:val="0"/>
          <w:bCs w:val="0"/>
          <w:highlight w:val="none"/>
          <w:lang w:eastAsia="zh-CN"/>
        </w:rPr>
      </w:pPr>
      <w:r>
        <w:rPr>
          <w:rFonts w:hint="eastAsia" w:hAnsi="宋体" w:cs="宋体"/>
          <w:b w:val="0"/>
          <w:bCs w:val="0"/>
          <w:highlight w:val="none"/>
        </w:rPr>
        <w:t>附：2015年市林业局领导班子成员名单</w:t>
      </w:r>
    </w:p>
    <w:p w14:paraId="7C976FBF">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长：张英宏</w:t>
      </w:r>
    </w:p>
    <w:p w14:paraId="74529CF7">
      <w:pPr>
        <w:rPr>
          <w:rFonts w:hint="eastAsia" w:hAnsi="宋体" w:eastAsia="宋体" w:cs="宋体"/>
          <w:b w:val="0"/>
          <w:bCs w:val="0"/>
          <w:highlight w:val="none"/>
          <w:lang w:eastAsia="zh-CN"/>
        </w:rPr>
      </w:pPr>
      <w:r>
        <w:rPr>
          <w:rFonts w:hint="eastAsia" w:hAnsi="宋体" w:cs="宋体"/>
          <w:b w:val="0"/>
          <w:bCs w:val="0"/>
          <w:highlight w:val="none"/>
        </w:rPr>
        <w:t>副局长：李天勤 刘伟凡 高韶金</w:t>
      </w:r>
    </w:p>
    <w:p w14:paraId="51C7BDD6">
      <w:pPr>
        <w:rPr>
          <w:rFonts w:hint="eastAsia" w:hAnsi="宋体" w:eastAsia="宋体" w:cs="宋体"/>
          <w:b w:val="0"/>
          <w:bCs w:val="0"/>
          <w:highlight w:val="none"/>
          <w:lang w:eastAsia="zh-CN"/>
        </w:rPr>
      </w:pPr>
      <w:r>
        <w:rPr>
          <w:rFonts w:hint="eastAsia" w:hAnsi="宋体" w:cs="宋体"/>
          <w:b w:val="0"/>
          <w:bCs w:val="0"/>
          <w:highlight w:val="none"/>
        </w:rPr>
        <w:t>纪检组长：周才斌</w:t>
      </w:r>
    </w:p>
    <w:p w14:paraId="24E49625">
      <w:pPr>
        <w:rPr>
          <w:rFonts w:hint="eastAsia" w:hAnsi="宋体" w:eastAsia="宋体" w:cs="宋体"/>
          <w:highlight w:val="none"/>
          <w:lang w:eastAsia="zh-CN"/>
        </w:rPr>
      </w:pPr>
      <w:r>
        <w:rPr>
          <w:rFonts w:hint="eastAsia" w:hAnsi="宋体" w:cs="宋体"/>
          <w:highlight w:val="none"/>
        </w:rPr>
        <w:t>工会主席：喻瑶平</w:t>
      </w:r>
    </w:p>
    <w:p w14:paraId="1BC565ED">
      <w:pPr>
        <w:rPr>
          <w:rFonts w:hint="eastAsia" w:hAnsi="宋体" w:eastAsia="宋体" w:cs="宋体"/>
          <w:highlight w:val="none"/>
          <w:lang w:eastAsia="zh-CN"/>
        </w:rPr>
      </w:pPr>
      <w:r>
        <w:rPr>
          <w:rFonts w:hint="eastAsia" w:hAnsi="宋体" w:cs="宋体"/>
          <w:highlight w:val="none"/>
        </w:rPr>
        <w:t>公安局森林分局局长：黄得龙</w:t>
      </w:r>
    </w:p>
    <w:p w14:paraId="31039C17">
      <w:pPr>
        <w:pStyle w:val="3"/>
        <w:bidi w:val="0"/>
        <w:rPr>
          <w:rFonts w:hint="eastAsia"/>
          <w:highlight w:val="none"/>
        </w:rPr>
      </w:pPr>
      <w:r>
        <w:rPr>
          <w:rFonts w:hint="eastAsia"/>
          <w:highlight w:val="none"/>
        </w:rPr>
        <w:t>森林公安</w:t>
      </w:r>
    </w:p>
    <w:p w14:paraId="04BAC87C">
      <w:pPr>
        <w:pStyle w:val="4"/>
        <w:bidi w:val="0"/>
        <w:rPr>
          <w:rFonts w:hint="eastAsia"/>
          <w:highlight w:val="none"/>
        </w:rPr>
      </w:pPr>
      <w:r>
        <w:rPr>
          <w:rFonts w:hint="eastAsia"/>
          <w:highlight w:val="none"/>
        </w:rPr>
        <w:t>【概况】</w:t>
      </w:r>
    </w:p>
    <w:p w14:paraId="3781D9FB">
      <w:pPr>
        <w:rPr>
          <w:rFonts w:hint="eastAsia" w:hAnsi="宋体" w:cs="宋体"/>
          <w:highlight w:val="none"/>
        </w:rPr>
      </w:pPr>
      <w:r>
        <w:rPr>
          <w:rFonts w:hint="eastAsia" w:hAnsi="宋体" w:cs="宋体"/>
          <w:highlight w:val="none"/>
        </w:rPr>
        <w:t>南雄市公安局森林分局为南雄市林业局直属行政单位的副科级单位，内设政秘股、法制股和刑警队3个股（队），下设乌迳、水口和澜河3个派出所，共有编制人员32人。主要职能是负责协调督促和查处破坏森林资源的各种刑事案件和治安案件。2015年荣获集体三等功。</w:t>
      </w:r>
    </w:p>
    <w:p w14:paraId="791B451B">
      <w:pPr>
        <w:pStyle w:val="4"/>
        <w:bidi w:val="0"/>
        <w:rPr>
          <w:rFonts w:hint="eastAsia"/>
          <w:highlight w:val="none"/>
        </w:rPr>
      </w:pPr>
      <w:r>
        <w:rPr>
          <w:rFonts w:hint="eastAsia"/>
          <w:highlight w:val="none"/>
        </w:rPr>
        <w:t>【开展专项整治行动】</w:t>
      </w:r>
    </w:p>
    <w:p w14:paraId="0FEB9A98">
      <w:pPr>
        <w:rPr>
          <w:rFonts w:hint="eastAsia" w:hAnsi="宋体" w:cs="宋体"/>
          <w:highlight w:val="none"/>
        </w:rPr>
      </w:pPr>
      <w:r>
        <w:rPr>
          <w:rFonts w:hint="eastAsia" w:hAnsi="宋体" w:cs="宋体"/>
          <w:highlight w:val="none"/>
        </w:rPr>
        <w:t>2015年，在全市范围内相继开展“利剑行动”“蓝天行动”“雷霆行动”等专项行动，加大破坏森林资源违法犯罪行为打击力度，林区治安秩序有明显的好转，森林案件呈下降趋势。查处各类森林案件62宗，其中刑事案件6宗，林业行政案件56宗，查处各类违法人员143人次，其中刑拘6人，逮捕1人，取保候审5人，移送起诉10人，林业行政处罚121人次。</w:t>
      </w:r>
    </w:p>
    <w:p w14:paraId="69455EBA">
      <w:pPr>
        <w:pStyle w:val="4"/>
        <w:bidi w:val="0"/>
        <w:rPr>
          <w:rFonts w:hint="eastAsia"/>
          <w:highlight w:val="none"/>
        </w:rPr>
      </w:pPr>
      <w:r>
        <w:rPr>
          <w:rFonts w:hint="eastAsia"/>
          <w:highlight w:val="none"/>
        </w:rPr>
        <w:t>【保护野生动物资源】</w:t>
      </w:r>
    </w:p>
    <w:p w14:paraId="61F1B341">
      <w:pPr>
        <w:rPr>
          <w:rFonts w:hint="eastAsia" w:hAnsi="宋体" w:cs="宋体"/>
          <w:highlight w:val="none"/>
        </w:rPr>
      </w:pPr>
      <w:r>
        <w:rPr>
          <w:rFonts w:hint="eastAsia" w:hAnsi="宋体" w:cs="宋体"/>
          <w:highlight w:val="none"/>
        </w:rPr>
        <w:t>以专项行动为契机，强化野生动物保护管理，出动森林公安民警560人次，主要对车站、集贸市场、酒楼饭店、重点林区进行全面清理检查。查获3台客运大巴车，收缴蛇类、獾类等野生动物547只，野生鸟类558只，清缴捕鸟网20米，行政处罚6人次，有效保护了野生动物资源。</w:t>
      </w:r>
    </w:p>
    <w:p w14:paraId="7F48BDBA">
      <w:pPr>
        <w:pStyle w:val="4"/>
        <w:bidi w:val="0"/>
        <w:rPr>
          <w:rFonts w:hint="eastAsia"/>
          <w:highlight w:val="none"/>
        </w:rPr>
      </w:pPr>
      <w:r>
        <w:rPr>
          <w:rFonts w:hint="eastAsia"/>
          <w:highlight w:val="none"/>
        </w:rPr>
        <w:t>【加强山火案件查处】</w:t>
      </w:r>
    </w:p>
    <w:p w14:paraId="48806D38">
      <w:pPr>
        <w:rPr>
          <w:rFonts w:hint="eastAsia" w:hAnsi="宋体" w:cs="宋体"/>
          <w:highlight w:val="none"/>
        </w:rPr>
      </w:pPr>
      <w:r>
        <w:rPr>
          <w:rFonts w:hint="eastAsia" w:hAnsi="宋体" w:cs="宋体"/>
          <w:highlight w:val="none"/>
        </w:rPr>
        <w:t>2015年查处森林火灾刑事案件3宗，行政案件1宗，破获油山镇夹河口林场、江头镇南甫村委会西坑村较有影响力的山火案件，有效杜绝违规野外用火行为。通过深入开展“查处野外违规用火和森林火灾案件”行动，加强春节、元宵节、清明期间巡逻检查，有效防止因燃放孔明灯、烟花鞭炮引发的森林火灾，在接到火警情报时，采取第一时间赶赴现场调查取证，如实立案，严厉查处故意纵火和失火烧山行为。</w:t>
      </w:r>
    </w:p>
    <w:p w14:paraId="6C7E278F">
      <w:pPr>
        <w:pStyle w:val="4"/>
        <w:bidi w:val="0"/>
        <w:rPr>
          <w:rFonts w:hint="eastAsia"/>
          <w:highlight w:val="none"/>
        </w:rPr>
      </w:pPr>
      <w:r>
        <w:rPr>
          <w:rFonts w:hint="eastAsia"/>
          <w:highlight w:val="none"/>
        </w:rPr>
        <w:t>【增强基础设施建设】</w:t>
      </w:r>
    </w:p>
    <w:p w14:paraId="365F698B">
      <w:pPr>
        <w:rPr>
          <w:rFonts w:hint="eastAsia" w:hAnsi="宋体" w:cs="宋体"/>
          <w:highlight w:val="none"/>
        </w:rPr>
      </w:pPr>
      <w:r>
        <w:rPr>
          <w:rFonts w:hint="eastAsia" w:hAnsi="宋体" w:cs="宋体"/>
          <w:highlight w:val="none"/>
        </w:rPr>
        <w:t>2015年落实专项资金62万元。投入项目资金12</w:t>
      </w:r>
      <w:r>
        <w:rPr>
          <w:rFonts w:hint="eastAsia" w:ascii="MingLiU_HKSCS" w:hAnsi="MingLiU_HKSCS" w:eastAsia="MingLiU_HKSCS" w:cs="MingLiU_HKSCS"/>
          <w:highlight w:val="none"/>
        </w:rPr>
        <w:t>.</w:t>
      </w:r>
      <w:r>
        <w:rPr>
          <w:rFonts w:hint="eastAsia" w:hAnsi="宋体" w:cs="宋体"/>
          <w:highlight w:val="none"/>
        </w:rPr>
        <w:t>7万元购置台式计算机7台、打印机6台、GPS设备4台、执法记录仪12台、行车记录仪8套、视频监控设备1套。与财政、发改、国土、住建等部门协调，落实新建水口派出所业务技术用房项目建设，投入177万元。向省局和省财政厅争取新建澜河派出所业务技术用房项目资金80万元，正在开展用地和设计前期工作。投入资金8万多元对乌迳派出所的园林绿化、招牌标识、楼房大门、大厅予以装修改造，树立森林公安形象。（刘小芳）</w:t>
      </w:r>
    </w:p>
    <w:p w14:paraId="09236AC7">
      <w:pPr>
        <w:rPr>
          <w:rFonts w:hint="eastAsia" w:hAnsi="宋体" w:eastAsia="宋体" w:cs="宋体"/>
          <w:b w:val="0"/>
          <w:bCs w:val="0"/>
          <w:highlight w:val="none"/>
          <w:lang w:eastAsia="zh-CN"/>
        </w:rPr>
      </w:pPr>
      <w:r>
        <w:rPr>
          <w:rFonts w:hint="eastAsia" w:hAnsi="宋体" w:cs="宋体"/>
          <w:b w:val="0"/>
          <w:bCs w:val="0"/>
          <w:highlight w:val="none"/>
        </w:rPr>
        <w:t>附：2015年市森林公安分局领导班子成员名单</w:t>
      </w:r>
    </w:p>
    <w:p w14:paraId="2A19F3F0">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长：黄得龙</w:t>
      </w:r>
    </w:p>
    <w:p w14:paraId="2C80F18A">
      <w:pPr>
        <w:rPr>
          <w:rFonts w:hint="eastAsia" w:hAnsi="宋体" w:eastAsia="宋体" w:cs="宋体"/>
          <w:b w:val="0"/>
          <w:bCs w:val="0"/>
          <w:highlight w:val="none"/>
          <w:lang w:eastAsia="zh-CN"/>
        </w:rPr>
      </w:pPr>
      <w:r>
        <w:rPr>
          <w:rFonts w:hint="eastAsia" w:hAnsi="宋体" w:cs="宋体"/>
          <w:b w:val="0"/>
          <w:bCs w:val="0"/>
          <w:highlight w:val="none"/>
        </w:rPr>
        <w:t>教导员：王起良</w:t>
      </w:r>
    </w:p>
    <w:p w14:paraId="364C528B">
      <w:pPr>
        <w:rPr>
          <w:rFonts w:hint="eastAsia" w:hAnsi="宋体" w:eastAsia="宋体" w:cs="宋体"/>
          <w:highlight w:val="none"/>
          <w:lang w:eastAsia="zh-CN"/>
        </w:rPr>
      </w:pPr>
      <w:r>
        <w:rPr>
          <w:rFonts w:hint="eastAsia" w:hAnsi="宋体" w:cs="宋体"/>
          <w:highlight w:val="none"/>
        </w:rPr>
        <w:t>副局长：曾矿</w:t>
      </w:r>
    </w:p>
    <w:p w14:paraId="6B7083E1">
      <w:pPr>
        <w:pStyle w:val="3"/>
        <w:bidi w:val="0"/>
        <w:rPr>
          <w:rFonts w:hint="eastAsia" w:eastAsia="宋体"/>
          <w:highlight w:val="none"/>
          <w:lang w:eastAsia="zh-CN"/>
        </w:rPr>
      </w:pPr>
      <w:r>
        <w:rPr>
          <w:rFonts w:hint="eastAsia"/>
          <w:highlight w:val="none"/>
        </w:rPr>
        <w:t>翠屏公司</w:t>
      </w:r>
    </w:p>
    <w:p w14:paraId="0A5869F1">
      <w:pPr>
        <w:pStyle w:val="4"/>
        <w:bidi w:val="0"/>
        <w:rPr>
          <w:rFonts w:hint="eastAsia"/>
          <w:highlight w:val="none"/>
        </w:rPr>
      </w:pPr>
      <w:r>
        <w:rPr>
          <w:rFonts w:hint="eastAsia"/>
          <w:highlight w:val="none"/>
        </w:rPr>
        <w:t>【概况】</w:t>
      </w:r>
    </w:p>
    <w:p w14:paraId="600A56B8">
      <w:pPr>
        <w:rPr>
          <w:rFonts w:hint="eastAsia" w:hAnsi="宋体" w:cs="宋体"/>
          <w:highlight w:val="none"/>
        </w:rPr>
      </w:pPr>
      <w:r>
        <w:rPr>
          <w:rFonts w:hint="eastAsia" w:hAnsi="宋体" w:cs="宋体"/>
          <w:highlight w:val="none"/>
        </w:rPr>
        <w:t>广东翠屏实业股份有限公司（以下简称翠屏公司）是由原南雄帽子峰林场全资改组，1994年6月由广东省体改委批准，并经广东省工商局登记注册股份制有限公司，注册资本6878万元，于2011年8月正式划归韶关市工商局管理。</w:t>
      </w:r>
    </w:p>
    <w:p w14:paraId="1DC3BFC7">
      <w:pPr>
        <w:rPr>
          <w:rFonts w:hint="eastAsia" w:hAnsi="宋体" w:cs="宋体"/>
          <w:highlight w:val="none"/>
        </w:rPr>
      </w:pPr>
      <w:r>
        <w:rPr>
          <w:rFonts w:hint="eastAsia" w:hAnsi="宋体" w:cs="宋体"/>
          <w:highlight w:val="none"/>
        </w:rPr>
        <w:t>公司下设办公室、财务部、资产部、人事部、生产部、营林生产工队、销售部、电业公司、旅游公司、园林公司、旅游接待部，公司经营主要以林业、电业为主。翠屏公司目前有总人数619人，其中在册人员318人（在岗150人，待岗38人，内退130人，病休1人，在职停保6人），退休292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ED7D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7E7801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87880"/>
                  <wp:effectExtent l="0" t="0" r="8890" b="7620"/>
                  <wp:docPr id="72" name="图片 226" descr="帽子峰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26" descr="帽子峰16"/>
                          <pic:cNvPicPr>
                            <a:picLocks noChangeAspect="1"/>
                          </pic:cNvPicPr>
                        </pic:nvPicPr>
                        <pic:blipFill>
                          <a:blip r:embed="rId77"/>
                          <a:stretch>
                            <a:fillRect/>
                          </a:stretch>
                        </pic:blipFill>
                        <pic:spPr>
                          <a:xfrm>
                            <a:off x="0" y="0"/>
                            <a:ext cx="3420110" cy="2087880"/>
                          </a:xfrm>
                          <a:prstGeom prst="rect">
                            <a:avLst/>
                          </a:prstGeom>
                          <a:noFill/>
                          <a:ln>
                            <a:noFill/>
                          </a:ln>
                        </pic:spPr>
                      </pic:pic>
                    </a:graphicData>
                  </a:graphic>
                </wp:inline>
              </w:drawing>
            </w:r>
          </w:p>
        </w:tc>
      </w:tr>
      <w:tr w14:paraId="6FA03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D6DA914">
            <w:pPr>
              <w:jc w:val="center"/>
              <w:rPr>
                <w:rFonts w:hint="eastAsia" w:hAnsi="宋体" w:cs="宋体"/>
                <w:highlight w:val="none"/>
                <w:vertAlign w:val="baseline"/>
              </w:rPr>
            </w:pPr>
            <w:r>
              <w:rPr>
                <w:rFonts w:hint="eastAsia" w:hAnsi="宋体" w:cs="宋体"/>
                <w:highlight w:val="none"/>
                <w:vertAlign w:val="baseline"/>
              </w:rPr>
              <w:t>帽子峰秋色</w:t>
            </w:r>
          </w:p>
        </w:tc>
      </w:tr>
    </w:tbl>
    <w:p w14:paraId="402D90B1">
      <w:pPr>
        <w:pStyle w:val="4"/>
        <w:bidi w:val="0"/>
        <w:rPr>
          <w:rFonts w:hint="eastAsia"/>
          <w:highlight w:val="none"/>
        </w:rPr>
      </w:pPr>
      <w:r>
        <w:rPr>
          <w:rFonts w:hint="eastAsia"/>
          <w:highlight w:val="none"/>
        </w:rPr>
        <w:t>【林业方面】</w:t>
      </w:r>
    </w:p>
    <w:p w14:paraId="01281CBD">
      <w:pPr>
        <w:rPr>
          <w:rFonts w:hint="eastAsia" w:hAnsi="宋体" w:cs="宋体"/>
          <w:highlight w:val="none"/>
        </w:rPr>
      </w:pPr>
      <w:r>
        <w:rPr>
          <w:rFonts w:hint="eastAsia" w:hAnsi="宋体" w:cs="宋体"/>
          <w:highlight w:val="none"/>
        </w:rPr>
        <w:t>2015年完成753亩造林任务，抚育中幼林6701</w:t>
      </w:r>
      <w:r>
        <w:rPr>
          <w:rFonts w:hint="eastAsia" w:ascii="MingLiU_HKSCS" w:hAnsi="MingLiU_HKSCS" w:eastAsia="MingLiU_HKSCS" w:cs="MingLiU_HKSCS"/>
          <w:highlight w:val="none"/>
        </w:rPr>
        <w:t>.</w:t>
      </w:r>
      <w:r>
        <w:rPr>
          <w:rFonts w:hint="eastAsia" w:hAnsi="宋体" w:cs="宋体"/>
          <w:highlight w:val="none"/>
        </w:rPr>
        <w:t>1亩，育苗约4</w:t>
      </w:r>
      <w:r>
        <w:rPr>
          <w:rFonts w:hint="eastAsia" w:ascii="MingLiU_HKSCS" w:hAnsi="MingLiU_HKSCS" w:eastAsia="MingLiU_HKSCS" w:cs="MingLiU_HKSCS"/>
          <w:highlight w:val="none"/>
        </w:rPr>
        <w:t>.</w:t>
      </w:r>
      <w:r>
        <w:rPr>
          <w:rFonts w:hint="eastAsia" w:hAnsi="宋体" w:cs="宋体"/>
          <w:highlight w:val="none"/>
        </w:rPr>
        <w:t>5万株，维修防火线52</w:t>
      </w:r>
      <w:r>
        <w:rPr>
          <w:rFonts w:hint="eastAsia" w:ascii="MingLiU_HKSCS" w:hAnsi="MingLiU_HKSCS" w:eastAsia="MingLiU_HKSCS" w:cs="MingLiU_HKSCS"/>
          <w:highlight w:val="none"/>
        </w:rPr>
        <w:t>.</w:t>
      </w:r>
      <w:r>
        <w:rPr>
          <w:rFonts w:hint="eastAsia" w:hAnsi="宋体" w:cs="宋体"/>
          <w:highlight w:val="none"/>
        </w:rPr>
        <w:t>32万平方米，主伐9589立方米，主伐材平均售价约928元/立方米。因坚持“采育”结合的政策及对中幼林的精心抚育，使该公司帽子峰林场在经营50多年来还一直保持着“青山绿水”良好自然生态环境，木材仍蓄积有20万立方米以上。</w:t>
      </w:r>
    </w:p>
    <w:p w14:paraId="19CE1CBD">
      <w:pPr>
        <w:rPr>
          <w:rFonts w:hint="eastAsia" w:hAnsi="宋体" w:cs="宋体"/>
          <w:highlight w:val="none"/>
        </w:rPr>
      </w:pPr>
      <w:r>
        <w:rPr>
          <w:rFonts w:hint="eastAsia" w:hAnsi="宋体" w:cs="宋体"/>
          <w:highlight w:val="none"/>
        </w:rPr>
        <w:t>木材销售，采取“木材公开销售竞价（活立杉木、间伐材）”竞标销售机制。2015年完成木材销售9589立方米，实现销售收入890万元。</w:t>
      </w:r>
    </w:p>
    <w:p w14:paraId="47E0C65C">
      <w:pPr>
        <w:pStyle w:val="4"/>
        <w:bidi w:val="0"/>
        <w:rPr>
          <w:rFonts w:hint="eastAsia"/>
          <w:highlight w:val="none"/>
        </w:rPr>
      </w:pPr>
      <w:r>
        <w:rPr>
          <w:rFonts w:hint="eastAsia"/>
          <w:highlight w:val="none"/>
        </w:rPr>
        <w:t>【水力发电】</w:t>
      </w:r>
    </w:p>
    <w:p w14:paraId="100DC84A">
      <w:pPr>
        <w:rPr>
          <w:rFonts w:hint="eastAsia" w:hAnsi="宋体" w:cs="宋体"/>
          <w:highlight w:val="none"/>
        </w:rPr>
      </w:pPr>
      <w:r>
        <w:rPr>
          <w:rFonts w:hint="eastAsia" w:hAnsi="宋体" w:cs="宋体"/>
          <w:highlight w:val="none"/>
        </w:rPr>
        <w:t>2015年，南雄降雨量普遍较大，且比较均匀。水力发电1—12月上网电度916万千瓦时，实现销售收入402万元（税后）。</w:t>
      </w:r>
    </w:p>
    <w:p w14:paraId="3BDFD95E">
      <w:pPr>
        <w:pStyle w:val="4"/>
        <w:bidi w:val="0"/>
        <w:rPr>
          <w:rFonts w:hint="eastAsia"/>
          <w:highlight w:val="none"/>
        </w:rPr>
      </w:pPr>
      <w:r>
        <w:rPr>
          <w:rFonts w:hint="eastAsia"/>
          <w:highlight w:val="none"/>
        </w:rPr>
        <w:t>【生态旅游】</w:t>
      </w:r>
    </w:p>
    <w:p w14:paraId="59318BD3">
      <w:pPr>
        <w:rPr>
          <w:rFonts w:hint="eastAsia" w:hAnsi="宋体" w:cs="宋体"/>
          <w:highlight w:val="none"/>
        </w:rPr>
      </w:pPr>
      <w:r>
        <w:rPr>
          <w:rFonts w:hint="eastAsia" w:hAnsi="宋体" w:cs="宋体"/>
          <w:highlight w:val="none"/>
        </w:rPr>
        <w:t>从2012年开始，公司经营将开发帽子峰林场生态旅游放在日常工作。2015年公司加大投入资金改建帽子峰生态景区大门，改建鱼生坑木材加工厂为帽子峰林场国营餐厅，并命名为林家铺子。在保证林、电正常生产的前提下，公司组织人员成立旅游接待部，增加公司旅游工作力度。</w:t>
      </w:r>
    </w:p>
    <w:p w14:paraId="2C1343D3">
      <w:pPr>
        <w:rPr>
          <w:rFonts w:hint="eastAsia" w:hAnsi="宋体" w:cs="宋体"/>
          <w:highlight w:val="none"/>
        </w:rPr>
      </w:pPr>
      <w:r>
        <w:rPr>
          <w:rFonts w:hint="eastAsia" w:hAnsi="宋体" w:cs="宋体"/>
          <w:highlight w:val="none"/>
        </w:rPr>
        <w:t>2015年秋季天气较为晴朗，到林场观赏和拍摄银杏叶游客比往年要多，最高峰出现一天有近2万人次，总计接待游客近12万人次。由于进入林场道路较小，周末出现交通堵塞、拥挤的现象，但在公司全体员工努力下，以及交警公安和帽子峰派出所大力支持下，确保交通疏导和景区的安全。2015年旅游门票收入434万元。</w:t>
      </w:r>
    </w:p>
    <w:p w14:paraId="2CA5AAC2">
      <w:pPr>
        <w:pStyle w:val="4"/>
        <w:bidi w:val="0"/>
        <w:rPr>
          <w:rFonts w:hint="eastAsia"/>
          <w:highlight w:val="none"/>
        </w:rPr>
      </w:pPr>
      <w:r>
        <w:rPr>
          <w:rFonts w:hint="eastAsia"/>
          <w:highlight w:val="none"/>
        </w:rPr>
        <w:t>【获得“粤北女职工文明岗”称号】</w:t>
      </w:r>
    </w:p>
    <w:p w14:paraId="6A3D2100">
      <w:pPr>
        <w:rPr>
          <w:rFonts w:hint="eastAsia" w:hAnsi="宋体" w:cs="宋体"/>
          <w:highlight w:val="none"/>
        </w:rPr>
      </w:pPr>
      <w:r>
        <w:rPr>
          <w:rFonts w:hint="eastAsia" w:hAnsi="宋体" w:cs="宋体"/>
          <w:highlight w:val="none"/>
        </w:rPr>
        <w:t>2015年公司女职工深入贯彻党的十八届四中全会和广东省工会十三大精神</w:t>
      </w:r>
      <w:r>
        <w:rPr>
          <w:rFonts w:hint="eastAsia" w:hAnsi="宋体" w:cs="宋体"/>
          <w:highlight w:val="none"/>
          <w:lang w:eastAsia="zh-CN"/>
        </w:rPr>
        <w:t>，</w:t>
      </w:r>
      <w:r>
        <w:rPr>
          <w:rFonts w:hint="eastAsia" w:hAnsi="宋体" w:cs="宋体"/>
          <w:highlight w:val="none"/>
        </w:rPr>
        <w:t>拥护党的路线方针政策，政治坚定、思想进步，遵纪守法、道德高尚，积极参加女职工提升素质建功立业活动，爱岗敬业、努力学习，勇于创新、甘于奉献，在本职岗位上作出突出成绩，大力弘扬劳模精神和工人阶级伟大品格展示女职工时代风采和卓越贡献。（邱楠）</w:t>
      </w:r>
    </w:p>
    <w:p w14:paraId="67F5FE89">
      <w:pPr>
        <w:rPr>
          <w:rFonts w:hint="eastAsia" w:hAnsi="宋体" w:eastAsia="宋体" w:cs="宋体"/>
          <w:highlight w:val="none"/>
          <w:lang w:eastAsia="zh-CN"/>
        </w:rPr>
      </w:pPr>
      <w:r>
        <w:rPr>
          <w:rFonts w:hint="eastAsia" w:hAnsi="宋体" w:cs="宋体"/>
          <w:highlight w:val="none"/>
        </w:rPr>
        <w:t>附：2015年市翠屏公司领导班子成员名单</w:t>
      </w:r>
    </w:p>
    <w:p w14:paraId="6274C754">
      <w:pPr>
        <w:rPr>
          <w:rFonts w:hint="eastAsia" w:hAnsi="宋体" w:eastAsia="宋体" w:cs="宋体"/>
          <w:highlight w:val="none"/>
          <w:lang w:eastAsia="zh-CN"/>
        </w:rPr>
      </w:pPr>
      <w:r>
        <w:rPr>
          <w:rFonts w:hint="eastAsia" w:hAnsi="宋体" w:cs="宋体"/>
          <w:highlight w:val="none"/>
        </w:rPr>
        <w:t>党委书记、董事长：王弟勤</w:t>
      </w:r>
    </w:p>
    <w:p w14:paraId="0F7815B8">
      <w:pPr>
        <w:rPr>
          <w:rFonts w:hint="eastAsia" w:hAnsi="宋体" w:eastAsia="宋体" w:cs="宋体"/>
          <w:highlight w:val="none"/>
          <w:lang w:eastAsia="zh-CN"/>
        </w:rPr>
      </w:pPr>
      <w:r>
        <w:rPr>
          <w:rFonts w:hint="eastAsia" w:hAnsi="宋体" w:cs="宋体"/>
          <w:highlight w:val="none"/>
        </w:rPr>
        <w:t>总经理：张春辉</w:t>
      </w:r>
    </w:p>
    <w:p w14:paraId="2CDDAF0E">
      <w:pPr>
        <w:rPr>
          <w:rFonts w:hint="eastAsia" w:hAnsi="宋体" w:cs="宋体"/>
          <w:highlight w:val="none"/>
        </w:rPr>
      </w:pPr>
      <w:r>
        <w:rPr>
          <w:rFonts w:hint="eastAsia" w:hAnsi="宋体" w:cs="宋体"/>
          <w:highlight w:val="none"/>
        </w:rPr>
        <w:t>副总经理：钟达辉 黄志荣</w:t>
      </w:r>
    </w:p>
    <w:p w14:paraId="473861E2">
      <w:pPr>
        <w:rPr>
          <w:rFonts w:hint="eastAsia" w:hAnsi="宋体" w:cs="宋体"/>
          <w:highlight w:val="none"/>
        </w:rPr>
      </w:pPr>
      <w:r>
        <w:rPr>
          <w:rFonts w:hint="eastAsia" w:hAnsi="宋体" w:cs="宋体"/>
          <w:highlight w:val="none"/>
        </w:rPr>
        <w:t>党委组织、宣传委员：李荣</w:t>
      </w:r>
    </w:p>
    <w:p w14:paraId="6AFF9386">
      <w:pPr>
        <w:pStyle w:val="3"/>
        <w:bidi w:val="0"/>
        <w:rPr>
          <w:rFonts w:hint="eastAsia" w:eastAsia="宋体"/>
          <w:highlight w:val="none"/>
          <w:lang w:eastAsia="zh-CN"/>
        </w:rPr>
      </w:pPr>
      <w:r>
        <w:rPr>
          <w:rFonts w:hint="eastAsia"/>
          <w:highlight w:val="none"/>
        </w:rPr>
        <w:t>孔江国家湿地公园</w:t>
      </w:r>
    </w:p>
    <w:p w14:paraId="36E9DBFB">
      <w:pPr>
        <w:pStyle w:val="4"/>
        <w:bidi w:val="0"/>
        <w:rPr>
          <w:rFonts w:hint="eastAsia"/>
          <w:highlight w:val="none"/>
        </w:rPr>
      </w:pPr>
      <w:r>
        <w:rPr>
          <w:rFonts w:hint="eastAsia"/>
          <w:highlight w:val="none"/>
        </w:rPr>
        <w:t>【概况】</w:t>
      </w:r>
    </w:p>
    <w:p w14:paraId="02575F1F">
      <w:pPr>
        <w:rPr>
          <w:rFonts w:hint="eastAsia" w:hAnsi="宋体" w:cs="宋体"/>
          <w:highlight w:val="none"/>
        </w:rPr>
      </w:pPr>
      <w:r>
        <w:rPr>
          <w:rFonts w:hint="eastAsia" w:hAnsi="宋体" w:cs="宋体"/>
          <w:highlight w:val="none"/>
        </w:rPr>
        <w:t>广东孔江国家湿地公园，于2011年3月25日，经国家林业局正式批准为国家级湿地公园建设试点。其管理机构南雄市孔江国家湿地公园管理处成立于2011年11月25日，为正科级一类事业单位，核定人员编制12人，领导职数2个，主任1名，副主任1名；内设6个正股级机构：综合股、科研宣教股、社区共管股和湿地保护管理站、气象水文水质监测站、野生动植物监测救护站。广东孔江国家湿地公园地处南雄市境东北角的孔江上游，距南雄市区43公里，为北江源头之一，总面积16</w:t>
      </w:r>
      <w:r>
        <w:rPr>
          <w:rFonts w:hint="eastAsia" w:ascii="MingLiU_HKSCS" w:hAnsi="MingLiU_HKSCS" w:eastAsia="MingLiU_HKSCS" w:cs="MingLiU_HKSCS"/>
          <w:highlight w:val="none"/>
        </w:rPr>
        <w:t>.</w:t>
      </w:r>
      <w:r>
        <w:rPr>
          <w:rFonts w:hint="eastAsia" w:hAnsi="宋体" w:cs="宋体"/>
          <w:highlight w:val="none"/>
        </w:rPr>
        <w:t>68平方公里，湿地面积6</w:t>
      </w:r>
      <w:r>
        <w:rPr>
          <w:rFonts w:hint="eastAsia" w:ascii="MingLiU_HKSCS" w:hAnsi="MingLiU_HKSCS" w:eastAsia="MingLiU_HKSCS" w:cs="MingLiU_HKSCS"/>
          <w:highlight w:val="none"/>
        </w:rPr>
        <w:t>.</w:t>
      </w:r>
      <w:r>
        <w:rPr>
          <w:rFonts w:hint="eastAsia" w:hAnsi="宋体" w:cs="宋体"/>
          <w:highlight w:val="none"/>
        </w:rPr>
        <w:t>39平方公里。公园内有野生维管植物171科571属1029种，野生、陆生水生、两栖动物48目166科357属574种，生物多样性丰富。</w:t>
      </w:r>
    </w:p>
    <w:p w14:paraId="42D237F2">
      <w:pPr>
        <w:pStyle w:val="4"/>
        <w:bidi w:val="0"/>
        <w:rPr>
          <w:rFonts w:hint="eastAsia"/>
          <w:highlight w:val="none"/>
        </w:rPr>
      </w:pPr>
      <w:r>
        <w:rPr>
          <w:rFonts w:hint="eastAsia"/>
          <w:highlight w:val="none"/>
        </w:rPr>
        <w:t>【主要职责】</w:t>
      </w:r>
    </w:p>
    <w:p w14:paraId="26683537">
      <w:pPr>
        <w:rPr>
          <w:rFonts w:hint="eastAsia" w:hAnsi="宋体" w:cs="宋体"/>
          <w:highlight w:val="none"/>
        </w:rPr>
      </w:pPr>
      <w:r>
        <w:rPr>
          <w:rFonts w:hint="eastAsia" w:hAnsi="宋体" w:cs="宋体"/>
          <w:highlight w:val="none"/>
        </w:rPr>
        <w:t>依法对湿地公园自然资源实施保护管理；负责湿地公园规划编制、建设项目审核；组织开展湿地恢复、物种保护、湿地植被演替控制技术等科学研究和生态旅游开发等工作。</w:t>
      </w:r>
    </w:p>
    <w:p w14:paraId="400B454E">
      <w:pPr>
        <w:pStyle w:val="4"/>
        <w:bidi w:val="0"/>
        <w:rPr>
          <w:rFonts w:hint="eastAsia"/>
          <w:highlight w:val="none"/>
        </w:rPr>
      </w:pPr>
      <w:r>
        <w:rPr>
          <w:rFonts w:hint="eastAsia"/>
          <w:highlight w:val="none"/>
        </w:rPr>
        <w:t>【湿地保护】</w:t>
      </w:r>
    </w:p>
    <w:p w14:paraId="7DFB70FA">
      <w:pPr>
        <w:rPr>
          <w:rFonts w:hint="eastAsia" w:hAnsi="宋体" w:cs="宋体"/>
          <w:highlight w:val="none"/>
        </w:rPr>
      </w:pPr>
      <w:r>
        <w:rPr>
          <w:rFonts w:hint="eastAsia" w:hAnsi="宋体" w:cs="宋体"/>
          <w:highlight w:val="none"/>
        </w:rPr>
        <w:t>建立管理考核制度，采取水陆巡护相结合措施，扎实做好湿地保护保育及封山育林等各项管理和保护工作。同时，组织管理处干部职工在重点防火期开展全覆盖巡护工作，并通过张贴标语和跟社区村民讲解防火知识等方式做好防火宣传工作，确保湿地资源的安全。加强与市相关执法部门、森林公安派出所、乌迳和界址镇的执法队伍沟通协作，共同开展湿地管护和执法工作。</w:t>
      </w:r>
    </w:p>
    <w:p w14:paraId="4E5A06DA">
      <w:pPr>
        <w:pStyle w:val="4"/>
        <w:bidi w:val="0"/>
        <w:rPr>
          <w:rFonts w:hint="eastAsia"/>
          <w:highlight w:val="none"/>
        </w:rPr>
      </w:pPr>
      <w:r>
        <w:rPr>
          <w:rFonts w:hint="eastAsia"/>
          <w:highlight w:val="none"/>
        </w:rPr>
        <w:t>【科研监测】</w:t>
      </w:r>
    </w:p>
    <w:p w14:paraId="1660758C">
      <w:pPr>
        <w:rPr>
          <w:rFonts w:hint="eastAsia" w:hAnsi="宋体" w:cs="宋体"/>
          <w:highlight w:val="none"/>
        </w:rPr>
      </w:pPr>
      <w:r>
        <w:rPr>
          <w:rFonts w:hint="eastAsia" w:hAnsi="宋体" w:cs="宋体"/>
          <w:highlight w:val="none"/>
        </w:rPr>
        <w:t>通过加强与相关职能单位的联系合作，实现科研监测数据资源共享，初步建立广东孔江国家湿地公园水文、气象、水质、鸟类等监测数据库，监测数据显示，公园内的鸟类数量有大幅度增加，还监测到花榈木等国家重点二级保护野生植物。联合华南濒危动物研究所专家团队完成湿地公园综合科学考察（</w:t>
      </w:r>
      <w:r>
        <w:rPr>
          <w:rFonts w:hint="eastAsia" w:hAnsi="宋体" w:cs="宋体"/>
          <w:highlight w:val="none"/>
          <w:lang w:eastAsia="zh-CN"/>
        </w:rPr>
        <w:t>本地</w:t>
      </w:r>
      <w:r>
        <w:rPr>
          <w:rFonts w:hint="eastAsia" w:hAnsi="宋体" w:cs="宋体"/>
          <w:highlight w:val="none"/>
        </w:rPr>
        <w:t>调查）、湿地保护与恢复课题研究工作，并编制印刷出成果报告和野生动植物彩色图鉴。聘请国家林业局中南林业调查规划设计院专家编制完成《详规》《管理计划》和5个课题研究。完成湿地公园监测信息系统建设，新建韶关市级野生动物疫源疫病监测站，初步完善管理处科研监测信息管理系统。</w:t>
      </w:r>
    </w:p>
    <w:p w14:paraId="4C7E26DF">
      <w:pPr>
        <w:pStyle w:val="4"/>
        <w:bidi w:val="0"/>
        <w:rPr>
          <w:rFonts w:hint="eastAsia"/>
          <w:highlight w:val="none"/>
        </w:rPr>
      </w:pPr>
      <w:r>
        <w:rPr>
          <w:rFonts w:hint="eastAsia"/>
          <w:highlight w:val="none"/>
        </w:rPr>
        <w:t>【湿地科普宣教】</w:t>
      </w:r>
    </w:p>
    <w:p w14:paraId="02C5179B">
      <w:pPr>
        <w:rPr>
          <w:rFonts w:hint="eastAsia" w:hAnsi="宋体" w:cs="宋体"/>
          <w:highlight w:val="none"/>
          <w:vertAlign w:val="baseline"/>
        </w:rPr>
      </w:pPr>
      <w:r>
        <w:rPr>
          <w:rFonts w:hint="eastAsia" w:hAnsi="宋体" w:cs="宋体"/>
          <w:highlight w:val="none"/>
        </w:rPr>
        <w:t>建立广东孔江国家湿地公园官方网站和微信公众号，对湿地公园进行专门推介宣传。编制大众教材和印制6000份宣传单，在2月2日的“世界湿地日”、3月3日“世界野生动植物日”和爱鸟周及2015年11月野生动物宣传月，在乌迳、界址两镇中小学校，城区黎灿小学、一小，湿地公园周边社区进行发放、宣传，倡议群众爱湿护湿，并会同乌迳、界址两镇政府和中小学校开展湿地生态文明专题讲座和湿地知识首进校园等一系列主题科普宣教活动。利用新闻媒体和网点宣传覆盖全市进行宣传推介。建立健全湿地公园的牌示系统。投资70多万元，在S342线湿地公园入口处、大竹村桥头、荷树坑、杨木塘、罗汉岩等地设立大型导向牌、宣传牌，界牌、路道指示牌、导览牌、景观介绍牌和物种标牌600多块重点打造10条主题宣传步道。着力打造生态旅游品牌。根据南雄市旅游总体规划，市旅游局等部门将孔江国家湿地公园纳入全市“大旅游”格局，与珠玑古巷、梅关古道等著名4A级景区捆绑推介宣传，全力打造成为南雄生态文明建设一张靓丽名片。在大坝环库绿道新建800米湿地文化长廊。成功举办“大美孔江·生态南雄”系列主题大赛（摄影、DV、书法、诗词、绘画征文比赛）。加入“省湿地保护协会”，参与“广东湿地万里行活动”与专家同行学习先进保护管理和建设经验，并获得“广东十大最美湿地提名奖”。</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8FFD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8470B72">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871345"/>
                  <wp:effectExtent l="0" t="0" r="8890" b="14605"/>
                  <wp:docPr id="73" name="图片 227" descr="水映丹霞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7" descr="水映丹霞17"/>
                          <pic:cNvPicPr>
                            <a:picLocks noChangeAspect="1"/>
                          </pic:cNvPicPr>
                        </pic:nvPicPr>
                        <pic:blipFill>
                          <a:blip r:embed="rId78"/>
                          <a:stretch>
                            <a:fillRect/>
                          </a:stretch>
                        </pic:blipFill>
                        <pic:spPr>
                          <a:xfrm>
                            <a:off x="0" y="0"/>
                            <a:ext cx="3420110" cy="1871345"/>
                          </a:xfrm>
                          <a:prstGeom prst="rect">
                            <a:avLst/>
                          </a:prstGeom>
                          <a:noFill/>
                          <a:ln>
                            <a:noFill/>
                          </a:ln>
                        </pic:spPr>
                      </pic:pic>
                    </a:graphicData>
                  </a:graphic>
                </wp:inline>
              </w:drawing>
            </w:r>
          </w:p>
        </w:tc>
      </w:tr>
      <w:tr w14:paraId="4E09E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1754C2A">
            <w:pPr>
              <w:jc w:val="center"/>
              <w:rPr>
                <w:rFonts w:hint="eastAsia" w:hAnsi="宋体" w:cs="宋体"/>
                <w:highlight w:val="none"/>
                <w:vertAlign w:val="baseline"/>
              </w:rPr>
            </w:pPr>
            <w:r>
              <w:rPr>
                <w:rFonts w:hint="eastAsia" w:hAnsi="宋体" w:cs="宋体"/>
                <w:highlight w:val="none"/>
                <w:vertAlign w:val="baseline"/>
              </w:rPr>
              <w:t>孔江湿地公园“水映丹霞”</w:t>
            </w:r>
          </w:p>
        </w:tc>
      </w:tr>
    </w:tbl>
    <w:p w14:paraId="446F1E2E">
      <w:pPr>
        <w:pStyle w:val="4"/>
        <w:bidi w:val="0"/>
        <w:rPr>
          <w:rFonts w:hint="eastAsia"/>
          <w:highlight w:val="none"/>
        </w:rPr>
      </w:pPr>
      <w:r>
        <w:rPr>
          <w:rFonts w:hint="eastAsia"/>
          <w:highlight w:val="none"/>
        </w:rPr>
        <w:t>【湿地生态修复】</w:t>
      </w:r>
    </w:p>
    <w:p w14:paraId="277FCD28">
      <w:pPr>
        <w:rPr>
          <w:rFonts w:hint="eastAsia" w:hAnsi="宋体" w:cs="宋体"/>
          <w:highlight w:val="none"/>
        </w:rPr>
      </w:pPr>
      <w:r>
        <w:rPr>
          <w:rFonts w:hint="eastAsia" w:hAnsi="宋体" w:cs="宋体"/>
          <w:highlight w:val="none"/>
        </w:rPr>
        <w:t>2015年4月完成大坊新人塘149亩湿地荷花生态园、马芫274亩湿地生态滤场和孔江水库大坝2</w:t>
      </w:r>
      <w:r>
        <w:rPr>
          <w:rFonts w:hint="eastAsia" w:ascii="MingLiU_HKSCS" w:hAnsi="MingLiU_HKSCS" w:eastAsia="MingLiU_HKSCS" w:cs="MingLiU_HKSCS"/>
          <w:highlight w:val="none"/>
        </w:rPr>
        <w:t>.</w:t>
      </w:r>
      <w:r>
        <w:rPr>
          <w:rFonts w:hint="eastAsia" w:hAnsi="宋体" w:cs="宋体"/>
          <w:highlight w:val="none"/>
        </w:rPr>
        <w:t>3公里环库绿道建设的公开招标工作，现已完成工程量的60%，预计2016年春季能全面完工。同时，完成洲滩湿地修复、森林沼泽类栖息地建设、水生植物多样性恢复、草滩地类水禽栖息地建设、典型生态岛建设和环库水源涵养植被修复等六个生态恢复项目的招标工作。上述湿地生态修复工程的有效实施，将不断提升孔江湿地生态功能，增加生物多样性，为营造湿地景观奠定坚实基础。</w:t>
      </w:r>
    </w:p>
    <w:p w14:paraId="085AED27">
      <w:pPr>
        <w:pStyle w:val="4"/>
        <w:bidi w:val="0"/>
        <w:rPr>
          <w:rFonts w:hint="eastAsia"/>
          <w:highlight w:val="none"/>
        </w:rPr>
      </w:pPr>
      <w:r>
        <w:rPr>
          <w:rFonts w:hint="eastAsia"/>
          <w:highlight w:val="none"/>
        </w:rPr>
        <w:t>【社区共管】</w:t>
      </w:r>
    </w:p>
    <w:p w14:paraId="08FB5216">
      <w:pPr>
        <w:rPr>
          <w:rFonts w:hint="eastAsia" w:hAnsi="宋体" w:cs="宋体"/>
          <w:highlight w:val="none"/>
        </w:rPr>
      </w:pPr>
      <w:r>
        <w:rPr>
          <w:rFonts w:hint="eastAsia" w:hAnsi="宋体" w:cs="宋体"/>
          <w:highlight w:val="none"/>
        </w:rPr>
        <w:t>进入社区开展问卷调查；协助湿地公园范围内各村委会制定“村规民约”；指导建立NGO组织；做好社区义务宣传员和监督员。</w:t>
      </w:r>
    </w:p>
    <w:p w14:paraId="5FAB5F6C">
      <w:pPr>
        <w:pStyle w:val="4"/>
        <w:bidi w:val="0"/>
        <w:rPr>
          <w:rFonts w:hint="eastAsia"/>
          <w:highlight w:val="none"/>
        </w:rPr>
      </w:pPr>
      <w:r>
        <w:rPr>
          <w:rFonts w:hint="eastAsia"/>
          <w:highlight w:val="none"/>
        </w:rPr>
        <w:t>【基础设施建设】</w:t>
      </w:r>
    </w:p>
    <w:p w14:paraId="77230F9C">
      <w:pPr>
        <w:rPr>
          <w:rFonts w:hint="eastAsia" w:hAnsi="宋体" w:cs="宋体"/>
          <w:highlight w:val="none"/>
        </w:rPr>
      </w:pPr>
      <w:r>
        <w:rPr>
          <w:rFonts w:hint="eastAsia" w:hAnsi="宋体" w:cs="宋体"/>
          <w:highlight w:val="none"/>
        </w:rPr>
        <w:t>2015年投资123万元，购置电脑、打印机、复印机、办公桌椅、野生动植物标本、夜视仪、轨迹仪、定位仪、红外摄像机、电子显微镜、人工气候箱、恒温箱等一批办公设备和野生动植物资源及湿地资源科研监测设备，改建完善占地面积248平方米的湿地科研宣教中心，购置了沙盘、动植物标本，安装触摸屏系统，建立多媒体室，极大提高湿地公园科研监测、科普宣教和综合管理能力。完善湿地保护管理站、湿地气象水文监测站、分析实验室、档案室、野生动物疫源疫病监测站等功能站室建设。新建主入口大门、道路指示牌、停车场、问询中心、名称墙、小游园观景亭、卫生间等公共服务基础设施。</w:t>
      </w:r>
    </w:p>
    <w:p w14:paraId="4B0E0FA1">
      <w:pPr>
        <w:pStyle w:val="4"/>
        <w:bidi w:val="0"/>
        <w:rPr>
          <w:rFonts w:hint="eastAsia"/>
          <w:highlight w:val="none"/>
        </w:rPr>
      </w:pPr>
      <w:r>
        <w:rPr>
          <w:rFonts w:hint="eastAsia"/>
          <w:highlight w:val="none"/>
        </w:rPr>
        <w:t>【资金筹措】</w:t>
      </w:r>
    </w:p>
    <w:p w14:paraId="08CAE317">
      <w:pPr>
        <w:rPr>
          <w:rFonts w:hint="eastAsia" w:hAnsi="宋体" w:cs="宋体"/>
          <w:highlight w:val="none"/>
        </w:rPr>
      </w:pPr>
      <w:r>
        <w:rPr>
          <w:rFonts w:hint="eastAsia" w:hAnsi="宋体" w:cs="宋体"/>
          <w:highlight w:val="none"/>
        </w:rPr>
        <w:t>2015年，申请中央财政湿地保护项目资金300万元，省湿地保护专项资金145万元、省水源保护项目资金202万元。上述项资金有效实施，将为加快孔江国家湿地公园建设步伐，建立结构更加完整、功能更加完善、景观更加优美湿地生态系统，实现人与自然的和谐相处以及推动湿地生态旅游产业和当地经济社会的发展，增加当地群众收入促进就业发挥重要作用。（徐学英）</w:t>
      </w:r>
    </w:p>
    <w:p w14:paraId="35B59A64">
      <w:pPr>
        <w:rPr>
          <w:rFonts w:hint="eastAsia" w:hAnsi="宋体" w:eastAsia="宋体" w:cs="宋体"/>
          <w:b w:val="0"/>
          <w:bCs w:val="0"/>
          <w:highlight w:val="none"/>
          <w:lang w:eastAsia="zh-CN"/>
        </w:rPr>
      </w:pPr>
      <w:r>
        <w:rPr>
          <w:rFonts w:hint="eastAsia" w:hAnsi="宋体" w:cs="宋体"/>
          <w:b w:val="0"/>
          <w:bCs w:val="0"/>
          <w:highlight w:val="none"/>
        </w:rPr>
        <w:t>附：2015年市孔江国家湿地公园管理处领导班子成员名单</w:t>
      </w:r>
    </w:p>
    <w:p w14:paraId="0C36152A">
      <w:pPr>
        <w:rPr>
          <w:rFonts w:hint="eastAsia" w:hAnsi="宋体" w:cs="宋体"/>
          <w:b w:val="0"/>
          <w:bCs w:val="0"/>
          <w:highlight w:val="none"/>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任：何明华</w:t>
      </w:r>
    </w:p>
    <w:p w14:paraId="0FE88C70">
      <w:pPr>
        <w:rPr>
          <w:rFonts w:hint="eastAsia" w:hAnsi="宋体" w:cs="宋体"/>
          <w:highlight w:val="none"/>
        </w:rPr>
      </w:pPr>
      <w:r>
        <w:rPr>
          <w:rFonts w:hint="eastAsia" w:hAnsi="宋体" w:cs="宋体"/>
          <w:highlight w:val="none"/>
        </w:rPr>
        <w:t>副主任：雷会雄</w:t>
      </w:r>
    </w:p>
    <w:p w14:paraId="02D1AD91">
      <w:pPr>
        <w:pStyle w:val="3"/>
        <w:bidi w:val="0"/>
        <w:rPr>
          <w:rFonts w:hint="eastAsia"/>
          <w:highlight w:val="none"/>
        </w:rPr>
      </w:pPr>
      <w:r>
        <w:rPr>
          <w:rFonts w:hint="eastAsia"/>
          <w:highlight w:val="none"/>
        </w:rPr>
        <w:t>小流坑—青嶂山省级自然保护区管理处</w:t>
      </w:r>
    </w:p>
    <w:p w14:paraId="77F86AE7">
      <w:pPr>
        <w:pStyle w:val="4"/>
        <w:bidi w:val="0"/>
        <w:rPr>
          <w:rFonts w:hint="eastAsia"/>
          <w:highlight w:val="none"/>
        </w:rPr>
      </w:pPr>
      <w:r>
        <w:rPr>
          <w:rFonts w:hint="eastAsia"/>
          <w:highlight w:val="none"/>
        </w:rPr>
        <w:t>【概况】</w:t>
      </w:r>
    </w:p>
    <w:p w14:paraId="2FF5F7BC">
      <w:pPr>
        <w:rPr>
          <w:rFonts w:hint="eastAsia" w:hAnsi="宋体" w:cs="宋体"/>
          <w:highlight w:val="none"/>
        </w:rPr>
      </w:pPr>
      <w:r>
        <w:rPr>
          <w:rFonts w:hint="eastAsia" w:hAnsi="宋体" w:cs="宋体"/>
          <w:highlight w:val="none"/>
        </w:rPr>
        <w:t>南雄小流坑—青嶂山自然保护区于2007年11月16日经广东省人民政府办公厅同意升格为省级自然保护区，总面积7874公顷，核心区3703</w:t>
      </w:r>
      <w:r>
        <w:rPr>
          <w:rFonts w:hint="eastAsia" w:ascii="MingLiU_HKSCS" w:hAnsi="MingLiU_HKSCS" w:eastAsia="MingLiU_HKSCS" w:cs="MingLiU_HKSCS"/>
          <w:highlight w:val="none"/>
        </w:rPr>
        <w:t>.</w:t>
      </w:r>
      <w:r>
        <w:rPr>
          <w:rFonts w:hint="eastAsia" w:hAnsi="宋体" w:cs="宋体"/>
          <w:highlight w:val="none"/>
        </w:rPr>
        <w:t>2公顷</w:t>
      </w:r>
      <w:r>
        <w:rPr>
          <w:rFonts w:hint="eastAsia" w:hAnsi="宋体" w:cs="宋体"/>
          <w:highlight w:val="none"/>
          <w:lang w:eastAsia="zh-CN"/>
        </w:rPr>
        <w:t>，</w:t>
      </w:r>
      <w:r>
        <w:rPr>
          <w:rFonts w:hint="eastAsia" w:hAnsi="宋体" w:cs="宋体"/>
          <w:highlight w:val="none"/>
        </w:rPr>
        <w:t>缓冲区1841</w:t>
      </w:r>
      <w:r>
        <w:rPr>
          <w:rFonts w:hint="eastAsia" w:ascii="MingLiU_HKSCS" w:hAnsi="MingLiU_HKSCS" w:eastAsia="MingLiU_HKSCS" w:cs="MingLiU_HKSCS"/>
          <w:highlight w:val="none"/>
        </w:rPr>
        <w:t>.</w:t>
      </w:r>
      <w:r>
        <w:rPr>
          <w:rFonts w:hint="eastAsia" w:hAnsi="宋体" w:cs="宋体"/>
          <w:highlight w:val="none"/>
        </w:rPr>
        <w:t>2公顷</w:t>
      </w:r>
      <w:r>
        <w:rPr>
          <w:rFonts w:hint="eastAsia" w:hAnsi="宋体" w:cs="宋体"/>
          <w:highlight w:val="none"/>
          <w:lang w:eastAsia="zh-CN"/>
        </w:rPr>
        <w:t>，</w:t>
      </w:r>
      <w:r>
        <w:rPr>
          <w:rFonts w:hint="eastAsia" w:hAnsi="宋体" w:cs="宋体"/>
          <w:highlight w:val="none"/>
        </w:rPr>
        <w:t>实验区2329</w:t>
      </w:r>
      <w:r>
        <w:rPr>
          <w:rFonts w:hint="eastAsia" w:ascii="MingLiU_HKSCS" w:hAnsi="MingLiU_HKSCS" w:eastAsia="MingLiU_HKSCS" w:cs="MingLiU_HKSCS"/>
          <w:highlight w:val="none"/>
        </w:rPr>
        <w:t>.</w:t>
      </w:r>
      <w:r>
        <w:rPr>
          <w:rFonts w:hint="eastAsia" w:hAnsi="宋体" w:cs="宋体"/>
          <w:highlight w:val="none"/>
        </w:rPr>
        <w:t>6公顷</w:t>
      </w:r>
      <w:r>
        <w:rPr>
          <w:rFonts w:hint="eastAsia" w:hAnsi="宋体" w:cs="宋体"/>
          <w:highlight w:val="none"/>
          <w:lang w:eastAsia="zh-CN"/>
        </w:rPr>
        <w:t>，</w:t>
      </w:r>
      <w:r>
        <w:rPr>
          <w:rFonts w:hint="eastAsia" w:hAnsi="宋体" w:cs="宋体"/>
          <w:highlight w:val="none"/>
        </w:rPr>
        <w:t>重点保护对象是亚热带森林生态系统及珍稀动植物资源。2007年12月26日经广东省机构编制委员会办公室，批准同意成立广东南雄小流坑—青嶂山省级自然保护区管理处，负责广东南雄小流坑—青嶂山省级自然保护区的具体管护工作，为副处级事业单位，核定事业编12名，其中主任1名，副主任1名，人员经费由省财政核拨。2009年8月保护区管理机构组建完成，内设机构有综合科、保护管理科、科研宣教科，在职7人。2015年10月21日加入中国生物圈保护区网络成员。</w:t>
      </w:r>
    </w:p>
    <w:p w14:paraId="67D690AA">
      <w:pPr>
        <w:pStyle w:val="4"/>
        <w:bidi w:val="0"/>
        <w:rPr>
          <w:rFonts w:hint="eastAsia"/>
          <w:highlight w:val="none"/>
        </w:rPr>
      </w:pPr>
      <w:r>
        <w:rPr>
          <w:rFonts w:hint="eastAsia"/>
          <w:highlight w:val="none"/>
        </w:rPr>
        <w:t>【自然资源保护】</w:t>
      </w:r>
    </w:p>
    <w:p w14:paraId="1B84EAEF">
      <w:pPr>
        <w:rPr>
          <w:rFonts w:hint="eastAsia" w:hAnsi="宋体" w:cs="宋体"/>
          <w:highlight w:val="none"/>
        </w:rPr>
      </w:pPr>
      <w:r>
        <w:rPr>
          <w:rFonts w:hint="eastAsia" w:hAnsi="宋体" w:cs="宋体"/>
          <w:highlight w:val="none"/>
        </w:rPr>
        <w:t>依据年度岗位任务、目标管理和责任考核，2015年1月26日保护区制定“一岗双责”绩效考核方案，并与管理人员签订“一岗双责”工作目标责任书。</w:t>
      </w:r>
    </w:p>
    <w:p w14:paraId="2BD9AF9C">
      <w:pPr>
        <w:rPr>
          <w:rFonts w:hint="eastAsia" w:hAnsi="宋体" w:cs="宋体"/>
          <w:highlight w:val="none"/>
        </w:rPr>
      </w:pPr>
      <w:r>
        <w:rPr>
          <w:rFonts w:hint="eastAsia" w:hAnsi="宋体" w:cs="宋体"/>
          <w:highlight w:val="none"/>
        </w:rPr>
        <w:t>2015年4月至6月保护区本着“治早、治小、治了，综合治理”的防治原则，组织专业技术人员和巡护员，在病虫害多发时段，易发地段，对植物疫源疫病的巡山监测，做好病虫害预测预报工作。</w:t>
      </w:r>
    </w:p>
    <w:p w14:paraId="1595FD86">
      <w:pPr>
        <w:rPr>
          <w:rFonts w:hint="eastAsia" w:hAnsi="宋体" w:cs="宋体"/>
          <w:highlight w:val="none"/>
        </w:rPr>
      </w:pPr>
      <w:r>
        <w:rPr>
          <w:rFonts w:hint="eastAsia" w:hAnsi="宋体" w:cs="宋体"/>
          <w:highlight w:val="none"/>
        </w:rPr>
        <w:t>保护区重视野生动物</w:t>
      </w:r>
      <w:r>
        <w:rPr>
          <w:rFonts w:hint="eastAsia" w:hAnsi="宋体" w:cs="宋体"/>
          <w:highlight w:val="none"/>
          <w:lang w:eastAsia="zh-CN"/>
        </w:rPr>
        <w:t>保护</w:t>
      </w:r>
      <w:r>
        <w:rPr>
          <w:rFonts w:hint="eastAsia" w:hAnsi="宋体" w:cs="宋体"/>
          <w:highlight w:val="none"/>
        </w:rPr>
        <w:t>工作，2015年6月至10月在江头长尾、主田梁水洞等村进行现场办公，持续开展国家二级保护野生动物水鹿危害水稻、番薯、花生、竹笋等经济作物事件的实地调查工作，制定了合理的损失补偿方案。</w:t>
      </w:r>
    </w:p>
    <w:p w14:paraId="64FF8140">
      <w:pPr>
        <w:rPr>
          <w:rFonts w:hint="eastAsia" w:hAnsi="宋体" w:cs="宋体"/>
          <w:highlight w:val="none"/>
        </w:rPr>
      </w:pPr>
      <w:r>
        <w:rPr>
          <w:rFonts w:hint="eastAsia" w:hAnsi="宋体" w:cs="宋体"/>
          <w:highlight w:val="none"/>
        </w:rPr>
        <w:t>2015年保护区利用南雄平安林区视频监控系统，安装资源管护监控系统，实现资源共享，建立保护区动态化、可视化、网络化、智能化数字化监测与管护平台。</w:t>
      </w:r>
    </w:p>
    <w:p w14:paraId="21F9AC47">
      <w:pPr>
        <w:pStyle w:val="4"/>
        <w:bidi w:val="0"/>
        <w:rPr>
          <w:rFonts w:hint="eastAsia"/>
          <w:highlight w:val="none"/>
        </w:rPr>
      </w:pPr>
      <w:r>
        <w:rPr>
          <w:rFonts w:hint="eastAsia"/>
          <w:highlight w:val="none"/>
        </w:rPr>
        <w:t>【森林防火】</w:t>
      </w:r>
    </w:p>
    <w:p w14:paraId="38902FD6">
      <w:pPr>
        <w:rPr>
          <w:rFonts w:hint="eastAsia" w:hAnsi="宋体" w:cs="宋体"/>
          <w:highlight w:val="none"/>
        </w:rPr>
      </w:pPr>
      <w:r>
        <w:rPr>
          <w:rFonts w:hint="eastAsia" w:hAnsi="宋体" w:cs="宋体"/>
          <w:highlight w:val="none"/>
        </w:rPr>
        <w:t>2015年8月以“科学安全做好森林防火工作”为题，从“森林火灾造成的危害、火灾发生的起因、扑灭森林火灾的方法、扑救森林火灾的八个要素、扑火指挥员安全职责、火场扑救指挥四注意、扑火队员的安全要求、扑灭森林火灾的程序、火场自救的方法、火场逃生四不要、火灾事故主要原因、当前防火的应对措施”12个森林防火技术方面，举办森林防火技能培训班。</w:t>
      </w:r>
    </w:p>
    <w:p w14:paraId="1A9F5CD1">
      <w:pPr>
        <w:pStyle w:val="4"/>
        <w:bidi w:val="0"/>
        <w:rPr>
          <w:rFonts w:hint="eastAsia"/>
          <w:highlight w:val="none"/>
        </w:rPr>
      </w:pPr>
      <w:r>
        <w:rPr>
          <w:rFonts w:hint="eastAsia"/>
          <w:highlight w:val="none"/>
        </w:rPr>
        <w:t>【基础建设】</w:t>
      </w:r>
    </w:p>
    <w:p w14:paraId="01C4D7E4">
      <w:pPr>
        <w:rPr>
          <w:rFonts w:hint="eastAsia" w:hAnsi="宋体" w:cs="宋体"/>
          <w:highlight w:val="none"/>
        </w:rPr>
      </w:pPr>
      <w:r>
        <w:rPr>
          <w:rFonts w:hint="eastAsia" w:hAnsi="宋体" w:cs="宋体"/>
          <w:highlight w:val="none"/>
        </w:rPr>
        <w:t>2015年投资80万元基础设施建设专项资金，完成保护区供水净化设备、监视器、巡护轨迹仪和主田防火检查站等基础管护设施建设。</w:t>
      </w:r>
    </w:p>
    <w:p w14:paraId="0C3879C3">
      <w:pPr>
        <w:pStyle w:val="4"/>
        <w:bidi w:val="0"/>
        <w:rPr>
          <w:rFonts w:hint="eastAsia"/>
          <w:highlight w:val="none"/>
        </w:rPr>
      </w:pPr>
      <w:r>
        <w:rPr>
          <w:rFonts w:hint="eastAsia"/>
          <w:highlight w:val="none"/>
        </w:rPr>
        <w:t>【科研项目】</w:t>
      </w:r>
    </w:p>
    <w:p w14:paraId="7A475D49">
      <w:pPr>
        <w:rPr>
          <w:rFonts w:hint="eastAsia" w:hAnsi="宋体" w:cs="宋体"/>
          <w:highlight w:val="none"/>
        </w:rPr>
      </w:pPr>
      <w:r>
        <w:rPr>
          <w:rFonts w:hint="eastAsia" w:hAnsi="宋体" w:cs="宋体"/>
          <w:highlight w:val="none"/>
        </w:rPr>
        <w:t>2015年保护区实施20万元极小种群保护建设项目，完成项目建设内容包括科研监测设备采购、植物园树种标牌制作、资源保护成果宣传片与法规知识宣传册印制，以及观光木实地种植回归实验等。</w:t>
      </w:r>
    </w:p>
    <w:p w14:paraId="7618AAC3">
      <w:pPr>
        <w:pStyle w:val="4"/>
        <w:bidi w:val="0"/>
        <w:rPr>
          <w:rFonts w:hint="eastAsia"/>
          <w:highlight w:val="none"/>
        </w:rPr>
      </w:pPr>
      <w:r>
        <w:rPr>
          <w:rFonts w:hint="eastAsia"/>
          <w:highlight w:val="none"/>
        </w:rPr>
        <w:t>【宣传教育】</w:t>
      </w:r>
    </w:p>
    <w:p w14:paraId="7EF97041">
      <w:pPr>
        <w:rPr>
          <w:rFonts w:hint="eastAsia" w:hAnsi="宋体" w:cs="宋体"/>
          <w:highlight w:val="none"/>
        </w:rPr>
      </w:pPr>
      <w:r>
        <w:rPr>
          <w:rFonts w:hint="eastAsia" w:hAnsi="宋体" w:cs="宋体"/>
          <w:highlight w:val="none"/>
        </w:rPr>
        <w:t>2015年4月结合广东省“世界野生动植物日”和第34届“鸟节”和“爱鸟周”活动，以“尊重自然、顺应自然、保护自然生态文明理念”为主题，保护区在主田镇连花小学开展“保护野生动植物、维护生物多样性、推进生态文明、建设美丽中国”自然科普知识授课。</w:t>
      </w:r>
    </w:p>
    <w:p w14:paraId="66013C4C">
      <w:pPr>
        <w:rPr>
          <w:rFonts w:hint="eastAsia" w:hAnsi="宋体" w:cs="宋体"/>
          <w:highlight w:val="none"/>
        </w:rPr>
      </w:pPr>
      <w:r>
        <w:rPr>
          <w:rFonts w:hint="eastAsia" w:hAnsi="宋体" w:cs="宋体"/>
          <w:highlight w:val="none"/>
        </w:rPr>
        <w:t>2015年4月“世界地球日”，围绕生态功能严重退化、面积持续减少、科技支撑薄弱、建设投入不足、公众意识不强等问题，保护区参加省湿地保护协会在孔江国家湿地公园举办的“广东湿地万里行”调研活动。</w:t>
      </w:r>
    </w:p>
    <w:p w14:paraId="00EA13BA">
      <w:pPr>
        <w:rPr>
          <w:rFonts w:hint="eastAsia" w:hAnsi="宋体" w:cs="宋体"/>
          <w:highlight w:val="none"/>
        </w:rPr>
      </w:pPr>
      <w:r>
        <w:rPr>
          <w:rFonts w:hint="eastAsia" w:hAnsi="宋体" w:cs="宋体"/>
          <w:highlight w:val="none"/>
        </w:rPr>
        <w:t>2015年10月第17届中国生物圈保护区网络大会上宣布：广东南雄小流坑—青嶂山省级保护区成为中国生物圈保护区网络新成员。中国人与生物圈国家委员会主席许智宏向张英宏主任颁发成员证书。生物圈是联合国教科文组织“人与生物圈计划”按照不同生物地理省建立的全球性自然保护网，宗旨是把自然保护区与科学研究、环境监测、人才培训、示范作用相结合，在保护生物遗传多样性的同时实现人与自然和谐共处。中国已有164个自然保护区加入中国生物圈保护区网络。</w:t>
      </w:r>
    </w:p>
    <w:p w14:paraId="01A25359">
      <w:pPr>
        <w:pStyle w:val="4"/>
        <w:bidi w:val="0"/>
        <w:rPr>
          <w:rFonts w:hint="eastAsia"/>
          <w:highlight w:val="none"/>
        </w:rPr>
      </w:pPr>
      <w:r>
        <w:rPr>
          <w:rFonts w:hint="eastAsia"/>
          <w:highlight w:val="none"/>
        </w:rPr>
        <w:t>【人才培训】</w:t>
      </w:r>
    </w:p>
    <w:p w14:paraId="3736D750">
      <w:pPr>
        <w:rPr>
          <w:rFonts w:hint="eastAsia" w:hAnsi="宋体" w:cs="宋体"/>
          <w:highlight w:val="none"/>
        </w:rPr>
      </w:pPr>
      <w:r>
        <w:rPr>
          <w:rFonts w:hint="eastAsia" w:hAnsi="宋体" w:cs="宋体"/>
          <w:highlight w:val="none"/>
        </w:rPr>
        <w:t>2015年12月，保护区组织具有中级职称以上的专业技术人员参加省林业厅举办的《林业科技创新热点》《林业财经政策解读与实践》《森林可持续经营与南方次生林经营关键技术》《森林生态旅游》《自然保护区科普和宣教研究》《森植物分类及调查技术》专业技术继续再教育。</w:t>
      </w:r>
    </w:p>
    <w:p w14:paraId="1901E932">
      <w:pPr>
        <w:pStyle w:val="4"/>
        <w:bidi w:val="0"/>
        <w:rPr>
          <w:rFonts w:hint="eastAsia"/>
          <w:highlight w:val="none"/>
        </w:rPr>
      </w:pPr>
      <w:r>
        <w:rPr>
          <w:rFonts w:hint="eastAsia"/>
          <w:highlight w:val="none"/>
        </w:rPr>
        <w:t>【社区共管】</w:t>
      </w:r>
    </w:p>
    <w:p w14:paraId="739DF122">
      <w:pPr>
        <w:rPr>
          <w:rFonts w:hint="eastAsia" w:hAnsi="宋体" w:cs="宋体"/>
          <w:highlight w:val="none"/>
        </w:rPr>
      </w:pPr>
      <w:r>
        <w:rPr>
          <w:rFonts w:hint="eastAsia" w:hAnsi="宋体" w:cs="宋体"/>
          <w:highlight w:val="none"/>
        </w:rPr>
        <w:t>2015年6月在“端午”和“七一”期间，保护区到江头镇小竹村乌高塘村小组走访慰问体弱多病、经济拮据的空巢特困老党员黄治平家中，开展扶贫慰问活动，并送上慰问物资和节日的祝福。（郭绪兵）</w:t>
      </w:r>
    </w:p>
    <w:p w14:paraId="7D85F750">
      <w:pPr>
        <w:rPr>
          <w:rFonts w:hint="eastAsia" w:hAnsi="宋体" w:eastAsia="宋体" w:cs="宋体"/>
          <w:highlight w:val="none"/>
          <w:lang w:eastAsia="zh-CN"/>
        </w:rPr>
      </w:pPr>
      <w:r>
        <w:rPr>
          <w:rFonts w:hint="eastAsia" w:hAnsi="宋体" w:cs="宋体"/>
          <w:highlight w:val="none"/>
        </w:rPr>
        <w:t>附：2015年广东南雄小流坑-青嶂山省级自然保护区管理处领导班子成员名单</w:t>
      </w:r>
    </w:p>
    <w:p w14:paraId="5CEA9E59">
      <w:pPr>
        <w:rPr>
          <w:rFonts w:hint="eastAsia" w:hAnsi="宋体" w:cs="宋体"/>
          <w:highlight w:val="none"/>
        </w:rPr>
      </w:pPr>
      <w:r>
        <w:rPr>
          <w:rFonts w:hint="eastAsia" w:hAnsi="宋体" w:cs="宋体"/>
          <w:highlight w:val="none"/>
        </w:rPr>
        <w:t>主任：张英宏</w:t>
      </w:r>
    </w:p>
    <w:p w14:paraId="0286EF93">
      <w:pPr>
        <w:rPr>
          <w:rFonts w:hint="eastAsia" w:hAnsi="宋体" w:cs="宋体"/>
          <w:highlight w:val="none"/>
        </w:rPr>
      </w:pPr>
      <w:r>
        <w:rPr>
          <w:rFonts w:hint="eastAsia" w:hAnsi="宋体" w:cs="宋体"/>
          <w:highlight w:val="none"/>
        </w:rPr>
        <w:t>副主任：胡辉</w:t>
      </w:r>
    </w:p>
    <w:p w14:paraId="276DC387">
      <w:pPr>
        <w:pStyle w:val="3"/>
        <w:bidi w:val="0"/>
        <w:rPr>
          <w:rFonts w:hint="eastAsia"/>
          <w:highlight w:val="none"/>
        </w:rPr>
      </w:pPr>
      <w:r>
        <w:rPr>
          <w:rFonts w:hint="eastAsia"/>
          <w:highlight w:val="none"/>
        </w:rPr>
        <w:t>恐龙化石群省级自然保护区</w:t>
      </w:r>
    </w:p>
    <w:p w14:paraId="4E56317F">
      <w:pPr>
        <w:pStyle w:val="4"/>
        <w:bidi w:val="0"/>
        <w:rPr>
          <w:rFonts w:hint="eastAsia"/>
          <w:highlight w:val="none"/>
        </w:rPr>
      </w:pPr>
      <w:r>
        <w:rPr>
          <w:rFonts w:hint="eastAsia"/>
          <w:highlight w:val="none"/>
        </w:rPr>
        <w:t>【概况】</w:t>
      </w:r>
    </w:p>
    <w:p w14:paraId="160AB616">
      <w:pPr>
        <w:rPr>
          <w:rFonts w:hint="eastAsia" w:hAnsi="宋体" w:cs="宋体"/>
          <w:highlight w:val="none"/>
        </w:rPr>
      </w:pPr>
      <w:r>
        <w:rPr>
          <w:rFonts w:hint="eastAsia" w:hAnsi="宋体" w:cs="宋体"/>
          <w:highlight w:val="none"/>
        </w:rPr>
        <w:t>广东南雄恐龙化石群省级自然保护区，地质遗迹类自然保护区。广东南雄恐龙化石群省级自然保护区管理处，副处级事业单位，核定事业编7名，人员经费由省财政核拨。其主要工作任务是：负责南雄恐龙化石群省级自然保护区的具体管护工作。</w:t>
      </w:r>
    </w:p>
    <w:p w14:paraId="697E9FB7">
      <w:pPr>
        <w:pStyle w:val="4"/>
        <w:bidi w:val="0"/>
        <w:rPr>
          <w:rFonts w:hint="eastAsia"/>
          <w:highlight w:val="none"/>
        </w:rPr>
      </w:pPr>
      <w:r>
        <w:rPr>
          <w:rFonts w:hint="eastAsia"/>
          <w:highlight w:val="none"/>
        </w:rPr>
        <w:t>【地理位置与面积】</w:t>
      </w:r>
    </w:p>
    <w:p w14:paraId="6ABFE3E5">
      <w:pPr>
        <w:rPr>
          <w:rFonts w:hint="eastAsia" w:hAnsi="宋体" w:eastAsia="宋体" w:cs="宋体"/>
          <w:highlight w:val="none"/>
          <w:vertAlign w:val="baseline"/>
          <w:lang w:eastAsia="zh-CN"/>
        </w:rPr>
      </w:pPr>
      <w:r>
        <w:rPr>
          <w:rFonts w:hint="eastAsia" w:hAnsi="宋体" w:cs="宋体"/>
          <w:highlight w:val="none"/>
        </w:rPr>
        <w:t>保护区位于广东省南雄市，主要分为3个区。保护一区位于南雄城南—主田镇一带，实验区位于主田—南雄公路东侧及东1—5公里范围左右的谭塘坪、石子桥、杨梅山、白石坑、石陂水，面积约9</w:t>
      </w:r>
      <w:r>
        <w:rPr>
          <w:rFonts w:hint="eastAsia" w:ascii="MingLiU_HKSCS" w:hAnsi="MingLiU_HKSCS" w:eastAsia="MingLiU_HKSCS" w:cs="MingLiU_HKSCS"/>
          <w:highlight w:val="none"/>
        </w:rPr>
        <w:t>.</w:t>
      </w:r>
      <w:r>
        <w:rPr>
          <w:rFonts w:hint="eastAsia" w:hAnsi="宋体" w:cs="宋体"/>
          <w:highlight w:val="none"/>
        </w:rPr>
        <w:t>41平方公里，缓冲区则在主田—南雄公路线东侧0</w:t>
      </w:r>
      <w:r>
        <w:rPr>
          <w:rFonts w:hint="eastAsia" w:ascii="MingLiU_HKSCS" w:hAnsi="MingLiU_HKSCS" w:eastAsia="MingLiU_HKSCS" w:cs="MingLiU_HKSCS"/>
          <w:highlight w:val="none"/>
        </w:rPr>
        <w:t>.</w:t>
      </w:r>
      <w:r>
        <w:rPr>
          <w:rFonts w:hint="eastAsia" w:hAnsi="宋体" w:cs="宋体"/>
          <w:highlight w:val="none"/>
        </w:rPr>
        <w:t>41—1</w:t>
      </w:r>
      <w:r>
        <w:rPr>
          <w:rFonts w:hint="eastAsia" w:ascii="MingLiU_HKSCS" w:hAnsi="MingLiU_HKSCS" w:eastAsia="MingLiU_HKSCS" w:cs="MingLiU_HKSCS"/>
          <w:highlight w:val="none"/>
        </w:rPr>
        <w:t>.</w:t>
      </w:r>
      <w:r>
        <w:rPr>
          <w:rFonts w:hint="eastAsia" w:hAnsi="宋体" w:cs="宋体"/>
          <w:highlight w:val="none"/>
        </w:rPr>
        <w:t>5公里范围左右，面积为2</w:t>
      </w:r>
      <w:r>
        <w:rPr>
          <w:rFonts w:hint="eastAsia" w:ascii="MingLiU_HKSCS" w:hAnsi="MingLiU_HKSCS" w:eastAsia="MingLiU_HKSCS" w:cs="MingLiU_HKSCS"/>
          <w:highlight w:val="none"/>
        </w:rPr>
        <w:t>.</w:t>
      </w:r>
      <w:r>
        <w:rPr>
          <w:rFonts w:hint="eastAsia" w:hAnsi="宋体" w:cs="宋体"/>
          <w:highlight w:val="none"/>
        </w:rPr>
        <w:t>27平方公里，核心区为缓冲区及实验区包围的山墚上，面积约为0</w:t>
      </w:r>
      <w:r>
        <w:rPr>
          <w:rFonts w:hint="eastAsia" w:ascii="MingLiU_HKSCS" w:hAnsi="MingLiU_HKSCS" w:eastAsia="MingLiU_HKSCS" w:cs="MingLiU_HKSCS"/>
          <w:highlight w:val="none"/>
        </w:rPr>
        <w:t>.</w:t>
      </w:r>
      <w:r>
        <w:rPr>
          <w:rFonts w:hint="eastAsia" w:hAnsi="宋体" w:cs="宋体"/>
          <w:highlight w:val="none"/>
        </w:rPr>
        <w:t>84平方公里，保护一区总面积为12</w:t>
      </w:r>
      <w:r>
        <w:rPr>
          <w:rFonts w:hint="eastAsia" w:ascii="MingLiU_HKSCS" w:hAnsi="MingLiU_HKSCS" w:eastAsia="MingLiU_HKSCS" w:cs="MingLiU_HKSCS"/>
          <w:highlight w:val="none"/>
        </w:rPr>
        <w:t>.</w:t>
      </w:r>
      <w:r>
        <w:rPr>
          <w:rFonts w:hint="eastAsia" w:hAnsi="宋体" w:cs="宋体"/>
          <w:highlight w:val="none"/>
        </w:rPr>
        <w:t>52平方公里。保护二区位于湖口镇—水口镇公路西南一带的龙凤塘—上湖洞—罗佛寨等地，实验区位于湖口上湖洞、武台岗群、矮岭、莲竹塘、中坪、园圃等地，面积为14</w:t>
      </w:r>
      <w:r>
        <w:rPr>
          <w:rFonts w:hint="eastAsia" w:ascii="MingLiU_HKSCS" w:hAnsi="MingLiU_HKSCS" w:eastAsia="MingLiU_HKSCS" w:cs="MingLiU_HKSCS"/>
          <w:highlight w:val="none"/>
        </w:rPr>
        <w:t>.</w:t>
      </w:r>
      <w:r>
        <w:rPr>
          <w:rFonts w:hint="eastAsia" w:hAnsi="宋体" w:cs="宋体"/>
          <w:highlight w:val="none"/>
        </w:rPr>
        <w:t>2平方公里，缓冲区位于长坑、下湖、张河坝等地，面积为2</w:t>
      </w:r>
      <w:r>
        <w:rPr>
          <w:rFonts w:hint="eastAsia" w:ascii="MingLiU_HKSCS" w:hAnsi="MingLiU_HKSCS" w:eastAsia="MingLiU_HKSCS" w:cs="MingLiU_HKSCS"/>
          <w:highlight w:val="none"/>
        </w:rPr>
        <w:t>.</w:t>
      </w:r>
      <w:r>
        <w:rPr>
          <w:rFonts w:hint="eastAsia" w:hAnsi="宋体" w:cs="宋体"/>
          <w:highlight w:val="none"/>
        </w:rPr>
        <w:t>46平方公里，核心区为缓冲区及实验区包围的山墚上，面积为1</w:t>
      </w:r>
      <w:r>
        <w:rPr>
          <w:rFonts w:hint="eastAsia" w:ascii="MingLiU_HKSCS" w:hAnsi="MingLiU_HKSCS" w:eastAsia="MingLiU_HKSCS" w:cs="MingLiU_HKSCS"/>
          <w:highlight w:val="none"/>
        </w:rPr>
        <w:t>.</w:t>
      </w:r>
      <w:r>
        <w:rPr>
          <w:rFonts w:hint="eastAsia" w:hAnsi="宋体" w:cs="宋体"/>
          <w:highlight w:val="none"/>
        </w:rPr>
        <w:t>25平方公里，保护二区总面积为17</w:t>
      </w:r>
      <w:r>
        <w:rPr>
          <w:rFonts w:hint="eastAsia" w:ascii="MingLiU_HKSCS" w:hAnsi="MingLiU_HKSCS" w:eastAsia="MingLiU_HKSCS" w:cs="MingLiU_HKSCS"/>
          <w:highlight w:val="none"/>
        </w:rPr>
        <w:t>.</w:t>
      </w:r>
      <w:r>
        <w:rPr>
          <w:rFonts w:hint="eastAsia" w:hAnsi="宋体" w:cs="宋体"/>
          <w:highlight w:val="none"/>
        </w:rPr>
        <w:t>91平方公里。保护三区位于黄坑镇东北一带的杨梅坑—坪岭等地，实验区位于灯笼排、蜡树园、新田圩、浆田等地，面积为9</w:t>
      </w:r>
      <w:r>
        <w:rPr>
          <w:rFonts w:hint="eastAsia" w:ascii="MingLiU_HKSCS" w:hAnsi="MingLiU_HKSCS" w:eastAsia="MingLiU_HKSCS" w:cs="MingLiU_HKSCS"/>
          <w:highlight w:val="none"/>
        </w:rPr>
        <w:t>.</w:t>
      </w:r>
      <w:r>
        <w:rPr>
          <w:rFonts w:hint="eastAsia" w:hAnsi="宋体" w:cs="宋体"/>
          <w:highlight w:val="none"/>
        </w:rPr>
        <w:t>26平方公里，缓冲区位于坪塘、逆龙坑等地，面积为1</w:t>
      </w:r>
      <w:r>
        <w:rPr>
          <w:rFonts w:hint="eastAsia" w:ascii="MingLiU_HKSCS" w:hAnsi="MingLiU_HKSCS" w:eastAsia="MingLiU_HKSCS" w:cs="MingLiU_HKSCS"/>
          <w:highlight w:val="none"/>
        </w:rPr>
        <w:t>.</w:t>
      </w:r>
      <w:r>
        <w:rPr>
          <w:rFonts w:hint="eastAsia" w:hAnsi="宋体" w:cs="宋体"/>
          <w:highlight w:val="none"/>
        </w:rPr>
        <w:t>58平方公里，核心区为缓冲区及实验区包围的山墚上，面积为0</w:t>
      </w:r>
      <w:r>
        <w:rPr>
          <w:rFonts w:hint="eastAsia" w:ascii="MingLiU_HKSCS" w:hAnsi="MingLiU_HKSCS" w:eastAsia="MingLiU_HKSCS" w:cs="MingLiU_HKSCS"/>
          <w:highlight w:val="none"/>
        </w:rPr>
        <w:t>.</w:t>
      </w:r>
      <w:r>
        <w:rPr>
          <w:rFonts w:hint="eastAsia" w:hAnsi="宋体" w:cs="宋体"/>
          <w:highlight w:val="none"/>
        </w:rPr>
        <w:t>94平方公里，保护三区总面积为11</w:t>
      </w:r>
      <w:r>
        <w:rPr>
          <w:rFonts w:hint="eastAsia" w:ascii="MingLiU_HKSCS" w:hAnsi="MingLiU_HKSCS" w:eastAsia="MingLiU_HKSCS" w:cs="MingLiU_HKSCS"/>
          <w:highlight w:val="none"/>
        </w:rPr>
        <w:t>.</w:t>
      </w:r>
      <w:r>
        <w:rPr>
          <w:rFonts w:hint="eastAsia" w:hAnsi="宋体" w:cs="宋体"/>
          <w:highlight w:val="none"/>
        </w:rPr>
        <w:t>78平方公里。整个自然保护区涉及8个镇，核心区面积3</w:t>
      </w:r>
      <w:r>
        <w:rPr>
          <w:rFonts w:hint="eastAsia" w:ascii="MingLiU_HKSCS" w:hAnsi="MingLiU_HKSCS" w:eastAsia="MingLiU_HKSCS" w:cs="MingLiU_HKSCS"/>
          <w:highlight w:val="none"/>
        </w:rPr>
        <w:t>.</w:t>
      </w:r>
      <w:r>
        <w:rPr>
          <w:rFonts w:hint="eastAsia" w:hAnsi="宋体" w:cs="宋体"/>
          <w:highlight w:val="none"/>
        </w:rPr>
        <w:t>03平方公里，总面积为42</w:t>
      </w:r>
      <w:r>
        <w:rPr>
          <w:rFonts w:hint="eastAsia" w:ascii="MingLiU_HKSCS" w:hAnsi="MingLiU_HKSCS" w:eastAsia="MingLiU_HKSCS" w:cs="MingLiU_HKSCS"/>
          <w:highlight w:val="none"/>
        </w:rPr>
        <w:t>.</w:t>
      </w:r>
      <w:r>
        <w:rPr>
          <w:rFonts w:hint="eastAsia" w:hAnsi="宋体" w:cs="宋体"/>
          <w:highlight w:val="none"/>
        </w:rPr>
        <w:t>21平方公里。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8C38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AB699E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74" name="图片 229" descr="恐龙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9" descr="恐龙18"/>
                          <pic:cNvPicPr>
                            <a:picLocks noChangeAspect="1"/>
                          </pic:cNvPicPr>
                        </pic:nvPicPr>
                        <pic:blipFill>
                          <a:blip r:embed="rId79"/>
                          <a:stretch>
                            <a:fillRect/>
                          </a:stretch>
                        </pic:blipFill>
                        <pic:spPr>
                          <a:xfrm>
                            <a:off x="0" y="0"/>
                            <a:ext cx="3420110" cy="2279650"/>
                          </a:xfrm>
                          <a:prstGeom prst="rect">
                            <a:avLst/>
                          </a:prstGeom>
                          <a:noFill/>
                          <a:ln>
                            <a:noFill/>
                          </a:ln>
                        </pic:spPr>
                      </pic:pic>
                    </a:graphicData>
                  </a:graphic>
                </wp:inline>
              </w:drawing>
            </w:r>
          </w:p>
        </w:tc>
      </w:tr>
      <w:tr w14:paraId="577F4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6A8B4AE">
            <w:pPr>
              <w:jc w:val="center"/>
              <w:rPr>
                <w:rFonts w:hint="eastAsia" w:hAnsi="宋体" w:cs="宋体"/>
                <w:highlight w:val="none"/>
                <w:vertAlign w:val="baseline"/>
              </w:rPr>
            </w:pPr>
            <w:r>
              <w:rPr>
                <w:rFonts w:hint="eastAsia" w:hAnsi="宋体" w:cs="宋体"/>
                <w:highlight w:val="none"/>
                <w:vertAlign w:val="baseline"/>
              </w:rPr>
              <w:t>南雄油山镇杨梅村现中国最晚期恐龙足迹</w:t>
            </w:r>
          </w:p>
        </w:tc>
      </w:tr>
    </w:tbl>
    <w:p w14:paraId="66DCAB43">
      <w:pPr>
        <w:pStyle w:val="4"/>
        <w:bidi w:val="0"/>
        <w:rPr>
          <w:rFonts w:hint="eastAsia"/>
          <w:highlight w:val="none"/>
        </w:rPr>
      </w:pPr>
      <w:r>
        <w:rPr>
          <w:rFonts w:hint="eastAsia"/>
          <w:highlight w:val="none"/>
        </w:rPr>
        <w:t>【资源状况】</w:t>
      </w:r>
    </w:p>
    <w:p w14:paraId="009776D4">
      <w:pPr>
        <w:rPr>
          <w:rFonts w:hint="eastAsia" w:hAnsi="宋体" w:eastAsia="宋体" w:cs="宋体"/>
          <w:highlight w:val="none"/>
          <w:lang w:eastAsia="zh-CN"/>
        </w:rPr>
      </w:pPr>
      <w:r>
        <w:rPr>
          <w:rFonts w:hint="eastAsia" w:hAnsi="宋体" w:cs="宋体"/>
          <w:highlight w:val="none"/>
        </w:rPr>
        <w:t>保护区属地质遗迹类型自然保护区，重点保护南雄区域内的古生物化石及典型地层剖面等地质遗迹。古生物遗迹类：恐龙蛋化石，截至2015年南雄所发现恐龙蛋化石计6蛋科、9蛋属16蛋种，还有部分恐龙蛋化石未研究。晚白垩世恐龙动物群发现并记述的恐龙类包括兽脚类、蜥脚类、鸟脚类类等计4属4种，龟鳖类1属1种，此外还有部分属于肉食龙类、虚骨龙类、结节龙类以及蜥蜴类的骨骼化石。南雄是迄今世界上恐龙蛋化石最丰富地区之一。在南雄盆地中已采集有14个类群恐龙蛋化石，约占世界已知类群的三分之一。恐龙骨骼化石。龟化石。哺乳类化石。地质遗迹类：地层剖面，其中包括典型的E/K界线地层剖面；南雄红层典型地貌红砂岭；丹霞地貌。沉积相特征标志、古气候特征标志。</w:t>
      </w:r>
    </w:p>
    <w:p w14:paraId="5A33CE2D">
      <w:pPr>
        <w:pStyle w:val="4"/>
        <w:bidi w:val="0"/>
        <w:rPr>
          <w:rFonts w:hint="eastAsia"/>
          <w:highlight w:val="none"/>
        </w:rPr>
      </w:pPr>
      <w:r>
        <w:rPr>
          <w:rFonts w:hint="eastAsia"/>
          <w:highlight w:val="none"/>
        </w:rPr>
        <w:t>【开展“双学双比”主题实践活动】</w:t>
      </w:r>
    </w:p>
    <w:p w14:paraId="0538932F">
      <w:pPr>
        <w:rPr>
          <w:rFonts w:hint="eastAsia" w:hAnsi="宋体" w:cs="宋体"/>
          <w:highlight w:val="none"/>
        </w:rPr>
      </w:pPr>
      <w:r>
        <w:rPr>
          <w:rFonts w:hint="eastAsia" w:hAnsi="宋体" w:cs="宋体"/>
          <w:highlight w:val="none"/>
        </w:rPr>
        <w:t>认真贯彻落实“学身边能人、学身边先进，比干事能力、比工作业绩”主题实践活动，坚持以践行“三严三实”要求，持续深入改进作风，发动全体干部职工积极参与各项工作，提高干部职工整体素质和服务群众能力，促进各项工作落实，抓学习、强服务、促转变，深入开展“双学双比”主题实践活动，取得一定成效。</w:t>
      </w:r>
    </w:p>
    <w:p w14:paraId="19FA3329">
      <w:pPr>
        <w:pStyle w:val="4"/>
        <w:bidi w:val="0"/>
        <w:rPr>
          <w:rFonts w:hint="eastAsia"/>
          <w:highlight w:val="none"/>
        </w:rPr>
      </w:pPr>
      <w:r>
        <w:rPr>
          <w:rFonts w:hint="eastAsia"/>
          <w:highlight w:val="none"/>
        </w:rPr>
        <w:t>【安全管理】</w:t>
      </w:r>
    </w:p>
    <w:p w14:paraId="62CBA00A">
      <w:pPr>
        <w:rPr>
          <w:rFonts w:hint="eastAsia" w:hAnsi="宋体" w:cs="宋体"/>
          <w:highlight w:val="none"/>
        </w:rPr>
      </w:pPr>
      <w:r>
        <w:rPr>
          <w:rFonts w:hint="eastAsia" w:hAnsi="宋体" w:cs="宋体"/>
          <w:highlight w:val="none"/>
        </w:rPr>
        <w:t>强化管护，提升管护手段和措施，执行单位制定定期下乡调研、走访、联系群众等制度，坚持每周至少深入各保护点二次以上开展调研、走访、联系群众等工作，对各保护点范围内的安全动态情况进行定期巡视、排查、实时监控，对可能存在的安全隐患形成跟踪落实、及时治理，消除隐患，保证各保护点古生物化石和地质遗迹的安全。</w:t>
      </w:r>
    </w:p>
    <w:p w14:paraId="2A1752B8">
      <w:pPr>
        <w:pStyle w:val="4"/>
        <w:bidi w:val="0"/>
        <w:rPr>
          <w:rFonts w:hint="eastAsia"/>
          <w:highlight w:val="none"/>
        </w:rPr>
      </w:pPr>
      <w:r>
        <w:rPr>
          <w:rFonts w:hint="eastAsia"/>
          <w:highlight w:val="none"/>
        </w:rPr>
        <w:t>【保护点基础设施建设】</w:t>
      </w:r>
    </w:p>
    <w:p w14:paraId="256BCC47">
      <w:pPr>
        <w:rPr>
          <w:rFonts w:hint="eastAsia" w:hAnsi="宋体" w:cs="宋体"/>
          <w:highlight w:val="none"/>
        </w:rPr>
      </w:pPr>
      <w:r>
        <w:rPr>
          <w:rFonts w:hint="eastAsia" w:hAnsi="宋体" w:cs="宋体"/>
          <w:highlight w:val="none"/>
        </w:rPr>
        <w:t>严格按照“深化地质科学研究、普及科学知识、保护生态环境、促进经济与社会的可持续发展”的宗旨，定期深入各保护点开展安全管护工作。利用已安装的十五个视频监控器，分别对各保护点进行24小时监控，随时掌控保护区恐龙化石和地质遗迹的安全动态情况，全方位地保护好南雄古生物化石和地质遗迹资源。结合“双学双比”主题实践活动的开展，完善罗佛寨园区保护点的基础设施建设，完成6米宽科考道路和1114平方米科普宣传广场等。</w:t>
      </w:r>
    </w:p>
    <w:p w14:paraId="651BE8C7">
      <w:pPr>
        <w:pStyle w:val="4"/>
        <w:bidi w:val="0"/>
        <w:rPr>
          <w:rFonts w:hint="eastAsia"/>
          <w:highlight w:val="none"/>
        </w:rPr>
      </w:pPr>
      <w:r>
        <w:rPr>
          <w:rFonts w:hint="eastAsia"/>
          <w:highlight w:val="none"/>
        </w:rPr>
        <w:t>【资源保护与利用】</w:t>
      </w:r>
    </w:p>
    <w:p w14:paraId="6613C33D">
      <w:pPr>
        <w:rPr>
          <w:rFonts w:hint="eastAsia" w:hAnsi="宋体" w:cs="宋体"/>
          <w:highlight w:val="none"/>
        </w:rPr>
      </w:pPr>
      <w:r>
        <w:rPr>
          <w:rFonts w:hint="eastAsia" w:hAnsi="宋体" w:cs="宋体"/>
          <w:highlight w:val="none"/>
        </w:rPr>
        <w:t>5月19日下午，市委常委、副市长李海霞带领旅游局局长和管理处主要负责人等，深入广东南雄恐龙化石群省级自然保护区油山红沙岭和油山鹅颈岭保护点、杨梅坑保护点开展调研，详细了解南雄恐龙化石和地质遗迹发展和保护情况。在调研中，李海霞提出，要在充分发挥南雄特有恐龙文化资源基础上，结合市委、市政府提出旅游旺市战略，大力宣传，合理开发、密切联系多方资源，想方设法将恐龙文化打造成为南雄旅游又一亮点。</w:t>
      </w:r>
    </w:p>
    <w:p w14:paraId="0008BB5E">
      <w:pPr>
        <w:rPr>
          <w:rFonts w:hint="eastAsia" w:hAnsi="宋体" w:cs="宋体"/>
          <w:highlight w:val="none"/>
        </w:rPr>
      </w:pPr>
      <w:r>
        <w:rPr>
          <w:rFonts w:hint="eastAsia" w:hAnsi="宋体" w:cs="宋体"/>
          <w:highlight w:val="none"/>
        </w:rPr>
        <w:t>完善配套资源。在雄州街道下坪保护点建设一条人行栈道方便到雄考察专家学者和科考人员开展科研工作。同时建设一个占地面积1800平方米左右地质遗迹科普广场，完善好下坪保护点配套资源，更好地宣传南雄地质遗迹和恐龙化石文化，促进游客及市民对地质遗迹和科普知识的了解。</w:t>
      </w:r>
    </w:p>
    <w:p w14:paraId="3F40CD06">
      <w:pPr>
        <w:pStyle w:val="4"/>
        <w:bidi w:val="0"/>
        <w:rPr>
          <w:rFonts w:hint="eastAsia"/>
          <w:highlight w:val="none"/>
        </w:rPr>
      </w:pPr>
      <w:r>
        <w:rPr>
          <w:rFonts w:hint="eastAsia"/>
          <w:highlight w:val="none"/>
        </w:rPr>
        <w:t>【争取地质遗迹保护专项资金】</w:t>
      </w:r>
    </w:p>
    <w:p w14:paraId="70AECB7E">
      <w:pPr>
        <w:rPr>
          <w:rFonts w:hint="eastAsia" w:hAnsi="宋体" w:cs="宋体"/>
          <w:highlight w:val="none"/>
        </w:rPr>
      </w:pPr>
      <w:r>
        <w:rPr>
          <w:rFonts w:hint="eastAsia" w:hAnsi="宋体" w:cs="宋体"/>
          <w:highlight w:val="none"/>
        </w:rPr>
        <w:t>根据《关于加快我省自然保护区建设步伐议案办理情况的报告》和《关于申报2015年度省级地质遗迹保护专项资金项目的通知》（粤国土资地环发〔2015〕27号）的有关精神，已向广东省国土资源厅和广东省财政厅提出申请自然保护区基础建设专项资金，已到位资金200万及自然保护区罗佛寨园区和下坪保护点工程各50万，项目在建设之中。</w:t>
      </w:r>
    </w:p>
    <w:p w14:paraId="7D7B3E4C">
      <w:pPr>
        <w:pStyle w:val="4"/>
        <w:bidi w:val="0"/>
        <w:rPr>
          <w:rFonts w:hint="eastAsia"/>
          <w:highlight w:val="none"/>
        </w:rPr>
      </w:pPr>
      <w:r>
        <w:rPr>
          <w:rFonts w:hint="eastAsia"/>
          <w:highlight w:val="none"/>
        </w:rPr>
        <w:t>【打造品牌，实施省级恐龙地质公园建设】</w:t>
      </w:r>
    </w:p>
    <w:p w14:paraId="5A78882A">
      <w:pPr>
        <w:rPr>
          <w:rFonts w:hint="eastAsia" w:hAnsi="宋体" w:cs="宋体"/>
          <w:highlight w:val="none"/>
        </w:rPr>
      </w:pPr>
      <w:r>
        <w:rPr>
          <w:rFonts w:hint="eastAsia" w:hAnsi="宋体" w:cs="宋体"/>
          <w:highlight w:val="none"/>
        </w:rPr>
        <w:t>充分利用南雄盆地为代表南雄恐龙蛋化石密集区、南雄红层、小丹霞地貌等宝贵地质自然资源，遵循“在保护中开发，在开发中保护”原则，按照规划打造广东南雄恐龙省级地质公园品牌工作，南雄恐龙省级地质公园规划的编制、报批、发布以及地质公园大门、主碑、副碑的图纸设计、项目可研报告编写、报建材料的收集和地质公园导游手册、科学导游图等一系列工作已全部完成。</w:t>
      </w:r>
    </w:p>
    <w:p w14:paraId="33BDF5EA">
      <w:pPr>
        <w:pStyle w:val="4"/>
        <w:bidi w:val="0"/>
        <w:rPr>
          <w:rFonts w:hint="eastAsia"/>
          <w:highlight w:val="none"/>
        </w:rPr>
      </w:pPr>
      <w:r>
        <w:rPr>
          <w:rFonts w:hint="eastAsia"/>
          <w:highlight w:val="none"/>
        </w:rPr>
        <w:t>【恐龙足迹化石新发现】</w:t>
      </w:r>
    </w:p>
    <w:p w14:paraId="1C3DEA53">
      <w:pPr>
        <w:rPr>
          <w:rFonts w:hint="eastAsia" w:hAnsi="宋体" w:cs="宋体"/>
          <w:highlight w:val="none"/>
        </w:rPr>
      </w:pPr>
      <w:r>
        <w:rPr>
          <w:rFonts w:hint="eastAsia" w:hAnsi="宋体" w:cs="宋体"/>
          <w:highlight w:val="none"/>
        </w:rPr>
        <w:t>11月下旬，世界著名恐龙足迹学家马丁·洛克利教授和国家古生物学者邢立达博士，近日在南雄市油山镇杨梅坑的鸭嘴龙足迹保护区，进行5天科学考察。发现一批埋藏在红砂石下的恐龙足迹化石。在8米乘4米面积里，发现大概25个足迹化石，是由13道行迹构成的。初步判断是来自白垩纪的最晚期，是中国目前“最年轻”恐龙足迹化石，属于大型鸭嘴龙类恐龙。（黄庆军）</w:t>
      </w:r>
    </w:p>
    <w:p w14:paraId="69DF3D01">
      <w:pPr>
        <w:rPr>
          <w:rFonts w:hint="eastAsia" w:hAnsi="宋体" w:eastAsia="宋体" w:cs="宋体"/>
          <w:b w:val="0"/>
          <w:bCs w:val="0"/>
          <w:highlight w:val="none"/>
          <w:lang w:eastAsia="zh-CN"/>
        </w:rPr>
      </w:pPr>
      <w:r>
        <w:rPr>
          <w:rFonts w:hint="eastAsia" w:hAnsi="宋体" w:cs="宋体"/>
          <w:b w:val="0"/>
          <w:bCs w:val="0"/>
          <w:highlight w:val="none"/>
        </w:rPr>
        <w:t>附：2015年广东南雄恐龙化石群省级自然保护区管理处领导班子成员名单</w:t>
      </w:r>
    </w:p>
    <w:p w14:paraId="0B6F2D5A">
      <w:pPr>
        <w:rPr>
          <w:rFonts w:hint="eastAsia" w:hAnsi="宋体" w:eastAsia="宋体" w:cs="宋体"/>
          <w:b w:val="0"/>
          <w:bCs w:val="0"/>
          <w:highlight w:val="none"/>
          <w:lang w:eastAsia="zh-CN"/>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任：董绳跃</w:t>
      </w:r>
    </w:p>
    <w:p w14:paraId="00CD0456">
      <w:pPr>
        <w:rPr>
          <w:rFonts w:hint="eastAsia" w:hAnsi="宋体" w:cs="宋体"/>
          <w:b w:val="0"/>
          <w:bCs w:val="0"/>
          <w:highlight w:val="none"/>
        </w:rPr>
      </w:pPr>
      <w:r>
        <w:rPr>
          <w:rFonts w:hint="eastAsia" w:hAnsi="宋体" w:cs="宋体"/>
          <w:b w:val="0"/>
          <w:bCs w:val="0"/>
          <w:highlight w:val="none"/>
        </w:rPr>
        <w:t>副主任：马月明</w:t>
      </w:r>
    </w:p>
    <w:p w14:paraId="50E8D779">
      <w:pPr>
        <w:rPr>
          <w:rFonts w:hint="eastAsia" w:hAnsi="宋体" w:cs="宋体"/>
          <w:b w:val="0"/>
          <w:bCs w:val="0"/>
          <w:highlight w:val="none"/>
        </w:rPr>
      </w:pPr>
      <w:r>
        <w:rPr>
          <w:rFonts w:hint="eastAsia" w:hAnsi="宋体" w:cs="宋体"/>
          <w:b w:val="0"/>
          <w:bCs w:val="0"/>
          <w:highlight w:val="none"/>
        </w:rPr>
        <w:t>综合科科长：叶秀兰</w:t>
      </w:r>
    </w:p>
    <w:p w14:paraId="7A89DD6F">
      <w:pPr>
        <w:rPr>
          <w:rFonts w:hint="eastAsia" w:hAnsi="宋体" w:cs="宋体"/>
          <w:highlight w:val="none"/>
        </w:rPr>
      </w:pPr>
      <w:r>
        <w:rPr>
          <w:rFonts w:hint="eastAsia" w:hAnsi="宋体" w:cs="宋体"/>
          <w:highlight w:val="none"/>
        </w:rPr>
        <w:t>管护科科长：叶林彬</w:t>
      </w:r>
    </w:p>
    <w:p w14:paraId="5EA8E5A5">
      <w:pPr>
        <w:pStyle w:val="3"/>
        <w:bidi w:val="0"/>
        <w:rPr>
          <w:rFonts w:hint="eastAsia"/>
          <w:highlight w:val="none"/>
        </w:rPr>
      </w:pPr>
      <w:r>
        <w:rPr>
          <w:rFonts w:hint="eastAsia"/>
          <w:highlight w:val="none"/>
        </w:rPr>
        <w:t>水务</w:t>
      </w:r>
    </w:p>
    <w:p w14:paraId="74CCA590">
      <w:pPr>
        <w:pStyle w:val="4"/>
        <w:bidi w:val="0"/>
        <w:rPr>
          <w:rFonts w:hint="eastAsia"/>
          <w:highlight w:val="none"/>
        </w:rPr>
      </w:pPr>
      <w:r>
        <w:rPr>
          <w:rFonts w:hint="eastAsia"/>
          <w:highlight w:val="none"/>
        </w:rPr>
        <w:t>【概况】</w:t>
      </w:r>
    </w:p>
    <w:p w14:paraId="2E3FFCAF">
      <w:pPr>
        <w:rPr>
          <w:rFonts w:hint="eastAsia" w:hAnsi="宋体" w:cs="宋体"/>
          <w:highlight w:val="none"/>
        </w:rPr>
      </w:pPr>
      <w:r>
        <w:rPr>
          <w:rFonts w:hint="eastAsia" w:hAnsi="宋体" w:cs="宋体"/>
          <w:highlight w:val="none"/>
        </w:rPr>
        <w:t>2010年8月，南雄市政府办根据市编委关于政府机构改革文件精神同意“南雄市水利局”更名为“南雄市水务局”，设立7股3室。即办公室、人事监察股、水政股、规划计划股、建设与管理股、农水和水资源管理股、财务审计股、农电管理股、防汛防旱防风指挥部办公室、水库移民办公室。根据市政府批复2014年成立水利建设工程建设管理中心、2015年成立中小河流治理办公室。行政编制24名，后勤编制2名，现有在编人员20人，下辖11个股级基层单位，编制人数252人，现有在编人员193人。其中高级工程师2人，工程师12人，助理工程师32人。</w:t>
      </w:r>
    </w:p>
    <w:p w14:paraId="1E9D67FC">
      <w:pPr>
        <w:rPr>
          <w:rFonts w:hint="eastAsia" w:hAnsi="宋体" w:cs="宋体"/>
          <w:highlight w:val="none"/>
        </w:rPr>
      </w:pPr>
      <w:r>
        <w:rPr>
          <w:rFonts w:hint="eastAsia" w:hAnsi="宋体" w:cs="宋体"/>
          <w:highlight w:val="none"/>
        </w:rPr>
        <w:t>2015年南雄市水务局完成南雄市水利建设“十三五”发展规划编制（2016—2020年），完成2015年市政府承诺“九件实事”两项（1100万元治理新龙水山洪沟工程项目、1200万元建设油山镇田间工程项目）。2015年新增山区五市中小河治理重点项目，新开工和续建项目14宗，概算总投资3</w:t>
      </w:r>
      <w:r>
        <w:rPr>
          <w:rFonts w:hint="eastAsia" w:ascii="MingLiU_HKSCS" w:hAnsi="MingLiU_HKSCS" w:eastAsia="MingLiU_HKSCS" w:cs="MingLiU_HKSCS"/>
          <w:highlight w:val="none"/>
        </w:rPr>
        <w:t>.</w:t>
      </w:r>
      <w:r>
        <w:rPr>
          <w:rFonts w:hint="eastAsia" w:hAnsi="宋体" w:cs="宋体"/>
          <w:highlight w:val="none"/>
        </w:rPr>
        <w:t>025亿元。2015年南雄市水务局被评为韶关市2013—2015年扶贫开发“双到”先进单位。</w:t>
      </w:r>
    </w:p>
    <w:p w14:paraId="44F94750">
      <w:pPr>
        <w:pStyle w:val="4"/>
        <w:bidi w:val="0"/>
        <w:rPr>
          <w:rFonts w:hint="eastAsia"/>
          <w:highlight w:val="none"/>
        </w:rPr>
      </w:pPr>
      <w:r>
        <w:rPr>
          <w:rFonts w:hint="eastAsia"/>
          <w:highlight w:val="none"/>
        </w:rPr>
        <w:t>【制定水务“十三五”规划】</w:t>
      </w:r>
    </w:p>
    <w:p w14:paraId="226978F5">
      <w:pPr>
        <w:rPr>
          <w:rFonts w:hint="eastAsia" w:hAnsi="宋体" w:cs="宋体"/>
          <w:highlight w:val="none"/>
        </w:rPr>
      </w:pPr>
      <w:r>
        <w:rPr>
          <w:rFonts w:hint="eastAsia" w:hAnsi="宋体" w:cs="宋体"/>
          <w:highlight w:val="none"/>
        </w:rPr>
        <w:t>按照《广东省“十三五”水利建设、改革和发展方向研究》确定的构建“防灾减灾保障体系、水生态环境保护体系、水资源保障体系、农村水利保障体系、水利科技人才保障体系、水利法规制度保障体系”六大水利发展体系，统筹发展与改革，坚持建设与管理并重，科学把握宏观经济形势和水利改革发展任务，南雄市水利发展“十三五”规划建设主要任务包括：防灾减灾工程、水生态环境保护工程、水资源保障工程、农村水利工程和水利行业能力建设五个方面，按照突出重点、因地制宜、需要与可能相结合的原则，把建设重点放在中小河流治理、灌区续建配套与及节水改造、农村饮水安全工程等人民群众最关切的民生水利上，保障水利建设的成果惠及人民群众。南雄市水利发展“十三五”规划总投资27</w:t>
      </w:r>
      <w:r>
        <w:rPr>
          <w:rFonts w:hint="eastAsia" w:ascii="MingLiU_HKSCS" w:hAnsi="MingLiU_HKSCS" w:eastAsia="MingLiU_HKSCS" w:cs="MingLiU_HKSCS"/>
          <w:highlight w:val="none"/>
        </w:rPr>
        <w:t>.</w:t>
      </w:r>
      <w:r>
        <w:rPr>
          <w:rFonts w:hint="eastAsia" w:hAnsi="宋体" w:cs="宋体"/>
          <w:highlight w:val="none"/>
        </w:rPr>
        <w:t>36亿元，其中拟新建项目防灾减灾工程规划总投资12</w:t>
      </w:r>
      <w:r>
        <w:rPr>
          <w:rFonts w:hint="eastAsia" w:ascii="MingLiU_HKSCS" w:hAnsi="MingLiU_HKSCS" w:eastAsia="MingLiU_HKSCS" w:cs="MingLiU_HKSCS"/>
          <w:highlight w:val="none"/>
        </w:rPr>
        <w:t>.</w:t>
      </w:r>
      <w:r>
        <w:rPr>
          <w:rFonts w:hint="eastAsia" w:hAnsi="宋体" w:cs="宋体"/>
          <w:highlight w:val="none"/>
        </w:rPr>
        <w:t>29亿元，水生态环境保护工程总投资2</w:t>
      </w:r>
      <w:r>
        <w:rPr>
          <w:rFonts w:hint="eastAsia" w:ascii="MingLiU_HKSCS" w:hAnsi="MingLiU_HKSCS" w:eastAsia="MingLiU_HKSCS" w:cs="MingLiU_HKSCS"/>
          <w:highlight w:val="none"/>
        </w:rPr>
        <w:t>.</w:t>
      </w:r>
      <w:r>
        <w:rPr>
          <w:rFonts w:hint="eastAsia" w:hAnsi="宋体" w:cs="宋体"/>
          <w:highlight w:val="none"/>
        </w:rPr>
        <w:t>83亿元，水资源保护工程总投资1</w:t>
      </w:r>
      <w:r>
        <w:rPr>
          <w:rFonts w:hint="eastAsia" w:ascii="MingLiU_HKSCS" w:hAnsi="MingLiU_HKSCS" w:eastAsia="MingLiU_HKSCS" w:cs="MingLiU_HKSCS"/>
          <w:highlight w:val="none"/>
        </w:rPr>
        <w:t>.</w:t>
      </w:r>
      <w:r>
        <w:rPr>
          <w:rFonts w:hint="eastAsia" w:hAnsi="宋体" w:cs="宋体"/>
          <w:highlight w:val="none"/>
        </w:rPr>
        <w:t>3亿元，农村水利工程规划总投资10</w:t>
      </w:r>
      <w:r>
        <w:rPr>
          <w:rFonts w:hint="eastAsia" w:ascii="MingLiU_HKSCS" w:hAnsi="MingLiU_HKSCS" w:eastAsia="MingLiU_HKSCS" w:cs="MingLiU_HKSCS"/>
          <w:highlight w:val="none"/>
        </w:rPr>
        <w:t>.</w:t>
      </w:r>
      <w:r>
        <w:rPr>
          <w:rFonts w:hint="eastAsia" w:hAnsi="宋体" w:cs="宋体"/>
          <w:highlight w:val="none"/>
        </w:rPr>
        <w:t>55亿元，水利行业能力建设0</w:t>
      </w:r>
      <w:r>
        <w:rPr>
          <w:rFonts w:hint="eastAsia" w:ascii="MingLiU_HKSCS" w:hAnsi="MingLiU_HKSCS" w:eastAsia="MingLiU_HKSCS" w:cs="MingLiU_HKSCS"/>
          <w:highlight w:val="none"/>
        </w:rPr>
        <w:t>.</w:t>
      </w:r>
      <w:r>
        <w:rPr>
          <w:rFonts w:hint="eastAsia" w:hAnsi="宋体" w:cs="宋体"/>
          <w:highlight w:val="none"/>
        </w:rPr>
        <w:t>05亿元；续建项目投资0</w:t>
      </w:r>
      <w:r>
        <w:rPr>
          <w:rFonts w:hint="eastAsia" w:ascii="MingLiU_HKSCS" w:hAnsi="MingLiU_HKSCS" w:eastAsia="MingLiU_HKSCS" w:cs="MingLiU_HKSCS"/>
          <w:highlight w:val="none"/>
        </w:rPr>
        <w:t>.</w:t>
      </w:r>
      <w:r>
        <w:rPr>
          <w:rFonts w:hint="eastAsia" w:hAnsi="宋体" w:cs="宋体"/>
          <w:highlight w:val="none"/>
        </w:rPr>
        <w:t>34亿元。</w:t>
      </w:r>
    </w:p>
    <w:p w14:paraId="041434A2">
      <w:pPr>
        <w:pStyle w:val="4"/>
        <w:bidi w:val="0"/>
        <w:rPr>
          <w:rFonts w:hint="eastAsia"/>
          <w:highlight w:val="none"/>
        </w:rPr>
      </w:pPr>
      <w:r>
        <w:rPr>
          <w:rFonts w:hint="eastAsia"/>
          <w:highlight w:val="none"/>
        </w:rPr>
        <w:t>【中小河流治理】</w:t>
      </w:r>
    </w:p>
    <w:p w14:paraId="38D018DC">
      <w:pPr>
        <w:rPr>
          <w:rFonts w:hint="eastAsia" w:hAnsi="宋体" w:cs="宋体"/>
          <w:highlight w:val="none"/>
        </w:rPr>
      </w:pPr>
      <w:r>
        <w:rPr>
          <w:rFonts w:hint="eastAsia" w:hAnsi="宋体" w:cs="宋体"/>
          <w:highlight w:val="none"/>
        </w:rPr>
        <w:t>2015年2月12日，省政府批准《山区五市中小河流治理实施方案》。规划在2015—2020年期间，对山区五市集水面积在50—3000平方公里的中小河流进行全面治理。根据韶关市实施方案，南雄市列入治理的中小河流110条，其中2015年新开工中小河流项目有南山水（新增）、瀑布水、宝江水，治理长度为78</w:t>
      </w:r>
      <w:r>
        <w:rPr>
          <w:rFonts w:hint="eastAsia" w:ascii="MingLiU_HKSCS" w:hAnsi="MingLiU_HKSCS" w:eastAsia="MingLiU_HKSCS" w:cs="MingLiU_HKSCS"/>
          <w:highlight w:val="none"/>
        </w:rPr>
        <w:t>.</w:t>
      </w:r>
      <w:r>
        <w:rPr>
          <w:rFonts w:hint="eastAsia" w:hAnsi="宋体" w:cs="宋体"/>
          <w:highlight w:val="none"/>
        </w:rPr>
        <w:t>7公里，新建护岸长度为96</w:t>
      </w:r>
      <w:r>
        <w:rPr>
          <w:rFonts w:hint="eastAsia" w:ascii="MingLiU_HKSCS" w:hAnsi="MingLiU_HKSCS" w:eastAsia="MingLiU_HKSCS" w:cs="MingLiU_HKSCS"/>
          <w:highlight w:val="none"/>
        </w:rPr>
        <w:t>.</w:t>
      </w:r>
      <w:r>
        <w:rPr>
          <w:rFonts w:hint="eastAsia" w:hAnsi="宋体" w:cs="宋体"/>
          <w:highlight w:val="none"/>
        </w:rPr>
        <w:t>1公里，河道清淤疏浚长度为78</w:t>
      </w:r>
      <w:r>
        <w:rPr>
          <w:rFonts w:hint="eastAsia" w:ascii="MingLiU_HKSCS" w:hAnsi="MingLiU_HKSCS" w:eastAsia="MingLiU_HKSCS" w:cs="MingLiU_HKSCS"/>
          <w:highlight w:val="none"/>
        </w:rPr>
        <w:t>.</w:t>
      </w:r>
      <w:r>
        <w:rPr>
          <w:rFonts w:hint="eastAsia" w:hAnsi="宋体" w:cs="宋体"/>
          <w:highlight w:val="none"/>
        </w:rPr>
        <w:t>7公里，投资规模1</w:t>
      </w:r>
      <w:r>
        <w:rPr>
          <w:rFonts w:hint="eastAsia" w:ascii="MingLiU_HKSCS" w:hAnsi="MingLiU_HKSCS" w:eastAsia="MingLiU_HKSCS" w:cs="MingLiU_HKSCS"/>
          <w:highlight w:val="none"/>
        </w:rPr>
        <w:t>.</w:t>
      </w:r>
      <w:r>
        <w:rPr>
          <w:rFonts w:hint="eastAsia" w:hAnsi="宋体" w:cs="宋体"/>
          <w:highlight w:val="none"/>
        </w:rPr>
        <w:t>56亿元。</w:t>
      </w:r>
    </w:p>
    <w:p w14:paraId="7BAA9C4A">
      <w:pPr>
        <w:jc w:val="center"/>
        <w:rPr>
          <w:rFonts w:hint="eastAsia" w:hAnsi="宋体" w:cs="宋体"/>
          <w:highlight w:val="none"/>
        </w:rPr>
      </w:pPr>
      <w:r>
        <w:rPr>
          <w:rFonts w:hint="eastAsia" w:hAnsi="宋体" w:cs="宋体"/>
          <w:highlight w:val="none"/>
        </w:rPr>
        <w:t>2015年南雄市新增治理河段达标长度</w:t>
      </w:r>
    </w:p>
    <w:tbl>
      <w:tblPr>
        <w:tblStyle w:val="7"/>
        <w:tblpPr w:leftFromText="180" w:rightFromText="180" w:vertAnchor="text" w:horzAnchor="page" w:tblpX="1987" w:tblpY="402"/>
        <w:tblOverlap w:val="never"/>
        <w:tblW w:w="5000" w:type="pct"/>
        <w:jc w:val="center"/>
        <w:shd w:val="clear" w:color="auto" w:fill="auto"/>
        <w:tblLayout w:type="fixed"/>
        <w:tblCellMar>
          <w:top w:w="15" w:type="dxa"/>
          <w:left w:w="15" w:type="dxa"/>
          <w:bottom w:w="15" w:type="dxa"/>
          <w:right w:w="15" w:type="dxa"/>
        </w:tblCellMar>
      </w:tblPr>
      <w:tblGrid>
        <w:gridCol w:w="544"/>
        <w:gridCol w:w="2427"/>
        <w:gridCol w:w="1379"/>
        <w:gridCol w:w="1311"/>
        <w:gridCol w:w="1627"/>
        <w:gridCol w:w="1142"/>
      </w:tblGrid>
      <w:tr w14:paraId="4501C616">
        <w:tblPrEx>
          <w:shd w:val="clear" w:color="auto" w:fill="auto"/>
          <w:tblCellMar>
            <w:top w:w="15" w:type="dxa"/>
            <w:left w:w="15" w:type="dxa"/>
            <w:bottom w:w="15" w:type="dxa"/>
            <w:right w:w="15" w:type="dxa"/>
          </w:tblCellMar>
        </w:tblPrEx>
        <w:trPr>
          <w:trHeight w:val="546" w:hRule="atLeast"/>
          <w:jc w:val="center"/>
        </w:trPr>
        <w:tc>
          <w:tcPr>
            <w:tcW w:w="544" w:type="dxa"/>
            <w:tcBorders>
              <w:top w:val="single" w:color="000000" w:sz="4" w:space="0"/>
              <w:left w:val="single" w:color="000000" w:sz="4" w:space="0"/>
              <w:right w:val="single" w:color="000000" w:sz="4" w:space="0"/>
            </w:tcBorders>
            <w:shd w:val="clear" w:color="auto" w:fill="auto"/>
            <w:noWrap w:val="0"/>
            <w:vAlign w:val="center"/>
          </w:tcPr>
          <w:p w14:paraId="2B4D31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序号</w:t>
            </w:r>
          </w:p>
        </w:tc>
        <w:tc>
          <w:tcPr>
            <w:tcW w:w="2427" w:type="dxa"/>
            <w:tcBorders>
              <w:top w:val="single" w:color="000000" w:sz="4" w:space="0"/>
              <w:left w:val="single" w:color="000000" w:sz="4" w:space="0"/>
              <w:right w:val="single" w:color="auto" w:sz="4" w:space="0"/>
            </w:tcBorders>
            <w:shd w:val="clear" w:color="auto" w:fill="auto"/>
            <w:noWrap w:val="0"/>
            <w:vAlign w:val="center"/>
          </w:tcPr>
          <w:p w14:paraId="7C9DEE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项目名称</w:t>
            </w:r>
          </w:p>
        </w:tc>
        <w:tc>
          <w:tcPr>
            <w:tcW w:w="1379" w:type="dxa"/>
            <w:tcBorders>
              <w:top w:val="single" w:color="000000" w:sz="4" w:space="0"/>
              <w:left w:val="single" w:color="auto" w:sz="4" w:space="0"/>
              <w:right w:val="single" w:color="auto" w:sz="4" w:space="0"/>
            </w:tcBorders>
            <w:shd w:val="clear" w:color="auto" w:fill="auto"/>
            <w:noWrap w:val="0"/>
            <w:vAlign w:val="center"/>
          </w:tcPr>
          <w:p w14:paraId="59D8FE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所在镇、村</w:t>
            </w:r>
          </w:p>
        </w:tc>
        <w:tc>
          <w:tcPr>
            <w:tcW w:w="131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F9583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建设地点（镇）</w:t>
            </w:r>
          </w:p>
        </w:tc>
        <w:tc>
          <w:tcPr>
            <w:tcW w:w="162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EAB72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河段长度（公里）</w:t>
            </w:r>
          </w:p>
        </w:tc>
        <w:tc>
          <w:tcPr>
            <w:tcW w:w="1142"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87E6A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防洪标准</w:t>
            </w:r>
          </w:p>
        </w:tc>
      </w:tr>
      <w:tr w14:paraId="6DE2A0FA">
        <w:tblPrEx>
          <w:shd w:val="clear" w:color="auto" w:fill="auto"/>
          <w:tblCellMar>
            <w:top w:w="15" w:type="dxa"/>
            <w:left w:w="15" w:type="dxa"/>
            <w:bottom w:w="15" w:type="dxa"/>
            <w:right w:w="15" w:type="dxa"/>
          </w:tblCellMar>
        </w:tblPrEx>
        <w:trPr>
          <w:trHeight w:val="285" w:hRule="atLeast"/>
          <w:jc w:val="center"/>
        </w:trPr>
        <w:tc>
          <w:tcPr>
            <w:tcW w:w="54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B3185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2427" w:type="dxa"/>
            <w:tcBorders>
              <w:top w:val="single" w:color="000000" w:sz="4" w:space="0"/>
              <w:left w:val="single" w:color="000000" w:sz="4" w:space="0"/>
              <w:bottom w:val="single" w:color="000000" w:sz="4" w:space="0"/>
              <w:right w:val="single" w:color="auto" w:sz="4" w:space="0"/>
            </w:tcBorders>
            <w:shd w:val="clear" w:color="auto" w:fill="auto"/>
            <w:noWrap w:val="0"/>
            <w:vAlign w:val="center"/>
          </w:tcPr>
          <w:p w14:paraId="14D8F4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瀑布水治理工程</w:t>
            </w:r>
          </w:p>
        </w:tc>
        <w:tc>
          <w:tcPr>
            <w:tcW w:w="1379"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14:paraId="2165FE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主田镇</w:t>
            </w:r>
          </w:p>
        </w:tc>
        <w:tc>
          <w:tcPr>
            <w:tcW w:w="1311" w:type="dxa"/>
            <w:tcBorders>
              <w:top w:val="single" w:color="auto" w:sz="4" w:space="0"/>
              <w:bottom w:val="single" w:color="000000" w:sz="4" w:space="0"/>
              <w:right w:val="single" w:color="000000" w:sz="4" w:space="0"/>
            </w:tcBorders>
            <w:shd w:val="clear" w:color="auto" w:fill="auto"/>
            <w:noWrap w:val="0"/>
            <w:vAlign w:val="center"/>
          </w:tcPr>
          <w:p w14:paraId="116462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主田镇</w:t>
            </w:r>
          </w:p>
        </w:tc>
        <w:tc>
          <w:tcPr>
            <w:tcW w:w="1627" w:type="dxa"/>
            <w:tcBorders>
              <w:top w:val="single" w:color="auto" w:sz="4" w:space="0"/>
              <w:left w:val="single" w:color="000000" w:sz="4" w:space="0"/>
              <w:bottom w:val="single" w:color="000000" w:sz="4" w:space="0"/>
              <w:right w:val="single" w:color="000000" w:sz="4" w:space="0"/>
            </w:tcBorders>
            <w:shd w:val="clear" w:color="auto" w:fill="auto"/>
            <w:noWrap w:val="0"/>
            <w:vAlign w:val="center"/>
          </w:tcPr>
          <w:p w14:paraId="26A2E6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56.6</w:t>
            </w:r>
          </w:p>
        </w:tc>
        <w:tc>
          <w:tcPr>
            <w:tcW w:w="1142" w:type="dxa"/>
            <w:tcBorders>
              <w:top w:val="single" w:color="auto" w:sz="4" w:space="0"/>
              <w:bottom w:val="single" w:color="000000" w:sz="4" w:space="0"/>
              <w:right w:val="single" w:color="000000" w:sz="4" w:space="0"/>
            </w:tcBorders>
            <w:shd w:val="clear" w:color="auto" w:fill="auto"/>
            <w:noWrap w:val="0"/>
            <w:vAlign w:val="center"/>
          </w:tcPr>
          <w:p w14:paraId="24C161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5—10年</w:t>
            </w:r>
          </w:p>
        </w:tc>
      </w:tr>
      <w:tr w14:paraId="3841221D">
        <w:tblPrEx>
          <w:tblCellMar>
            <w:top w:w="15" w:type="dxa"/>
            <w:left w:w="15" w:type="dxa"/>
            <w:bottom w:w="15" w:type="dxa"/>
            <w:right w:w="15" w:type="dxa"/>
          </w:tblCellMar>
        </w:tblPrEx>
        <w:trPr>
          <w:trHeight w:val="285" w:hRule="atLeast"/>
          <w:jc w:val="center"/>
        </w:trPr>
        <w:tc>
          <w:tcPr>
            <w:tcW w:w="54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F62B3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2427" w:type="dxa"/>
            <w:tcBorders>
              <w:top w:val="single" w:color="000000" w:sz="4" w:space="0"/>
              <w:left w:val="single" w:color="000000" w:sz="4" w:space="0"/>
              <w:bottom w:val="single" w:color="000000" w:sz="4" w:space="0"/>
              <w:right w:val="single" w:color="auto" w:sz="4" w:space="0"/>
            </w:tcBorders>
            <w:shd w:val="clear" w:color="auto" w:fill="auto"/>
            <w:noWrap w:val="0"/>
            <w:vAlign w:val="center"/>
          </w:tcPr>
          <w:p w14:paraId="3311D3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宝江水治理工程</w:t>
            </w:r>
          </w:p>
        </w:tc>
        <w:tc>
          <w:tcPr>
            <w:tcW w:w="1379"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14:paraId="660A7F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水口镇</w:t>
            </w:r>
          </w:p>
        </w:tc>
        <w:tc>
          <w:tcPr>
            <w:tcW w:w="1311" w:type="dxa"/>
            <w:tcBorders>
              <w:top w:val="single" w:color="000000" w:sz="4" w:space="0"/>
              <w:bottom w:val="single" w:color="000000" w:sz="4" w:space="0"/>
              <w:right w:val="single" w:color="000000" w:sz="4" w:space="0"/>
            </w:tcBorders>
            <w:shd w:val="clear" w:color="auto" w:fill="auto"/>
            <w:noWrap w:val="0"/>
            <w:vAlign w:val="center"/>
          </w:tcPr>
          <w:p w14:paraId="0B4FE4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水口镇</w:t>
            </w:r>
          </w:p>
        </w:tc>
        <w:tc>
          <w:tcPr>
            <w:tcW w:w="162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A15F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w:t>
            </w:r>
          </w:p>
        </w:tc>
        <w:tc>
          <w:tcPr>
            <w:tcW w:w="1142" w:type="dxa"/>
            <w:tcBorders>
              <w:bottom w:val="single" w:color="000000" w:sz="4" w:space="0"/>
              <w:right w:val="single" w:color="000000" w:sz="4" w:space="0"/>
            </w:tcBorders>
            <w:shd w:val="clear" w:color="auto" w:fill="auto"/>
            <w:noWrap w:val="0"/>
            <w:vAlign w:val="center"/>
          </w:tcPr>
          <w:p w14:paraId="65C55D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5—10年</w:t>
            </w:r>
          </w:p>
        </w:tc>
      </w:tr>
      <w:tr w14:paraId="2691027C">
        <w:tblPrEx>
          <w:shd w:val="clear" w:color="auto" w:fill="auto"/>
          <w:tblCellMar>
            <w:top w:w="15" w:type="dxa"/>
            <w:left w:w="15" w:type="dxa"/>
            <w:bottom w:w="15" w:type="dxa"/>
            <w:right w:w="15" w:type="dxa"/>
          </w:tblCellMar>
        </w:tblPrEx>
        <w:trPr>
          <w:trHeight w:val="285" w:hRule="atLeast"/>
          <w:jc w:val="center"/>
        </w:trPr>
        <w:tc>
          <w:tcPr>
            <w:tcW w:w="54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5F45F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2427" w:type="dxa"/>
            <w:tcBorders>
              <w:top w:val="single" w:color="000000" w:sz="4" w:space="0"/>
              <w:left w:val="single" w:color="000000" w:sz="4" w:space="0"/>
              <w:bottom w:val="single" w:color="000000" w:sz="4" w:space="0"/>
              <w:right w:val="single" w:color="auto" w:sz="4" w:space="0"/>
            </w:tcBorders>
            <w:shd w:val="clear" w:color="auto" w:fill="auto"/>
            <w:noWrap w:val="0"/>
            <w:vAlign w:val="center"/>
          </w:tcPr>
          <w:p w14:paraId="77F88D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南山水治理工程（新增）</w:t>
            </w:r>
          </w:p>
        </w:tc>
        <w:tc>
          <w:tcPr>
            <w:tcW w:w="1379"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14:paraId="2CB109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珠玑、湖口镇</w:t>
            </w:r>
          </w:p>
        </w:tc>
        <w:tc>
          <w:tcPr>
            <w:tcW w:w="1311" w:type="dxa"/>
            <w:tcBorders>
              <w:top w:val="single" w:color="000000" w:sz="4" w:space="0"/>
              <w:bottom w:val="single" w:color="000000" w:sz="4" w:space="0"/>
              <w:right w:val="single" w:color="000000" w:sz="4" w:space="0"/>
            </w:tcBorders>
            <w:shd w:val="clear" w:color="auto" w:fill="auto"/>
            <w:noWrap w:val="0"/>
            <w:vAlign w:val="center"/>
          </w:tcPr>
          <w:p w14:paraId="6BF3FF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珠玑、湖口镇</w:t>
            </w:r>
          </w:p>
        </w:tc>
        <w:tc>
          <w:tcPr>
            <w:tcW w:w="162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BD91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w:t>
            </w:r>
          </w:p>
        </w:tc>
        <w:tc>
          <w:tcPr>
            <w:tcW w:w="1142" w:type="dxa"/>
            <w:tcBorders>
              <w:bottom w:val="single" w:color="000000" w:sz="4" w:space="0"/>
              <w:right w:val="single" w:color="000000" w:sz="4" w:space="0"/>
            </w:tcBorders>
            <w:shd w:val="clear" w:color="auto" w:fill="auto"/>
            <w:noWrap w:val="0"/>
            <w:vAlign w:val="center"/>
          </w:tcPr>
          <w:p w14:paraId="74DD79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5—10年</w:t>
            </w:r>
          </w:p>
        </w:tc>
      </w:tr>
      <w:tr w14:paraId="511B5259">
        <w:tblPrEx>
          <w:tblCellMar>
            <w:top w:w="15" w:type="dxa"/>
            <w:left w:w="15" w:type="dxa"/>
            <w:bottom w:w="15" w:type="dxa"/>
            <w:right w:w="15" w:type="dxa"/>
          </w:tblCellMar>
        </w:tblPrEx>
        <w:trPr>
          <w:trHeight w:val="285" w:hRule="atLeast"/>
          <w:jc w:val="center"/>
        </w:trPr>
        <w:tc>
          <w:tcPr>
            <w:tcW w:w="54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DB4E3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w:t>
            </w:r>
          </w:p>
        </w:tc>
        <w:tc>
          <w:tcPr>
            <w:tcW w:w="2427" w:type="dxa"/>
            <w:tcBorders>
              <w:top w:val="single" w:color="000000" w:sz="4" w:space="0"/>
              <w:left w:val="single" w:color="000000" w:sz="4" w:space="0"/>
              <w:bottom w:val="single" w:color="000000" w:sz="4" w:space="0"/>
              <w:right w:val="single" w:color="auto" w:sz="4" w:space="0"/>
            </w:tcBorders>
            <w:shd w:val="clear" w:color="auto" w:fill="auto"/>
            <w:noWrap w:val="0"/>
            <w:vAlign w:val="center"/>
          </w:tcPr>
          <w:p w14:paraId="6772C4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新龙水治理工程</w:t>
            </w:r>
          </w:p>
        </w:tc>
        <w:tc>
          <w:tcPr>
            <w:tcW w:w="1379"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14:paraId="62B697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坪田镇</w:t>
            </w:r>
          </w:p>
        </w:tc>
        <w:tc>
          <w:tcPr>
            <w:tcW w:w="1311" w:type="dxa"/>
            <w:tcBorders>
              <w:top w:val="single" w:color="000000" w:sz="4" w:space="0"/>
              <w:bottom w:val="single" w:color="000000" w:sz="4" w:space="0"/>
              <w:right w:val="single" w:color="000000" w:sz="4" w:space="0"/>
            </w:tcBorders>
            <w:shd w:val="clear" w:color="auto" w:fill="auto"/>
            <w:noWrap w:val="0"/>
            <w:vAlign w:val="center"/>
          </w:tcPr>
          <w:p w14:paraId="3F1D5C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坪田镇</w:t>
            </w:r>
          </w:p>
        </w:tc>
        <w:tc>
          <w:tcPr>
            <w:tcW w:w="162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23DB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7.79</w:t>
            </w:r>
          </w:p>
        </w:tc>
        <w:tc>
          <w:tcPr>
            <w:tcW w:w="1142" w:type="dxa"/>
            <w:tcBorders>
              <w:bottom w:val="single" w:color="000000" w:sz="4" w:space="0"/>
              <w:right w:val="single" w:color="000000" w:sz="4" w:space="0"/>
            </w:tcBorders>
            <w:shd w:val="clear" w:color="auto" w:fill="auto"/>
            <w:noWrap w:val="0"/>
            <w:vAlign w:val="center"/>
          </w:tcPr>
          <w:p w14:paraId="166389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5—10年</w:t>
            </w:r>
          </w:p>
        </w:tc>
      </w:tr>
      <w:tr w14:paraId="3127CFF9">
        <w:tblPrEx>
          <w:shd w:val="clear" w:color="auto" w:fill="auto"/>
          <w:tblCellMar>
            <w:top w:w="15" w:type="dxa"/>
            <w:left w:w="15" w:type="dxa"/>
            <w:bottom w:w="15" w:type="dxa"/>
            <w:right w:w="15" w:type="dxa"/>
          </w:tblCellMar>
        </w:tblPrEx>
        <w:trPr>
          <w:trHeight w:val="285" w:hRule="atLeast"/>
          <w:jc w:val="center"/>
        </w:trPr>
        <w:tc>
          <w:tcPr>
            <w:tcW w:w="54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FAABB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2427" w:type="dxa"/>
            <w:tcBorders>
              <w:top w:val="single" w:color="000000" w:sz="4" w:space="0"/>
              <w:left w:val="single" w:color="000000" w:sz="4" w:space="0"/>
              <w:bottom w:val="single" w:color="000000" w:sz="4" w:space="0"/>
              <w:right w:val="single" w:color="auto" w:sz="4" w:space="0"/>
            </w:tcBorders>
            <w:shd w:val="clear" w:color="auto" w:fill="auto"/>
            <w:noWrap w:val="0"/>
            <w:vAlign w:val="center"/>
          </w:tcPr>
          <w:p w14:paraId="7551C8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大坪水治理工程</w:t>
            </w:r>
          </w:p>
        </w:tc>
        <w:tc>
          <w:tcPr>
            <w:tcW w:w="1379"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14:paraId="72989E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古市、全安镇</w:t>
            </w:r>
          </w:p>
        </w:tc>
        <w:tc>
          <w:tcPr>
            <w:tcW w:w="1311" w:type="dxa"/>
            <w:tcBorders>
              <w:top w:val="single" w:color="000000" w:sz="4" w:space="0"/>
              <w:bottom w:val="single" w:color="000000" w:sz="4" w:space="0"/>
              <w:right w:val="single" w:color="000000" w:sz="4" w:space="0"/>
            </w:tcBorders>
            <w:shd w:val="clear" w:color="auto" w:fill="auto"/>
            <w:noWrap w:val="0"/>
            <w:vAlign w:val="center"/>
          </w:tcPr>
          <w:p w14:paraId="297DA6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古市、全安镇</w:t>
            </w:r>
          </w:p>
        </w:tc>
        <w:tc>
          <w:tcPr>
            <w:tcW w:w="162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AC03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5.01</w:t>
            </w:r>
          </w:p>
        </w:tc>
        <w:tc>
          <w:tcPr>
            <w:tcW w:w="1142" w:type="dxa"/>
            <w:tcBorders>
              <w:bottom w:val="single" w:color="000000" w:sz="4" w:space="0"/>
              <w:right w:val="single" w:color="000000" w:sz="4" w:space="0"/>
            </w:tcBorders>
            <w:shd w:val="clear" w:color="auto" w:fill="auto"/>
            <w:noWrap w:val="0"/>
            <w:vAlign w:val="center"/>
          </w:tcPr>
          <w:p w14:paraId="3C1DDD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5—10年</w:t>
            </w:r>
          </w:p>
        </w:tc>
      </w:tr>
      <w:tr w14:paraId="19297D83">
        <w:tblPrEx>
          <w:tblCellMar>
            <w:top w:w="15" w:type="dxa"/>
            <w:left w:w="15" w:type="dxa"/>
            <w:bottom w:w="15" w:type="dxa"/>
            <w:right w:w="15" w:type="dxa"/>
          </w:tblCellMar>
        </w:tblPrEx>
        <w:trPr>
          <w:trHeight w:val="285" w:hRule="atLeast"/>
          <w:jc w:val="center"/>
        </w:trPr>
        <w:tc>
          <w:tcPr>
            <w:tcW w:w="54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4594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2427" w:type="dxa"/>
            <w:tcBorders>
              <w:top w:val="single" w:color="000000" w:sz="4" w:space="0"/>
              <w:left w:val="single" w:color="000000" w:sz="4" w:space="0"/>
              <w:bottom w:val="single" w:color="000000" w:sz="4" w:space="0"/>
              <w:right w:val="single" w:color="auto" w:sz="4" w:space="0"/>
            </w:tcBorders>
            <w:shd w:val="clear" w:color="auto" w:fill="auto"/>
            <w:noWrap w:val="0"/>
            <w:vAlign w:val="center"/>
          </w:tcPr>
          <w:p w14:paraId="727811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合计</w:t>
            </w:r>
          </w:p>
        </w:tc>
        <w:tc>
          <w:tcPr>
            <w:tcW w:w="1379"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14:paraId="67145D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311" w:type="dxa"/>
            <w:tcBorders>
              <w:bottom w:val="single" w:color="000000" w:sz="4" w:space="0"/>
              <w:right w:val="single" w:color="000000" w:sz="4" w:space="0"/>
            </w:tcBorders>
            <w:shd w:val="clear" w:color="auto" w:fill="auto"/>
            <w:noWrap w:val="0"/>
            <w:vAlign w:val="top"/>
          </w:tcPr>
          <w:p w14:paraId="0C0578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62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3B9C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128.4</w:t>
            </w:r>
          </w:p>
        </w:tc>
        <w:tc>
          <w:tcPr>
            <w:tcW w:w="1142" w:type="dxa"/>
            <w:tcBorders>
              <w:bottom w:val="single" w:color="000000" w:sz="4" w:space="0"/>
              <w:right w:val="single" w:color="000000" w:sz="4" w:space="0"/>
            </w:tcBorders>
            <w:shd w:val="clear" w:color="auto" w:fill="auto"/>
            <w:noWrap w:val="0"/>
            <w:vAlign w:val="center"/>
          </w:tcPr>
          <w:p w14:paraId="343100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bl>
    <w:p w14:paraId="14A7B8A6">
      <w:pPr>
        <w:rPr>
          <w:rFonts w:hint="eastAsia" w:hAnsi="宋体" w:cs="宋体"/>
          <w:highlight w:val="none"/>
        </w:rPr>
      </w:pPr>
      <w:r>
        <w:rPr>
          <w:rFonts w:hint="eastAsia" w:hAnsi="宋体" w:cs="宋体"/>
          <w:highlight w:val="none"/>
        </w:rPr>
        <w:t>表3</w:t>
      </w:r>
    </w:p>
    <w:p w14:paraId="4F186B84">
      <w:pPr>
        <w:pStyle w:val="4"/>
        <w:bidi w:val="0"/>
        <w:rPr>
          <w:rFonts w:hint="eastAsia"/>
          <w:highlight w:val="none"/>
        </w:rPr>
      </w:pPr>
      <w:r>
        <w:rPr>
          <w:rFonts w:hint="eastAsia"/>
          <w:highlight w:val="none"/>
        </w:rPr>
        <w:t>【防汛抗旱】</w:t>
      </w:r>
    </w:p>
    <w:p w14:paraId="298F3337">
      <w:pPr>
        <w:rPr>
          <w:rFonts w:hint="eastAsia" w:hAnsi="宋体" w:cs="宋体"/>
          <w:highlight w:val="none"/>
        </w:rPr>
      </w:pPr>
      <w:r>
        <w:rPr>
          <w:rFonts w:hint="eastAsia" w:hAnsi="宋体" w:cs="宋体"/>
          <w:highlight w:val="none"/>
        </w:rPr>
        <w:t>2015年年降雨量1693</w:t>
      </w:r>
      <w:r>
        <w:rPr>
          <w:rFonts w:hint="eastAsia" w:ascii="MingLiU_HKSCS" w:hAnsi="MingLiU_HKSCS" w:eastAsia="MingLiU_HKSCS" w:cs="MingLiU_HKSCS"/>
          <w:highlight w:val="none"/>
        </w:rPr>
        <w:t>.</w:t>
      </w:r>
      <w:r>
        <w:rPr>
          <w:rFonts w:hint="eastAsia" w:hAnsi="宋体" w:cs="宋体"/>
          <w:highlight w:val="none"/>
        </w:rPr>
        <w:t>4毫米，同比2014年（1365</w:t>
      </w:r>
      <w:r>
        <w:rPr>
          <w:rFonts w:hint="eastAsia" w:ascii="MingLiU_HKSCS" w:hAnsi="MingLiU_HKSCS" w:eastAsia="MingLiU_HKSCS" w:cs="MingLiU_HKSCS"/>
          <w:highlight w:val="none"/>
        </w:rPr>
        <w:t>.</w:t>
      </w:r>
      <w:r>
        <w:rPr>
          <w:rFonts w:hint="eastAsia" w:hAnsi="宋体" w:cs="宋体"/>
          <w:highlight w:val="none"/>
        </w:rPr>
        <w:t>8毫米）增加24%，同比上年年平均降雨量（1470</w:t>
      </w:r>
      <w:r>
        <w:rPr>
          <w:rFonts w:hint="eastAsia" w:ascii="MingLiU_HKSCS" w:hAnsi="MingLiU_HKSCS" w:eastAsia="MingLiU_HKSCS" w:cs="MingLiU_HKSCS"/>
          <w:highlight w:val="none"/>
        </w:rPr>
        <w:t>.</w:t>
      </w:r>
      <w:r>
        <w:rPr>
          <w:rFonts w:hint="eastAsia" w:hAnsi="宋体" w:cs="宋体"/>
          <w:highlight w:val="none"/>
        </w:rPr>
        <w:t>6毫米）增加15</w:t>
      </w:r>
      <w:r>
        <w:rPr>
          <w:rFonts w:hint="eastAsia" w:ascii="MingLiU_HKSCS" w:hAnsi="MingLiU_HKSCS" w:eastAsia="MingLiU_HKSCS" w:cs="MingLiU_HKSCS"/>
          <w:highlight w:val="none"/>
        </w:rPr>
        <w:t>.</w:t>
      </w:r>
      <w:r>
        <w:rPr>
          <w:rFonts w:hint="eastAsia" w:hAnsi="宋体" w:cs="宋体"/>
          <w:highlight w:val="none"/>
        </w:rPr>
        <w:t>2%；年末13宗重点水库总蓄水量10278万立方米，同比上年（9018万立方米）增加13</w:t>
      </w:r>
      <w:r>
        <w:rPr>
          <w:rFonts w:hint="eastAsia" w:ascii="MingLiU_HKSCS" w:hAnsi="MingLiU_HKSCS" w:eastAsia="MingLiU_HKSCS" w:cs="MingLiU_HKSCS"/>
          <w:highlight w:val="none"/>
        </w:rPr>
        <w:t>.</w:t>
      </w:r>
      <w:r>
        <w:rPr>
          <w:rFonts w:hint="eastAsia" w:hAnsi="宋体" w:cs="宋体"/>
          <w:highlight w:val="none"/>
        </w:rPr>
        <w:t>97%，同比上年（8184万立方米）多25</w:t>
      </w:r>
      <w:r>
        <w:rPr>
          <w:rFonts w:hint="eastAsia" w:ascii="MingLiU_HKSCS" w:hAnsi="MingLiU_HKSCS" w:eastAsia="MingLiU_HKSCS" w:cs="MingLiU_HKSCS"/>
          <w:highlight w:val="none"/>
        </w:rPr>
        <w:t>.</w:t>
      </w:r>
      <w:r>
        <w:rPr>
          <w:rFonts w:hint="eastAsia" w:hAnsi="宋体" w:cs="宋体"/>
          <w:highlight w:val="none"/>
        </w:rPr>
        <w:t>58%。2015年雨量丰沛，汛期（4—9月）未发生较大洪涝灾害和旱灾。加强防灾减灾工程建设，提升抵御自然灾害能力：完成新龙水山洪沟治理，治理河床7</w:t>
      </w:r>
      <w:r>
        <w:rPr>
          <w:rFonts w:hint="eastAsia" w:ascii="MingLiU_HKSCS" w:hAnsi="MingLiU_HKSCS" w:eastAsia="MingLiU_HKSCS" w:cs="MingLiU_HKSCS"/>
          <w:highlight w:val="none"/>
        </w:rPr>
        <w:t>.</w:t>
      </w:r>
      <w:r>
        <w:rPr>
          <w:rFonts w:hint="eastAsia" w:hAnsi="宋体" w:cs="宋体"/>
          <w:highlight w:val="none"/>
        </w:rPr>
        <w:t>5公里，工程保护农田266</w:t>
      </w:r>
      <w:r>
        <w:rPr>
          <w:rFonts w:hint="eastAsia" w:ascii="MingLiU_HKSCS" w:hAnsi="MingLiU_HKSCS" w:eastAsia="MingLiU_HKSCS" w:cs="MingLiU_HKSCS"/>
          <w:highlight w:val="none"/>
        </w:rPr>
        <w:t>.</w:t>
      </w:r>
      <w:r>
        <w:rPr>
          <w:rFonts w:hint="eastAsia" w:hAnsi="宋体" w:cs="宋体"/>
          <w:highlight w:val="none"/>
        </w:rPr>
        <w:t>6公顷，受益人口2500人；南雄市山洪灾害非工程措施建设，构建防灾减灾保障体系：组织18个镇（街道）开展山洪灾害防御知识培训1200多人次， 208个村购买预警设备，编制市、镇、村、村小组四级应急预案， 18个镇级三防会商室信息化建设。</w:t>
      </w:r>
    </w:p>
    <w:p w14:paraId="452BEB70">
      <w:pPr>
        <w:pStyle w:val="4"/>
        <w:bidi w:val="0"/>
        <w:rPr>
          <w:rFonts w:hint="eastAsia"/>
          <w:highlight w:val="none"/>
        </w:rPr>
      </w:pPr>
      <w:r>
        <w:rPr>
          <w:rFonts w:hint="eastAsia"/>
          <w:highlight w:val="none"/>
        </w:rPr>
        <w:t>【水利工程】</w:t>
      </w:r>
    </w:p>
    <w:p w14:paraId="0644017D">
      <w:pPr>
        <w:rPr>
          <w:rFonts w:hint="eastAsia" w:hAnsi="宋体" w:cs="宋体"/>
          <w:highlight w:val="none"/>
        </w:rPr>
      </w:pPr>
      <w:r>
        <w:rPr>
          <w:rFonts w:hint="eastAsia" w:hAnsi="宋体" w:cs="宋体"/>
          <w:highlight w:val="none"/>
        </w:rPr>
        <w:t>加快农田渠系工程改造步伐，提高农田灌溉保障能力。2015年，全市重点农田水利工程建设项目有：瀑布灌区改造工程，概算总投资3123</w:t>
      </w:r>
      <w:r>
        <w:rPr>
          <w:rFonts w:hint="eastAsia" w:ascii="MingLiU_HKSCS" w:hAnsi="MingLiU_HKSCS" w:eastAsia="MingLiU_HKSCS" w:cs="MingLiU_HKSCS"/>
          <w:highlight w:val="none"/>
        </w:rPr>
        <w:t>.</w:t>
      </w:r>
      <w:r>
        <w:rPr>
          <w:rFonts w:hint="eastAsia" w:hAnsi="宋体" w:cs="宋体"/>
          <w:highlight w:val="none"/>
        </w:rPr>
        <w:t>82万元，至年底已完成投资2200多万元，新建渠道38</w:t>
      </w:r>
      <w:r>
        <w:rPr>
          <w:rFonts w:hint="eastAsia" w:ascii="MingLiU_HKSCS" w:hAnsi="MingLiU_HKSCS" w:eastAsia="MingLiU_HKSCS" w:cs="MingLiU_HKSCS"/>
          <w:highlight w:val="none"/>
        </w:rPr>
        <w:t>.</w:t>
      </w:r>
      <w:r>
        <w:rPr>
          <w:rFonts w:hint="eastAsia" w:hAnsi="宋体" w:cs="宋体"/>
          <w:highlight w:val="none"/>
        </w:rPr>
        <w:t>8公里，渠系建筑物19座（水闸、溢流堰）；全面完成6宗小型灌区改造（黄坑南亩河、焦坑水库灌区、和丰水库灌区、永丰水库灌区、松树荫水库灌区和三丘田水库灌区），改造渠道27</w:t>
      </w:r>
      <w:r>
        <w:rPr>
          <w:rFonts w:hint="eastAsia" w:ascii="MingLiU_HKSCS" w:hAnsi="MingLiU_HKSCS" w:eastAsia="MingLiU_HKSCS" w:cs="MingLiU_HKSCS"/>
          <w:highlight w:val="none"/>
        </w:rPr>
        <w:t>.</w:t>
      </w:r>
      <w:r>
        <w:rPr>
          <w:rFonts w:hint="eastAsia" w:hAnsi="宋体" w:cs="宋体"/>
          <w:highlight w:val="none"/>
        </w:rPr>
        <w:t>67公里，小型渠系建筑物185座，设计受益面积947</w:t>
      </w:r>
      <w:r>
        <w:rPr>
          <w:rFonts w:hint="eastAsia" w:ascii="MingLiU_HKSCS" w:hAnsi="MingLiU_HKSCS" w:eastAsia="MingLiU_HKSCS" w:cs="MingLiU_HKSCS"/>
          <w:highlight w:val="none"/>
        </w:rPr>
        <w:t>.</w:t>
      </w:r>
      <w:r>
        <w:rPr>
          <w:rFonts w:hint="eastAsia" w:hAnsi="宋体" w:cs="宋体"/>
          <w:highlight w:val="none"/>
        </w:rPr>
        <w:t>8公顷；完成油山镇田间工程，项目区涉及12个行政村，受益农户5412户，受益人口19013人，总治理面积1600公顷，修建衬砌灌排渠道总长27</w:t>
      </w:r>
      <w:r>
        <w:rPr>
          <w:rFonts w:hint="eastAsia" w:ascii="MingLiU_HKSCS" w:hAnsi="MingLiU_HKSCS" w:eastAsia="MingLiU_HKSCS" w:cs="MingLiU_HKSCS"/>
          <w:highlight w:val="none"/>
        </w:rPr>
        <w:t>.</w:t>
      </w:r>
      <w:r>
        <w:rPr>
          <w:rFonts w:hint="eastAsia" w:hAnsi="宋体" w:cs="宋体"/>
          <w:highlight w:val="none"/>
        </w:rPr>
        <w:t>0公里，修建机耕路总长3</w:t>
      </w:r>
      <w:r>
        <w:rPr>
          <w:rFonts w:hint="eastAsia" w:ascii="MingLiU_HKSCS" w:hAnsi="MingLiU_HKSCS" w:eastAsia="MingLiU_HKSCS" w:cs="MingLiU_HKSCS"/>
          <w:highlight w:val="none"/>
        </w:rPr>
        <w:t>.</w:t>
      </w:r>
      <w:r>
        <w:rPr>
          <w:rFonts w:hint="eastAsia" w:hAnsi="宋体" w:cs="宋体"/>
          <w:highlight w:val="none"/>
        </w:rPr>
        <w:t>0公里</w:t>
      </w:r>
      <w:r>
        <w:rPr>
          <w:rFonts w:hint="eastAsia" w:hAnsi="宋体" w:cs="宋体"/>
          <w:highlight w:val="none"/>
          <w:lang w:eastAsia="zh-CN"/>
        </w:rPr>
        <w:t>，</w:t>
      </w:r>
      <w:r>
        <w:rPr>
          <w:rFonts w:hint="eastAsia" w:hAnsi="宋体" w:cs="宋体"/>
          <w:highlight w:val="none"/>
        </w:rPr>
        <w:t>小型渠系建筑物327座（人行桥、机耕桥、涵管）；全安、古市镇田间工程，项目区涉及全安镇王亭石村、杨沥村、河塘村、全安村，古市镇的修仁村委和柴岭村，6个行政村。受益农户3091户，受益人口12777人，总治理面积933</w:t>
      </w:r>
      <w:r>
        <w:rPr>
          <w:rFonts w:hint="eastAsia" w:ascii="MingLiU_HKSCS" w:hAnsi="MingLiU_HKSCS" w:eastAsia="MingLiU_HKSCS" w:cs="MingLiU_HKSCS"/>
          <w:highlight w:val="none"/>
        </w:rPr>
        <w:t>.</w:t>
      </w:r>
      <w:r>
        <w:rPr>
          <w:rFonts w:hint="eastAsia" w:hAnsi="宋体" w:cs="宋体"/>
          <w:highlight w:val="none"/>
        </w:rPr>
        <w:t>3公顷，项目区整修渠道50</w:t>
      </w:r>
      <w:r>
        <w:rPr>
          <w:rFonts w:hint="eastAsia" w:ascii="MingLiU_HKSCS" w:hAnsi="MingLiU_HKSCS" w:eastAsia="MingLiU_HKSCS" w:cs="MingLiU_HKSCS"/>
          <w:highlight w:val="none"/>
        </w:rPr>
        <w:t>.</w:t>
      </w:r>
      <w:r>
        <w:rPr>
          <w:rFonts w:hint="eastAsia" w:hAnsi="宋体" w:cs="宋体"/>
          <w:highlight w:val="none"/>
        </w:rPr>
        <w:t>5公里、整修机耕路6</w:t>
      </w:r>
      <w:r>
        <w:rPr>
          <w:rFonts w:hint="eastAsia" w:ascii="MingLiU_HKSCS" w:hAnsi="MingLiU_HKSCS" w:eastAsia="MingLiU_HKSCS" w:cs="MingLiU_HKSCS"/>
          <w:highlight w:val="none"/>
        </w:rPr>
        <w:t>.</w:t>
      </w:r>
      <w:r>
        <w:rPr>
          <w:rFonts w:hint="eastAsia" w:hAnsi="宋体" w:cs="宋体"/>
          <w:highlight w:val="none"/>
        </w:rPr>
        <w:t>33公里、渠系建筑物379座（人行桥、机耕桥、涵管）。</w:t>
      </w:r>
    </w:p>
    <w:p w14:paraId="2AFEF369">
      <w:pPr>
        <w:jc w:val="center"/>
        <w:rPr>
          <w:rFonts w:hint="eastAsia" w:hAnsi="宋体" w:cs="宋体"/>
          <w:highlight w:val="none"/>
        </w:rPr>
      </w:pPr>
      <w:r>
        <w:rPr>
          <w:rFonts w:hint="eastAsia" w:hAnsi="宋体" w:cs="宋体"/>
          <w:highlight w:val="none"/>
        </w:rPr>
        <w:t>2015年南雄市新增耕地灌溉面积（有效灌）信息表</w:t>
      </w:r>
    </w:p>
    <w:p w14:paraId="158773CC">
      <w:pPr>
        <w:rPr>
          <w:rFonts w:hint="eastAsia" w:hAnsi="宋体" w:cs="宋体"/>
          <w:highlight w:val="none"/>
        </w:rPr>
      </w:pPr>
      <w:r>
        <w:rPr>
          <w:rFonts w:hint="eastAsia" w:hAnsi="宋体" w:cs="宋体"/>
          <w:highlight w:val="none"/>
        </w:rPr>
        <w:t>表4</w:t>
      </w:r>
    </w:p>
    <w:tbl>
      <w:tblPr>
        <w:tblStyle w:val="7"/>
        <w:tblpPr w:leftFromText="180" w:rightFromText="180" w:vertAnchor="text" w:horzAnchor="page" w:tblpX="1840" w:tblpY="63"/>
        <w:tblOverlap w:val="never"/>
        <w:tblW w:w="5000" w:type="pct"/>
        <w:tblInd w:w="0" w:type="dxa"/>
        <w:tblLayout w:type="fixed"/>
        <w:tblCellMar>
          <w:top w:w="15" w:type="dxa"/>
          <w:left w:w="15" w:type="dxa"/>
          <w:bottom w:w="15" w:type="dxa"/>
          <w:right w:w="15" w:type="dxa"/>
        </w:tblCellMar>
      </w:tblPr>
      <w:tblGrid>
        <w:gridCol w:w="590"/>
        <w:gridCol w:w="2562"/>
        <w:gridCol w:w="629"/>
        <w:gridCol w:w="617"/>
        <w:gridCol w:w="1534"/>
        <w:gridCol w:w="2498"/>
      </w:tblGrid>
      <w:tr w14:paraId="408BD4DC">
        <w:tblPrEx>
          <w:tblCellMar>
            <w:top w:w="15" w:type="dxa"/>
            <w:left w:w="15" w:type="dxa"/>
            <w:bottom w:w="15" w:type="dxa"/>
            <w:right w:w="15" w:type="dxa"/>
          </w:tblCellMar>
        </w:tblPrEx>
        <w:trPr>
          <w:trHeight w:val="725" w:hRule="atLeast"/>
        </w:trPr>
        <w:tc>
          <w:tcPr>
            <w:tcW w:w="574" w:type="dxa"/>
            <w:vMerge w:val="restart"/>
            <w:tcBorders>
              <w:top w:val="single" w:color="auto" w:sz="4" w:space="0"/>
              <w:left w:val="single" w:color="auto" w:sz="4" w:space="0"/>
              <w:bottom w:val="single" w:color="auto" w:sz="4" w:space="0"/>
              <w:right w:val="single" w:color="auto" w:sz="4" w:space="0"/>
            </w:tcBorders>
            <w:noWrap w:val="0"/>
            <w:vAlign w:val="center"/>
          </w:tcPr>
          <w:p w14:paraId="4F0F13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序号</w:t>
            </w:r>
          </w:p>
        </w:tc>
        <w:tc>
          <w:tcPr>
            <w:tcW w:w="2493" w:type="dxa"/>
            <w:tcBorders>
              <w:top w:val="single" w:color="000000" w:sz="4" w:space="0"/>
              <w:left w:val="single" w:color="auto" w:sz="4" w:space="0"/>
              <w:bottom w:val="single" w:color="000000" w:sz="4" w:space="0"/>
              <w:right w:val="single" w:color="000000" w:sz="4" w:space="0"/>
            </w:tcBorders>
            <w:noWrap w:val="0"/>
            <w:vAlign w:val="center"/>
          </w:tcPr>
          <w:p w14:paraId="0615F6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对应新建成的配套</w:t>
            </w:r>
            <w:r>
              <w:rPr>
                <w:rFonts w:hint="eastAsia"/>
                <w:highlight w:val="none"/>
              </w:rPr>
              <w:br w:type="textWrapping"/>
            </w:r>
            <w:r>
              <w:rPr>
                <w:rFonts w:hint="eastAsia"/>
                <w:highlight w:val="none"/>
              </w:rPr>
              <w:t>灌溉工程设施名称</w:t>
            </w:r>
          </w:p>
        </w:tc>
        <w:tc>
          <w:tcPr>
            <w:tcW w:w="612" w:type="dxa"/>
            <w:vMerge w:val="restart"/>
            <w:tcBorders>
              <w:top w:val="single" w:color="000000" w:sz="4" w:space="0"/>
              <w:left w:val="nil"/>
              <w:bottom w:val="single" w:color="000000" w:sz="4" w:space="0"/>
              <w:right w:val="single" w:color="000000" w:sz="4" w:space="0"/>
            </w:tcBorders>
            <w:noWrap w:val="0"/>
            <w:vAlign w:val="center"/>
          </w:tcPr>
          <w:p w14:paraId="1B41CE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所在地市</w:t>
            </w:r>
          </w:p>
        </w:tc>
        <w:tc>
          <w:tcPr>
            <w:tcW w:w="600" w:type="dxa"/>
            <w:vMerge w:val="restart"/>
            <w:tcBorders>
              <w:top w:val="single" w:color="000000" w:sz="4" w:space="0"/>
              <w:left w:val="nil"/>
              <w:bottom w:val="single" w:color="000000" w:sz="4" w:space="0"/>
              <w:right w:val="single" w:color="000000" w:sz="4" w:space="0"/>
            </w:tcBorders>
            <w:noWrap w:val="0"/>
            <w:vAlign w:val="center"/>
          </w:tcPr>
          <w:p w14:paraId="4F78BF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所在县区</w:t>
            </w:r>
          </w:p>
        </w:tc>
        <w:tc>
          <w:tcPr>
            <w:tcW w:w="1493" w:type="dxa"/>
            <w:vMerge w:val="restart"/>
            <w:tcBorders>
              <w:top w:val="single" w:color="000000" w:sz="4" w:space="0"/>
              <w:left w:val="nil"/>
              <w:bottom w:val="single" w:color="000000" w:sz="4" w:space="0"/>
              <w:right w:val="single" w:color="000000" w:sz="4" w:space="0"/>
            </w:tcBorders>
            <w:noWrap w:val="0"/>
            <w:vAlign w:val="center"/>
          </w:tcPr>
          <w:p w14:paraId="7BA847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新增面积</w:t>
            </w:r>
          </w:p>
        </w:tc>
        <w:tc>
          <w:tcPr>
            <w:tcW w:w="2431" w:type="dxa"/>
            <w:tcBorders>
              <w:top w:val="single" w:color="000000" w:sz="4" w:space="0"/>
              <w:left w:val="nil"/>
              <w:bottom w:val="single" w:color="000000" w:sz="4" w:space="0"/>
              <w:right w:val="single" w:color="000000" w:sz="4" w:space="0"/>
            </w:tcBorders>
            <w:noWrap w:val="0"/>
            <w:vAlign w:val="center"/>
          </w:tcPr>
          <w:p w14:paraId="6ED34A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对应新增水源名称</w:t>
            </w:r>
          </w:p>
        </w:tc>
      </w:tr>
      <w:tr w14:paraId="235E81F6">
        <w:tblPrEx>
          <w:tblCellMar>
            <w:top w:w="15" w:type="dxa"/>
            <w:left w:w="15" w:type="dxa"/>
            <w:bottom w:w="15" w:type="dxa"/>
            <w:right w:w="15" w:type="dxa"/>
          </w:tblCellMar>
        </w:tblPrEx>
        <w:trPr>
          <w:trHeight w:val="491" w:hRule="atLeast"/>
        </w:trPr>
        <w:tc>
          <w:tcPr>
            <w:tcW w:w="574" w:type="dxa"/>
            <w:vMerge w:val="continue"/>
            <w:tcBorders>
              <w:top w:val="single" w:color="auto" w:sz="4" w:space="0"/>
              <w:left w:val="single" w:color="auto" w:sz="4" w:space="0"/>
              <w:bottom w:val="single" w:color="auto" w:sz="4" w:space="0"/>
              <w:right w:val="single" w:color="auto" w:sz="4" w:space="0"/>
            </w:tcBorders>
            <w:noWrap w:val="0"/>
            <w:vAlign w:val="center"/>
          </w:tcPr>
          <w:p w14:paraId="67B67C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2493" w:type="dxa"/>
            <w:tcBorders>
              <w:top w:val="single" w:color="000000" w:sz="4" w:space="0"/>
              <w:left w:val="single" w:color="auto" w:sz="4" w:space="0"/>
              <w:bottom w:val="single" w:color="000000" w:sz="4" w:space="0"/>
              <w:right w:val="single" w:color="000000" w:sz="4" w:space="0"/>
            </w:tcBorders>
            <w:noWrap w:val="0"/>
            <w:vAlign w:val="center"/>
          </w:tcPr>
          <w:p w14:paraId="10DDA8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泵站名称/水闸名称</w:t>
            </w:r>
          </w:p>
        </w:tc>
        <w:tc>
          <w:tcPr>
            <w:tcW w:w="612" w:type="dxa"/>
            <w:vMerge w:val="continue"/>
            <w:tcBorders>
              <w:top w:val="single" w:color="000000" w:sz="4" w:space="0"/>
              <w:left w:val="nil"/>
              <w:bottom w:val="single" w:color="000000" w:sz="4" w:space="0"/>
              <w:right w:val="single" w:color="000000" w:sz="4" w:space="0"/>
            </w:tcBorders>
            <w:noWrap w:val="0"/>
            <w:vAlign w:val="center"/>
          </w:tcPr>
          <w:p w14:paraId="36744E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00" w:type="dxa"/>
            <w:vMerge w:val="continue"/>
            <w:tcBorders>
              <w:top w:val="single" w:color="000000" w:sz="4" w:space="0"/>
              <w:left w:val="nil"/>
              <w:bottom w:val="single" w:color="000000" w:sz="4" w:space="0"/>
              <w:right w:val="single" w:color="000000" w:sz="4" w:space="0"/>
            </w:tcBorders>
            <w:noWrap w:val="0"/>
            <w:vAlign w:val="center"/>
          </w:tcPr>
          <w:p w14:paraId="3A2738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493" w:type="dxa"/>
            <w:vMerge w:val="continue"/>
            <w:tcBorders>
              <w:top w:val="single" w:color="000000" w:sz="4" w:space="0"/>
              <w:left w:val="nil"/>
              <w:bottom w:val="single" w:color="000000" w:sz="4" w:space="0"/>
              <w:right w:val="single" w:color="000000" w:sz="4" w:space="0"/>
            </w:tcBorders>
            <w:noWrap w:val="0"/>
            <w:vAlign w:val="center"/>
          </w:tcPr>
          <w:p w14:paraId="6505F9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2431" w:type="dxa"/>
            <w:tcBorders>
              <w:top w:val="single" w:color="000000" w:sz="4" w:space="0"/>
              <w:left w:val="nil"/>
              <w:bottom w:val="single" w:color="000000" w:sz="4" w:space="0"/>
              <w:right w:val="single" w:color="000000" w:sz="4" w:space="0"/>
            </w:tcBorders>
            <w:noWrap w:val="0"/>
            <w:vAlign w:val="center"/>
          </w:tcPr>
          <w:p w14:paraId="17E348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水库/河流/湖泊等</w:t>
            </w:r>
          </w:p>
        </w:tc>
      </w:tr>
      <w:tr w14:paraId="5BF92309">
        <w:tblPrEx>
          <w:tblCellMar>
            <w:top w:w="15" w:type="dxa"/>
            <w:left w:w="15" w:type="dxa"/>
            <w:bottom w:w="15" w:type="dxa"/>
            <w:right w:w="15" w:type="dxa"/>
          </w:tblCellMar>
        </w:tblPrEx>
        <w:trPr>
          <w:trHeight w:val="491" w:hRule="atLeast"/>
        </w:trPr>
        <w:tc>
          <w:tcPr>
            <w:tcW w:w="574" w:type="dxa"/>
            <w:tcBorders>
              <w:top w:val="single" w:color="auto" w:sz="4" w:space="0"/>
              <w:left w:val="single" w:color="auto" w:sz="4" w:space="0"/>
              <w:bottom w:val="single" w:color="auto" w:sz="4" w:space="0"/>
              <w:right w:val="single" w:color="auto" w:sz="4" w:space="0"/>
            </w:tcBorders>
            <w:noWrap w:val="0"/>
            <w:vAlign w:val="center"/>
          </w:tcPr>
          <w:p w14:paraId="5F8E05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2493" w:type="dxa"/>
            <w:tcBorders>
              <w:top w:val="single" w:color="000000" w:sz="4" w:space="0"/>
              <w:left w:val="single" w:color="auto" w:sz="4" w:space="0"/>
              <w:bottom w:val="single" w:color="000000" w:sz="4" w:space="0"/>
              <w:right w:val="single" w:color="000000" w:sz="4" w:space="0"/>
            </w:tcBorders>
            <w:noWrap w:val="0"/>
            <w:vAlign w:val="center"/>
          </w:tcPr>
          <w:p w14:paraId="61FAFE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油山镇田间工程</w:t>
            </w:r>
          </w:p>
        </w:tc>
        <w:tc>
          <w:tcPr>
            <w:tcW w:w="612" w:type="dxa"/>
            <w:tcBorders>
              <w:top w:val="single" w:color="000000" w:sz="4" w:space="0"/>
              <w:left w:val="nil"/>
              <w:bottom w:val="single" w:color="000000" w:sz="4" w:space="0"/>
              <w:right w:val="single" w:color="000000" w:sz="4" w:space="0"/>
            </w:tcBorders>
            <w:noWrap w:val="0"/>
            <w:vAlign w:val="center"/>
          </w:tcPr>
          <w:p w14:paraId="0C3FF5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韶关</w:t>
            </w:r>
          </w:p>
        </w:tc>
        <w:tc>
          <w:tcPr>
            <w:tcW w:w="600" w:type="dxa"/>
            <w:tcBorders>
              <w:top w:val="single" w:color="000000" w:sz="4" w:space="0"/>
              <w:left w:val="nil"/>
              <w:bottom w:val="single" w:color="000000" w:sz="4" w:space="0"/>
              <w:right w:val="single" w:color="000000" w:sz="4" w:space="0"/>
            </w:tcBorders>
            <w:noWrap w:val="0"/>
            <w:vAlign w:val="center"/>
          </w:tcPr>
          <w:p w14:paraId="73ACD5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南雄</w:t>
            </w:r>
          </w:p>
        </w:tc>
        <w:tc>
          <w:tcPr>
            <w:tcW w:w="1493" w:type="dxa"/>
            <w:tcBorders>
              <w:top w:val="single" w:color="000000" w:sz="4" w:space="0"/>
              <w:left w:val="nil"/>
              <w:bottom w:val="single" w:color="000000" w:sz="4" w:space="0"/>
              <w:right w:val="single" w:color="000000" w:sz="4" w:space="0"/>
            </w:tcBorders>
            <w:noWrap w:val="0"/>
            <w:vAlign w:val="center"/>
          </w:tcPr>
          <w:p w14:paraId="6B9A08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133公顷</w:t>
            </w:r>
          </w:p>
        </w:tc>
        <w:tc>
          <w:tcPr>
            <w:tcW w:w="2431" w:type="dxa"/>
            <w:tcBorders>
              <w:top w:val="single" w:color="000000" w:sz="4" w:space="0"/>
              <w:left w:val="nil"/>
              <w:bottom w:val="single" w:color="000000" w:sz="4" w:space="0"/>
              <w:right w:val="single" w:color="000000" w:sz="4" w:space="0"/>
            </w:tcBorders>
            <w:noWrap w:val="0"/>
            <w:vAlign w:val="center"/>
          </w:tcPr>
          <w:p w14:paraId="31E93C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大源水</w:t>
            </w:r>
          </w:p>
        </w:tc>
      </w:tr>
      <w:tr w14:paraId="6A116D10">
        <w:tblPrEx>
          <w:tblCellMar>
            <w:top w:w="15" w:type="dxa"/>
            <w:left w:w="15" w:type="dxa"/>
            <w:bottom w:w="15" w:type="dxa"/>
            <w:right w:w="15" w:type="dxa"/>
          </w:tblCellMar>
        </w:tblPrEx>
        <w:trPr>
          <w:trHeight w:val="343" w:hRule="atLeast"/>
        </w:trPr>
        <w:tc>
          <w:tcPr>
            <w:tcW w:w="574" w:type="dxa"/>
            <w:tcBorders>
              <w:top w:val="single" w:color="auto" w:sz="4" w:space="0"/>
              <w:left w:val="single" w:color="auto" w:sz="4" w:space="0"/>
              <w:bottom w:val="single" w:color="auto" w:sz="4" w:space="0"/>
              <w:right w:val="single" w:color="auto" w:sz="4" w:space="0"/>
            </w:tcBorders>
            <w:noWrap w:val="0"/>
            <w:vAlign w:val="center"/>
          </w:tcPr>
          <w:p w14:paraId="3B46F8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2493" w:type="dxa"/>
            <w:tcBorders>
              <w:top w:val="single" w:color="000000" w:sz="4" w:space="0"/>
              <w:left w:val="single" w:color="auto" w:sz="4" w:space="0"/>
              <w:bottom w:val="single" w:color="000000" w:sz="4" w:space="0"/>
              <w:right w:val="single" w:color="000000" w:sz="4" w:space="0"/>
            </w:tcBorders>
            <w:noWrap w:val="0"/>
            <w:vAlign w:val="center"/>
          </w:tcPr>
          <w:p w14:paraId="149E06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瀑布灌区改造工程</w:t>
            </w:r>
          </w:p>
        </w:tc>
        <w:tc>
          <w:tcPr>
            <w:tcW w:w="612" w:type="dxa"/>
            <w:tcBorders>
              <w:top w:val="single" w:color="000000" w:sz="4" w:space="0"/>
              <w:left w:val="nil"/>
              <w:bottom w:val="single" w:color="000000" w:sz="4" w:space="0"/>
              <w:right w:val="single" w:color="000000" w:sz="4" w:space="0"/>
            </w:tcBorders>
            <w:noWrap w:val="0"/>
            <w:vAlign w:val="center"/>
          </w:tcPr>
          <w:p w14:paraId="2F0BCD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韶关</w:t>
            </w:r>
          </w:p>
        </w:tc>
        <w:tc>
          <w:tcPr>
            <w:tcW w:w="600" w:type="dxa"/>
            <w:tcBorders>
              <w:top w:val="single" w:color="000000" w:sz="4" w:space="0"/>
              <w:left w:val="nil"/>
              <w:bottom w:val="single" w:color="000000" w:sz="4" w:space="0"/>
              <w:right w:val="single" w:color="000000" w:sz="4" w:space="0"/>
            </w:tcBorders>
            <w:noWrap w:val="0"/>
            <w:vAlign w:val="center"/>
          </w:tcPr>
          <w:p w14:paraId="38BFC9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南雄</w:t>
            </w:r>
          </w:p>
        </w:tc>
        <w:tc>
          <w:tcPr>
            <w:tcW w:w="1493" w:type="dxa"/>
            <w:tcBorders>
              <w:top w:val="single" w:color="000000" w:sz="4" w:space="0"/>
              <w:left w:val="nil"/>
              <w:bottom w:val="single" w:color="000000" w:sz="4" w:space="0"/>
              <w:right w:val="single" w:color="000000" w:sz="4" w:space="0"/>
            </w:tcBorders>
            <w:noWrap w:val="0"/>
            <w:vAlign w:val="center"/>
          </w:tcPr>
          <w:p w14:paraId="7096AF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400公顷</w:t>
            </w:r>
          </w:p>
        </w:tc>
        <w:tc>
          <w:tcPr>
            <w:tcW w:w="2431" w:type="dxa"/>
            <w:tcBorders>
              <w:top w:val="single" w:color="000000" w:sz="4" w:space="0"/>
              <w:left w:val="nil"/>
              <w:bottom w:val="single" w:color="000000" w:sz="4" w:space="0"/>
              <w:right w:val="single" w:color="000000" w:sz="4" w:space="0"/>
            </w:tcBorders>
            <w:noWrap w:val="0"/>
            <w:vAlign w:val="center"/>
          </w:tcPr>
          <w:p w14:paraId="0FCC70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瀑布水</w:t>
            </w:r>
          </w:p>
        </w:tc>
      </w:tr>
      <w:tr w14:paraId="460DF3F8">
        <w:tblPrEx>
          <w:tblCellMar>
            <w:top w:w="15" w:type="dxa"/>
            <w:left w:w="15" w:type="dxa"/>
            <w:bottom w:w="15" w:type="dxa"/>
            <w:right w:w="15" w:type="dxa"/>
          </w:tblCellMar>
        </w:tblPrEx>
        <w:trPr>
          <w:trHeight w:val="352" w:hRule="atLeast"/>
        </w:trPr>
        <w:tc>
          <w:tcPr>
            <w:tcW w:w="574" w:type="dxa"/>
            <w:tcBorders>
              <w:top w:val="single" w:color="auto" w:sz="4" w:space="0"/>
              <w:left w:val="single" w:color="auto" w:sz="4" w:space="0"/>
              <w:bottom w:val="single" w:color="auto" w:sz="4" w:space="0"/>
              <w:right w:val="single" w:color="auto" w:sz="4" w:space="0"/>
            </w:tcBorders>
            <w:noWrap w:val="0"/>
            <w:vAlign w:val="center"/>
          </w:tcPr>
          <w:p w14:paraId="1F0A21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2493" w:type="dxa"/>
            <w:tcBorders>
              <w:top w:val="single" w:color="000000" w:sz="4" w:space="0"/>
              <w:left w:val="single" w:color="auto" w:sz="4" w:space="0"/>
              <w:bottom w:val="single" w:color="000000" w:sz="4" w:space="0"/>
              <w:right w:val="single" w:color="000000" w:sz="4" w:space="0"/>
            </w:tcBorders>
            <w:noWrap w:val="0"/>
            <w:vAlign w:val="center"/>
          </w:tcPr>
          <w:p w14:paraId="6C6EB9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合计</w:t>
            </w:r>
          </w:p>
        </w:tc>
        <w:tc>
          <w:tcPr>
            <w:tcW w:w="612" w:type="dxa"/>
            <w:tcBorders>
              <w:top w:val="single" w:color="000000" w:sz="4" w:space="0"/>
              <w:left w:val="nil"/>
              <w:bottom w:val="single" w:color="000000" w:sz="4" w:space="0"/>
              <w:right w:val="single" w:color="000000" w:sz="4" w:space="0"/>
            </w:tcBorders>
            <w:noWrap w:val="0"/>
            <w:vAlign w:val="center"/>
          </w:tcPr>
          <w:p w14:paraId="7A9732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00" w:type="dxa"/>
            <w:tcBorders>
              <w:top w:val="single" w:color="000000" w:sz="4" w:space="0"/>
              <w:left w:val="nil"/>
              <w:bottom w:val="single" w:color="000000" w:sz="4" w:space="0"/>
              <w:right w:val="single" w:color="000000" w:sz="4" w:space="0"/>
            </w:tcBorders>
            <w:noWrap w:val="0"/>
            <w:vAlign w:val="center"/>
          </w:tcPr>
          <w:p w14:paraId="4C21B7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493" w:type="dxa"/>
            <w:tcBorders>
              <w:top w:val="single" w:color="000000" w:sz="4" w:space="0"/>
              <w:left w:val="nil"/>
              <w:bottom w:val="single" w:color="000000" w:sz="4" w:space="0"/>
              <w:right w:val="single" w:color="000000" w:sz="4" w:space="0"/>
            </w:tcBorders>
            <w:noWrap w:val="0"/>
            <w:vAlign w:val="center"/>
          </w:tcPr>
          <w:p w14:paraId="4834EC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533公顷</w:t>
            </w:r>
          </w:p>
        </w:tc>
        <w:tc>
          <w:tcPr>
            <w:tcW w:w="2431" w:type="dxa"/>
            <w:tcBorders>
              <w:top w:val="single" w:color="000000" w:sz="4" w:space="0"/>
              <w:left w:val="nil"/>
              <w:bottom w:val="single" w:color="000000" w:sz="4" w:space="0"/>
              <w:right w:val="single" w:color="000000" w:sz="4" w:space="0"/>
            </w:tcBorders>
            <w:noWrap w:val="0"/>
            <w:vAlign w:val="center"/>
          </w:tcPr>
          <w:p w14:paraId="491229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bl>
    <w:p w14:paraId="2B7C9464">
      <w:pPr>
        <w:pStyle w:val="4"/>
        <w:bidi w:val="0"/>
        <w:rPr>
          <w:rFonts w:hint="eastAsia"/>
          <w:highlight w:val="none"/>
        </w:rPr>
      </w:pPr>
      <w:r>
        <w:rPr>
          <w:rFonts w:hint="eastAsia"/>
          <w:highlight w:val="none"/>
        </w:rPr>
        <w:t>【小水电】</w:t>
      </w:r>
    </w:p>
    <w:p w14:paraId="01EE4299">
      <w:pPr>
        <w:rPr>
          <w:rFonts w:hint="eastAsia" w:hAnsi="宋体" w:cs="宋体"/>
          <w:highlight w:val="none"/>
        </w:rPr>
      </w:pPr>
      <w:r>
        <w:rPr>
          <w:rFonts w:hint="eastAsia" w:hAnsi="宋体" w:cs="宋体"/>
          <w:highlight w:val="none"/>
        </w:rPr>
        <w:t>加大小水电站技改、机电排灌站重建改造力度：完成5宗（苍石二站、帽子峰、瀑布二级上厂房、宝江一站及大源一站）小水电站增效扩容改造工作，项目总投资2265</w:t>
      </w:r>
      <w:r>
        <w:rPr>
          <w:rFonts w:hint="eastAsia" w:ascii="MingLiU_HKSCS" w:hAnsi="MingLiU_HKSCS" w:eastAsia="MingLiU_HKSCS" w:cs="MingLiU_HKSCS"/>
          <w:highlight w:val="none"/>
        </w:rPr>
        <w:t>.</w:t>
      </w:r>
      <w:r>
        <w:rPr>
          <w:rFonts w:hint="eastAsia" w:hAnsi="宋体" w:cs="宋体"/>
          <w:highlight w:val="none"/>
        </w:rPr>
        <w:t>23万元，增加装机容量3095千瓦，全部机组设备投入正常的运行。截至2015年底，全市有小水电站187宗，总机组台数328台，总装机容量90745千瓦。完成12宗（古市镇2宗、黄坑镇3宗、湖口镇3宗、乌迳镇1宗、雄州街道3宗）电灌站重建改造工程，总投资460万元，改造后总装机为446千瓦，受益人口为6328人，工程已全部投入使用。</w:t>
      </w:r>
    </w:p>
    <w:p w14:paraId="7495357B">
      <w:pPr>
        <w:pStyle w:val="4"/>
        <w:bidi w:val="0"/>
        <w:rPr>
          <w:rFonts w:hint="eastAsia"/>
          <w:highlight w:val="none"/>
        </w:rPr>
      </w:pPr>
      <w:r>
        <w:rPr>
          <w:rFonts w:hint="eastAsia"/>
          <w:highlight w:val="none"/>
        </w:rPr>
        <w:t>【水政执法】</w:t>
      </w:r>
    </w:p>
    <w:p w14:paraId="02A8C213">
      <w:pPr>
        <w:rPr>
          <w:rFonts w:hint="eastAsia" w:hAnsi="宋体" w:cs="宋体"/>
          <w:highlight w:val="none"/>
        </w:rPr>
      </w:pPr>
      <w:r>
        <w:rPr>
          <w:rFonts w:hint="eastAsia" w:hAnsi="宋体" w:cs="宋体"/>
          <w:highlight w:val="none"/>
        </w:rPr>
        <w:t>2015年8月15日，成立南雄市整治河道采砂联合执法行动工作领导小组，开展为期90天专项整治行动，全年调处河道纠纷6宗，查处非法采砂案3宗，责令停止违法行为13宗，行政处罚金65000元。按照省、市文件要求，做好取水计量设施安装，实行最严格水资源管理制度，2015年征收水资源费105万元、征收河道采砂管理费60万元。</w:t>
      </w:r>
    </w:p>
    <w:p w14:paraId="60CB1D71">
      <w:pPr>
        <w:pStyle w:val="4"/>
        <w:bidi w:val="0"/>
        <w:rPr>
          <w:rFonts w:hint="eastAsia"/>
          <w:highlight w:val="none"/>
        </w:rPr>
      </w:pPr>
      <w:r>
        <w:rPr>
          <w:rFonts w:hint="eastAsia"/>
          <w:highlight w:val="none"/>
        </w:rPr>
        <w:t>【水资源管理】</w:t>
      </w:r>
    </w:p>
    <w:p w14:paraId="3CCBB946">
      <w:pPr>
        <w:rPr>
          <w:rFonts w:hint="eastAsia" w:hAnsi="宋体" w:cs="宋体"/>
          <w:highlight w:val="none"/>
        </w:rPr>
      </w:pPr>
      <w:r>
        <w:rPr>
          <w:rFonts w:hint="eastAsia" w:hAnsi="宋体" w:cs="宋体"/>
          <w:highlight w:val="none"/>
        </w:rPr>
        <w:t>2015年度严格落实水资源开发利用控制、用水效率控制、水功能区限制纳污“三条红线”，以切实履行水行政管理职能为核心，以加大水资源节约保护、全面实施新取水许可制度为重点，2015年全市用水总量为3</w:t>
      </w:r>
      <w:r>
        <w:rPr>
          <w:rFonts w:hint="eastAsia" w:ascii="MingLiU_HKSCS" w:hAnsi="MingLiU_HKSCS" w:eastAsia="MingLiU_HKSCS" w:cs="MingLiU_HKSCS"/>
          <w:highlight w:val="none"/>
        </w:rPr>
        <w:t>.</w:t>
      </w:r>
      <w:r>
        <w:rPr>
          <w:rFonts w:hint="eastAsia" w:hAnsi="宋体" w:cs="宋体"/>
          <w:highlight w:val="none"/>
        </w:rPr>
        <w:t>438亿立方米、地下水开采量为9</w:t>
      </w:r>
      <w:r>
        <w:rPr>
          <w:rFonts w:hint="eastAsia" w:ascii="MingLiU_HKSCS" w:hAnsi="MingLiU_HKSCS" w:eastAsia="MingLiU_HKSCS" w:cs="MingLiU_HKSCS"/>
          <w:highlight w:val="none"/>
        </w:rPr>
        <w:t>.</w:t>
      </w:r>
      <w:r>
        <w:rPr>
          <w:rFonts w:hint="eastAsia" w:hAnsi="宋体" w:cs="宋体"/>
          <w:highlight w:val="none"/>
        </w:rPr>
        <w:t>59万立方米、工业用水量为0</w:t>
      </w:r>
      <w:r>
        <w:rPr>
          <w:rFonts w:hint="eastAsia" w:ascii="MingLiU_HKSCS" w:hAnsi="MingLiU_HKSCS" w:eastAsia="MingLiU_HKSCS" w:cs="MingLiU_HKSCS"/>
          <w:highlight w:val="none"/>
        </w:rPr>
        <w:t>.</w:t>
      </w:r>
      <w:r>
        <w:rPr>
          <w:rFonts w:hint="eastAsia" w:hAnsi="宋体" w:cs="宋体"/>
          <w:highlight w:val="none"/>
        </w:rPr>
        <w:t>438亿立方米、生活用水量为0</w:t>
      </w:r>
      <w:r>
        <w:rPr>
          <w:rFonts w:hint="eastAsia" w:ascii="MingLiU_HKSCS" w:hAnsi="MingLiU_HKSCS" w:eastAsia="MingLiU_HKSCS" w:cs="MingLiU_HKSCS"/>
          <w:highlight w:val="none"/>
        </w:rPr>
        <w:t>.</w:t>
      </w:r>
      <w:r>
        <w:rPr>
          <w:rFonts w:hint="eastAsia" w:hAnsi="宋体" w:cs="宋体"/>
          <w:highlight w:val="none"/>
        </w:rPr>
        <w:t>174亿立方米、万元GDP用水量为274</w:t>
      </w:r>
      <w:r>
        <w:rPr>
          <w:rFonts w:hint="eastAsia" w:ascii="MingLiU_HKSCS" w:hAnsi="MingLiU_HKSCS" w:eastAsia="MingLiU_HKSCS" w:cs="MingLiU_HKSCS"/>
          <w:highlight w:val="none"/>
        </w:rPr>
        <w:t>.</w:t>
      </w:r>
      <w:r>
        <w:rPr>
          <w:rFonts w:hint="eastAsia" w:hAnsi="宋体" w:cs="宋体"/>
          <w:highlight w:val="none"/>
        </w:rPr>
        <w:t>75立方米/万元、万元工业增加值用水量为114</w:t>
      </w:r>
      <w:r>
        <w:rPr>
          <w:rFonts w:hint="eastAsia" w:ascii="MingLiU_HKSCS" w:hAnsi="MingLiU_HKSCS" w:eastAsia="MingLiU_HKSCS" w:cs="MingLiU_HKSCS"/>
          <w:highlight w:val="none"/>
        </w:rPr>
        <w:t>.</w:t>
      </w:r>
      <w:r>
        <w:rPr>
          <w:rFonts w:hint="eastAsia" w:hAnsi="宋体" w:cs="宋体"/>
          <w:highlight w:val="none"/>
        </w:rPr>
        <w:t>07立方米/万元、水功能区水质达标率100%、城镇供水水源达标率100%，“三条红线”全部达标。截至2015年12月31日，全市保有河道外取水户28宗，河道内取水户175宗，计203宗。2015年完成了33宗取水户的审批与发放工作，其中延续26宗，变更4宗，新证3宗。</w:t>
      </w:r>
    </w:p>
    <w:p w14:paraId="7DED1656">
      <w:pPr>
        <w:pStyle w:val="4"/>
        <w:bidi w:val="0"/>
        <w:rPr>
          <w:rFonts w:hint="eastAsia"/>
          <w:highlight w:val="none"/>
        </w:rPr>
      </w:pPr>
      <w:r>
        <w:rPr>
          <w:rFonts w:hint="eastAsia"/>
          <w:highlight w:val="none"/>
        </w:rPr>
        <w:t>【水库移民】</w:t>
      </w:r>
    </w:p>
    <w:p w14:paraId="06CE7416">
      <w:pPr>
        <w:rPr>
          <w:rFonts w:hint="eastAsia" w:hAnsi="宋体" w:cs="宋体"/>
          <w:highlight w:val="none"/>
        </w:rPr>
      </w:pPr>
      <w:r>
        <w:rPr>
          <w:rFonts w:hint="eastAsia" w:hAnsi="宋体" w:cs="宋体"/>
          <w:highlight w:val="none"/>
        </w:rPr>
        <w:t>经核定登记，截至2015年底，南雄市有大中型水库移民9667人（其中中央核定人数9660人），移民主要分布在南雄市16个镇的61个村委会145个自然村。农村移民纯收入在该市农村居民人均纯收入以上的人数1017人，比2014年增加21人。至年底，大中型水库移民后期扶持实际完成总投资413</w:t>
      </w:r>
      <w:r>
        <w:rPr>
          <w:rFonts w:hint="eastAsia" w:ascii="MingLiU_HKSCS" w:hAnsi="MingLiU_HKSCS" w:eastAsia="MingLiU_HKSCS" w:cs="MingLiU_HKSCS"/>
          <w:highlight w:val="none"/>
        </w:rPr>
        <w:t>.</w:t>
      </w:r>
      <w:r>
        <w:rPr>
          <w:rFonts w:hint="eastAsia" w:hAnsi="宋体" w:cs="宋体"/>
          <w:highlight w:val="none"/>
        </w:rPr>
        <w:t>52万元，其中：直补到人277</w:t>
      </w:r>
      <w:r>
        <w:rPr>
          <w:rFonts w:hint="eastAsia" w:ascii="MingLiU_HKSCS" w:hAnsi="MingLiU_HKSCS" w:eastAsia="MingLiU_HKSCS" w:cs="MingLiU_HKSCS"/>
          <w:highlight w:val="none"/>
        </w:rPr>
        <w:t>.</w:t>
      </w:r>
      <w:r>
        <w:rPr>
          <w:rFonts w:hint="eastAsia" w:hAnsi="宋体" w:cs="宋体"/>
          <w:highlight w:val="none"/>
        </w:rPr>
        <w:t>16万元，项目扶持资金136</w:t>
      </w:r>
      <w:r>
        <w:rPr>
          <w:rFonts w:hint="eastAsia" w:ascii="MingLiU_HKSCS" w:hAnsi="MingLiU_HKSCS" w:eastAsia="MingLiU_HKSCS" w:cs="MingLiU_HKSCS"/>
          <w:highlight w:val="none"/>
        </w:rPr>
        <w:t>.</w:t>
      </w:r>
      <w:r>
        <w:rPr>
          <w:rFonts w:hint="eastAsia" w:hAnsi="宋体" w:cs="宋体"/>
          <w:highlight w:val="none"/>
        </w:rPr>
        <w:t>36万元（其中：基本口粮田建设及水利设施配套项目36</w:t>
      </w:r>
      <w:r>
        <w:rPr>
          <w:rFonts w:hint="eastAsia" w:ascii="MingLiU_HKSCS" w:hAnsi="MingLiU_HKSCS" w:eastAsia="MingLiU_HKSCS" w:cs="MingLiU_HKSCS"/>
          <w:highlight w:val="none"/>
        </w:rPr>
        <w:t>.</w:t>
      </w:r>
      <w:r>
        <w:rPr>
          <w:rFonts w:hint="eastAsia" w:hAnsi="宋体" w:cs="宋体"/>
          <w:highlight w:val="none"/>
        </w:rPr>
        <w:t>81万元，基础设施项目99</w:t>
      </w:r>
      <w:r>
        <w:rPr>
          <w:rFonts w:hint="eastAsia" w:ascii="MingLiU_HKSCS" w:hAnsi="MingLiU_HKSCS" w:eastAsia="MingLiU_HKSCS" w:cs="MingLiU_HKSCS"/>
          <w:highlight w:val="none"/>
        </w:rPr>
        <w:t>.</w:t>
      </w:r>
      <w:r>
        <w:rPr>
          <w:rFonts w:hint="eastAsia" w:hAnsi="宋体" w:cs="宋体"/>
          <w:highlight w:val="none"/>
        </w:rPr>
        <w:t>56万元）。基本口粮田建设受益人数64人。</w:t>
      </w:r>
    </w:p>
    <w:p w14:paraId="5B5D4EED">
      <w:pPr>
        <w:jc w:val="center"/>
        <w:rPr>
          <w:rFonts w:hint="eastAsia" w:hAnsi="宋体" w:cs="宋体"/>
          <w:highlight w:val="none"/>
        </w:rPr>
      </w:pPr>
      <w:r>
        <w:rPr>
          <w:rFonts w:hint="eastAsia" w:hAnsi="宋体" w:cs="宋体"/>
          <w:highlight w:val="none"/>
        </w:rPr>
        <w:t>南雄市大中型水库特性表</w:t>
      </w:r>
    </w:p>
    <w:p w14:paraId="51AD012A">
      <w:pPr>
        <w:jc w:val="left"/>
        <w:rPr>
          <w:rFonts w:hint="eastAsia" w:hAnsi="宋体" w:cs="宋体"/>
          <w:highlight w:val="none"/>
        </w:rPr>
      </w:pPr>
      <w:r>
        <w:rPr>
          <w:rFonts w:hint="eastAsia" w:hAnsi="宋体" w:cs="宋体"/>
          <w:highlight w:val="none"/>
        </w:rPr>
        <w:t>表5</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4"/>
        <w:gridCol w:w="580"/>
        <w:gridCol w:w="937"/>
        <w:gridCol w:w="878"/>
        <w:gridCol w:w="783"/>
        <w:gridCol w:w="741"/>
        <w:gridCol w:w="682"/>
        <w:gridCol w:w="699"/>
        <w:gridCol w:w="613"/>
        <w:gridCol w:w="682"/>
        <w:gridCol w:w="657"/>
      </w:tblGrid>
      <w:tr w14:paraId="77B94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364" w:type="dxa"/>
            <w:vMerge w:val="restart"/>
            <w:noWrap w:val="0"/>
            <w:vAlign w:val="center"/>
          </w:tcPr>
          <w:p w14:paraId="06406A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水库名称</w:t>
            </w:r>
          </w:p>
        </w:tc>
        <w:tc>
          <w:tcPr>
            <w:tcW w:w="580" w:type="dxa"/>
            <w:vMerge w:val="restart"/>
            <w:noWrap w:val="0"/>
            <w:vAlign w:val="center"/>
          </w:tcPr>
          <w:p w14:paraId="75AB7E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所在</w:t>
            </w:r>
            <w:r>
              <w:rPr>
                <w:rFonts w:hint="eastAsia"/>
                <w:highlight w:val="none"/>
              </w:rPr>
              <w:br w:type="textWrapping"/>
            </w:r>
            <w:r>
              <w:rPr>
                <w:rFonts w:hint="eastAsia"/>
                <w:highlight w:val="none"/>
              </w:rPr>
              <w:t>河流</w:t>
            </w:r>
          </w:p>
        </w:tc>
        <w:tc>
          <w:tcPr>
            <w:tcW w:w="937" w:type="dxa"/>
            <w:vMerge w:val="restart"/>
            <w:noWrap w:val="0"/>
            <w:vAlign w:val="center"/>
          </w:tcPr>
          <w:p w14:paraId="4BAA0F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集雨</w:t>
            </w:r>
          </w:p>
          <w:p w14:paraId="16E367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面积</w:t>
            </w:r>
          </w:p>
        </w:tc>
        <w:tc>
          <w:tcPr>
            <w:tcW w:w="878" w:type="dxa"/>
            <w:vMerge w:val="restart"/>
            <w:noWrap w:val="0"/>
            <w:vAlign w:val="center"/>
          </w:tcPr>
          <w:p w14:paraId="4ECDCB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总库容</w:t>
            </w:r>
          </w:p>
        </w:tc>
        <w:tc>
          <w:tcPr>
            <w:tcW w:w="783" w:type="dxa"/>
            <w:vMerge w:val="restart"/>
            <w:noWrap w:val="0"/>
            <w:vAlign w:val="center"/>
          </w:tcPr>
          <w:p w14:paraId="2A32D0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防洪</w:t>
            </w:r>
          </w:p>
          <w:p w14:paraId="616524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库容</w:t>
            </w:r>
          </w:p>
        </w:tc>
        <w:tc>
          <w:tcPr>
            <w:tcW w:w="1423" w:type="dxa"/>
            <w:gridSpan w:val="2"/>
            <w:noWrap w:val="0"/>
            <w:vAlign w:val="center"/>
          </w:tcPr>
          <w:p w14:paraId="323B60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highlight w:val="none"/>
              </w:rPr>
            </w:pPr>
            <w:r>
              <w:rPr>
                <w:rFonts w:hint="eastAsia"/>
                <w:highlight w:val="none"/>
              </w:rPr>
              <w:t>特</w:t>
            </w:r>
            <w:r>
              <w:rPr>
                <w:rFonts w:hint="eastAsia"/>
                <w:b/>
                <w:highlight w:val="none"/>
              </w:rPr>
              <w:t>征水位</w:t>
            </w:r>
          </w:p>
        </w:tc>
        <w:tc>
          <w:tcPr>
            <w:tcW w:w="2651" w:type="dxa"/>
            <w:gridSpan w:val="4"/>
            <w:noWrap w:val="0"/>
            <w:vAlign w:val="center"/>
          </w:tcPr>
          <w:p w14:paraId="6ADE30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b/>
                <w:highlight w:val="none"/>
              </w:rPr>
              <w:t xml:space="preserve">主  </w:t>
            </w:r>
            <w:r>
              <w:rPr>
                <w:rFonts w:hint="eastAsia"/>
                <w:highlight w:val="none"/>
              </w:rPr>
              <w:t xml:space="preserve">      坝</w:t>
            </w:r>
          </w:p>
        </w:tc>
      </w:tr>
      <w:tr w14:paraId="51411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364" w:type="dxa"/>
            <w:vMerge w:val="continue"/>
            <w:noWrap w:val="0"/>
            <w:vAlign w:val="center"/>
          </w:tcPr>
          <w:p w14:paraId="3351C5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80" w:type="dxa"/>
            <w:vMerge w:val="continue"/>
            <w:noWrap w:val="0"/>
            <w:vAlign w:val="center"/>
          </w:tcPr>
          <w:p w14:paraId="534C4D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937" w:type="dxa"/>
            <w:vMerge w:val="continue"/>
            <w:noWrap w:val="0"/>
            <w:vAlign w:val="center"/>
          </w:tcPr>
          <w:p w14:paraId="1A6520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878" w:type="dxa"/>
            <w:vMerge w:val="continue"/>
            <w:noWrap w:val="0"/>
            <w:vAlign w:val="center"/>
          </w:tcPr>
          <w:p w14:paraId="639038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83" w:type="dxa"/>
            <w:vMerge w:val="continue"/>
            <w:noWrap w:val="0"/>
            <w:vAlign w:val="center"/>
          </w:tcPr>
          <w:p w14:paraId="1D71B0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41" w:type="dxa"/>
            <w:vMerge w:val="restart"/>
            <w:noWrap w:val="0"/>
            <w:vAlign w:val="center"/>
          </w:tcPr>
          <w:p w14:paraId="5B3953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死水位</w:t>
            </w:r>
          </w:p>
        </w:tc>
        <w:tc>
          <w:tcPr>
            <w:tcW w:w="682" w:type="dxa"/>
            <w:vMerge w:val="restart"/>
            <w:noWrap w:val="0"/>
            <w:vAlign w:val="center"/>
          </w:tcPr>
          <w:p w14:paraId="2A888B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死库容</w:t>
            </w:r>
          </w:p>
        </w:tc>
        <w:tc>
          <w:tcPr>
            <w:tcW w:w="699" w:type="dxa"/>
            <w:vMerge w:val="restart"/>
            <w:noWrap w:val="0"/>
            <w:vAlign w:val="center"/>
          </w:tcPr>
          <w:p w14:paraId="573A67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坝 型</w:t>
            </w:r>
          </w:p>
        </w:tc>
        <w:tc>
          <w:tcPr>
            <w:tcW w:w="613" w:type="dxa"/>
            <w:noWrap w:val="0"/>
            <w:vAlign w:val="center"/>
          </w:tcPr>
          <w:p w14:paraId="05E6C0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最大</w:t>
            </w:r>
            <w:r>
              <w:rPr>
                <w:rFonts w:hint="eastAsia"/>
                <w:highlight w:val="none"/>
              </w:rPr>
              <w:br w:type="textWrapping"/>
            </w:r>
            <w:r>
              <w:rPr>
                <w:rFonts w:hint="eastAsia"/>
                <w:highlight w:val="none"/>
              </w:rPr>
              <w:t>坝高</w:t>
            </w:r>
          </w:p>
        </w:tc>
        <w:tc>
          <w:tcPr>
            <w:tcW w:w="682" w:type="dxa"/>
            <w:noWrap w:val="0"/>
            <w:vAlign w:val="center"/>
          </w:tcPr>
          <w:p w14:paraId="06DE80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坝顶</w:t>
            </w:r>
            <w:r>
              <w:rPr>
                <w:rFonts w:hint="eastAsia"/>
                <w:highlight w:val="none"/>
              </w:rPr>
              <w:br w:type="textWrapping"/>
            </w:r>
            <w:r>
              <w:rPr>
                <w:rFonts w:hint="eastAsia"/>
                <w:highlight w:val="none"/>
              </w:rPr>
              <w:t>高程</w:t>
            </w:r>
          </w:p>
        </w:tc>
        <w:tc>
          <w:tcPr>
            <w:tcW w:w="657" w:type="dxa"/>
            <w:noWrap w:val="0"/>
            <w:vAlign w:val="center"/>
          </w:tcPr>
          <w:p w14:paraId="176794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坝顶</w:t>
            </w:r>
            <w:r>
              <w:rPr>
                <w:rFonts w:hint="eastAsia"/>
                <w:highlight w:val="none"/>
              </w:rPr>
              <w:br w:type="textWrapping"/>
            </w:r>
            <w:r>
              <w:rPr>
                <w:rFonts w:hint="eastAsia"/>
                <w:highlight w:val="none"/>
              </w:rPr>
              <w:t>长度</w:t>
            </w:r>
          </w:p>
        </w:tc>
      </w:tr>
      <w:tr w14:paraId="400C8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364" w:type="dxa"/>
            <w:vMerge w:val="continue"/>
            <w:noWrap w:val="0"/>
            <w:vAlign w:val="center"/>
          </w:tcPr>
          <w:p w14:paraId="4A8F08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80" w:type="dxa"/>
            <w:vMerge w:val="continue"/>
            <w:noWrap w:val="0"/>
            <w:vAlign w:val="center"/>
          </w:tcPr>
          <w:p w14:paraId="0F63EF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937" w:type="dxa"/>
            <w:noWrap w:val="0"/>
            <w:vAlign w:val="bottom"/>
          </w:tcPr>
          <w:p w14:paraId="395E56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立方千米</w:t>
            </w:r>
            <w:r>
              <w:rPr>
                <w:rFonts w:hint="eastAsia"/>
                <w:highlight w:val="none"/>
                <w:lang w:eastAsia="zh-CN"/>
              </w:rPr>
              <w:t>）</w:t>
            </w:r>
          </w:p>
        </w:tc>
        <w:tc>
          <w:tcPr>
            <w:tcW w:w="878" w:type="dxa"/>
            <w:noWrap w:val="0"/>
            <w:vAlign w:val="bottom"/>
          </w:tcPr>
          <w:p w14:paraId="65A2E1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亿立方米</w:t>
            </w:r>
            <w:r>
              <w:rPr>
                <w:rFonts w:hint="eastAsia"/>
                <w:highlight w:val="none"/>
                <w:lang w:eastAsia="zh-CN"/>
              </w:rPr>
              <w:t>）</w:t>
            </w:r>
          </w:p>
        </w:tc>
        <w:tc>
          <w:tcPr>
            <w:tcW w:w="783" w:type="dxa"/>
            <w:noWrap w:val="0"/>
            <w:vAlign w:val="bottom"/>
          </w:tcPr>
          <w:p w14:paraId="0788DD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亿立方米</w:t>
            </w:r>
            <w:r>
              <w:rPr>
                <w:rFonts w:hint="eastAsia"/>
                <w:highlight w:val="none"/>
                <w:lang w:eastAsia="zh-CN"/>
              </w:rPr>
              <w:t>）</w:t>
            </w:r>
          </w:p>
        </w:tc>
        <w:tc>
          <w:tcPr>
            <w:tcW w:w="741" w:type="dxa"/>
            <w:vMerge w:val="continue"/>
            <w:noWrap w:val="0"/>
            <w:vAlign w:val="center"/>
          </w:tcPr>
          <w:p w14:paraId="6EA4B6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82" w:type="dxa"/>
            <w:vMerge w:val="continue"/>
            <w:noWrap w:val="0"/>
            <w:vAlign w:val="center"/>
          </w:tcPr>
          <w:p w14:paraId="54C664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99" w:type="dxa"/>
            <w:vMerge w:val="continue"/>
            <w:noWrap w:val="0"/>
            <w:vAlign w:val="center"/>
          </w:tcPr>
          <w:p w14:paraId="574FDD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13" w:type="dxa"/>
            <w:noWrap w:val="0"/>
            <w:vAlign w:val="center"/>
          </w:tcPr>
          <w:p w14:paraId="0ABFE6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米</w:t>
            </w:r>
            <w:r>
              <w:rPr>
                <w:rFonts w:hint="eastAsia"/>
                <w:highlight w:val="none"/>
                <w:lang w:eastAsia="zh-CN"/>
              </w:rPr>
              <w:t>）</w:t>
            </w:r>
          </w:p>
        </w:tc>
        <w:tc>
          <w:tcPr>
            <w:tcW w:w="682" w:type="dxa"/>
            <w:noWrap w:val="0"/>
            <w:vAlign w:val="center"/>
          </w:tcPr>
          <w:p w14:paraId="025AFA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米</w:t>
            </w:r>
            <w:r>
              <w:rPr>
                <w:rFonts w:hint="eastAsia"/>
                <w:highlight w:val="none"/>
                <w:lang w:eastAsia="zh-CN"/>
              </w:rPr>
              <w:t>）</w:t>
            </w:r>
          </w:p>
        </w:tc>
        <w:tc>
          <w:tcPr>
            <w:tcW w:w="657" w:type="dxa"/>
            <w:noWrap w:val="0"/>
            <w:vAlign w:val="center"/>
          </w:tcPr>
          <w:p w14:paraId="235E01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米</w:t>
            </w:r>
            <w:r>
              <w:rPr>
                <w:rFonts w:hint="eastAsia"/>
                <w:highlight w:val="none"/>
                <w:lang w:eastAsia="zh-CN"/>
              </w:rPr>
              <w:t>）</w:t>
            </w:r>
          </w:p>
        </w:tc>
      </w:tr>
      <w:tr w14:paraId="20AE1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364" w:type="dxa"/>
            <w:noWrap w:val="0"/>
            <w:vAlign w:val="center"/>
          </w:tcPr>
          <w:p w14:paraId="33E782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孔江水库</w:t>
            </w:r>
          </w:p>
        </w:tc>
        <w:tc>
          <w:tcPr>
            <w:tcW w:w="580" w:type="dxa"/>
            <w:noWrap w:val="0"/>
            <w:vAlign w:val="center"/>
          </w:tcPr>
          <w:p w14:paraId="072587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937" w:type="dxa"/>
            <w:noWrap w:val="0"/>
            <w:vAlign w:val="center"/>
          </w:tcPr>
          <w:p w14:paraId="1D98EB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79.4</w:t>
            </w:r>
          </w:p>
        </w:tc>
        <w:tc>
          <w:tcPr>
            <w:tcW w:w="878" w:type="dxa"/>
            <w:noWrap w:val="0"/>
            <w:vAlign w:val="center"/>
          </w:tcPr>
          <w:p w14:paraId="63EC82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0.6522</w:t>
            </w:r>
          </w:p>
        </w:tc>
        <w:tc>
          <w:tcPr>
            <w:tcW w:w="783" w:type="dxa"/>
            <w:noWrap w:val="0"/>
            <w:vAlign w:val="center"/>
          </w:tcPr>
          <w:p w14:paraId="20FBAA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0.166</w:t>
            </w:r>
          </w:p>
        </w:tc>
        <w:tc>
          <w:tcPr>
            <w:tcW w:w="741" w:type="dxa"/>
            <w:noWrap w:val="0"/>
            <w:vAlign w:val="center"/>
          </w:tcPr>
          <w:p w14:paraId="6BA2E8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186.5</w:t>
            </w:r>
          </w:p>
        </w:tc>
        <w:tc>
          <w:tcPr>
            <w:tcW w:w="682" w:type="dxa"/>
            <w:noWrap w:val="0"/>
            <w:vAlign w:val="center"/>
          </w:tcPr>
          <w:p w14:paraId="2AE894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0.183</w:t>
            </w:r>
          </w:p>
        </w:tc>
        <w:tc>
          <w:tcPr>
            <w:tcW w:w="699" w:type="dxa"/>
            <w:noWrap w:val="0"/>
            <w:vAlign w:val="center"/>
          </w:tcPr>
          <w:p w14:paraId="030B8C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土石坝</w:t>
            </w:r>
          </w:p>
        </w:tc>
        <w:tc>
          <w:tcPr>
            <w:tcW w:w="613" w:type="dxa"/>
            <w:noWrap w:val="0"/>
            <w:vAlign w:val="center"/>
          </w:tcPr>
          <w:p w14:paraId="53DE1F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27.94</w:t>
            </w:r>
          </w:p>
        </w:tc>
        <w:tc>
          <w:tcPr>
            <w:tcW w:w="682" w:type="dxa"/>
            <w:noWrap w:val="0"/>
            <w:vAlign w:val="center"/>
          </w:tcPr>
          <w:p w14:paraId="485320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197.4</w:t>
            </w:r>
          </w:p>
        </w:tc>
        <w:tc>
          <w:tcPr>
            <w:tcW w:w="657" w:type="dxa"/>
            <w:noWrap w:val="0"/>
            <w:vAlign w:val="center"/>
          </w:tcPr>
          <w:p w14:paraId="2320EE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260</w:t>
            </w:r>
          </w:p>
        </w:tc>
      </w:tr>
      <w:tr w14:paraId="65EC3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364" w:type="dxa"/>
            <w:noWrap w:val="0"/>
            <w:vAlign w:val="center"/>
          </w:tcPr>
          <w:p w14:paraId="4633C8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瀑布水库</w:t>
            </w:r>
          </w:p>
        </w:tc>
        <w:tc>
          <w:tcPr>
            <w:tcW w:w="580" w:type="dxa"/>
            <w:noWrap w:val="0"/>
            <w:vAlign w:val="center"/>
          </w:tcPr>
          <w:p w14:paraId="4E9AF5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937" w:type="dxa"/>
            <w:noWrap w:val="0"/>
            <w:vAlign w:val="center"/>
          </w:tcPr>
          <w:p w14:paraId="586BC8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76</w:t>
            </w:r>
          </w:p>
        </w:tc>
        <w:tc>
          <w:tcPr>
            <w:tcW w:w="878" w:type="dxa"/>
            <w:noWrap w:val="0"/>
            <w:vAlign w:val="center"/>
          </w:tcPr>
          <w:p w14:paraId="6EF4FF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0.3317</w:t>
            </w:r>
          </w:p>
        </w:tc>
        <w:tc>
          <w:tcPr>
            <w:tcW w:w="783" w:type="dxa"/>
            <w:noWrap w:val="0"/>
            <w:vAlign w:val="center"/>
          </w:tcPr>
          <w:p w14:paraId="1924DF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0.0747</w:t>
            </w:r>
          </w:p>
        </w:tc>
        <w:tc>
          <w:tcPr>
            <w:tcW w:w="741" w:type="dxa"/>
            <w:noWrap w:val="0"/>
            <w:vAlign w:val="center"/>
          </w:tcPr>
          <w:p w14:paraId="158496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323</w:t>
            </w:r>
          </w:p>
        </w:tc>
        <w:tc>
          <w:tcPr>
            <w:tcW w:w="682" w:type="dxa"/>
            <w:noWrap w:val="0"/>
            <w:vAlign w:val="center"/>
          </w:tcPr>
          <w:p w14:paraId="45024E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0.0256</w:t>
            </w:r>
          </w:p>
        </w:tc>
        <w:tc>
          <w:tcPr>
            <w:tcW w:w="699" w:type="dxa"/>
            <w:noWrap w:val="0"/>
            <w:vAlign w:val="center"/>
          </w:tcPr>
          <w:p w14:paraId="2FB7F8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土石坝</w:t>
            </w:r>
          </w:p>
        </w:tc>
        <w:tc>
          <w:tcPr>
            <w:tcW w:w="613" w:type="dxa"/>
            <w:noWrap w:val="0"/>
            <w:vAlign w:val="center"/>
          </w:tcPr>
          <w:p w14:paraId="1D9D75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w:t>
            </w:r>
          </w:p>
        </w:tc>
        <w:tc>
          <w:tcPr>
            <w:tcW w:w="682" w:type="dxa"/>
            <w:noWrap w:val="0"/>
            <w:vAlign w:val="center"/>
          </w:tcPr>
          <w:p w14:paraId="7A2401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351</w:t>
            </w:r>
          </w:p>
        </w:tc>
        <w:tc>
          <w:tcPr>
            <w:tcW w:w="657" w:type="dxa"/>
            <w:noWrap w:val="0"/>
            <w:vAlign w:val="center"/>
          </w:tcPr>
          <w:p w14:paraId="4918FA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160</w:t>
            </w:r>
          </w:p>
        </w:tc>
      </w:tr>
      <w:tr w14:paraId="4D575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364" w:type="dxa"/>
            <w:noWrap w:val="0"/>
            <w:vAlign w:val="center"/>
          </w:tcPr>
          <w:p w14:paraId="629206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宝江水库</w:t>
            </w:r>
          </w:p>
        </w:tc>
        <w:tc>
          <w:tcPr>
            <w:tcW w:w="580" w:type="dxa"/>
            <w:noWrap w:val="0"/>
            <w:vAlign w:val="center"/>
          </w:tcPr>
          <w:p w14:paraId="7F671E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937" w:type="dxa"/>
            <w:noWrap w:val="0"/>
            <w:vAlign w:val="center"/>
          </w:tcPr>
          <w:p w14:paraId="506D7E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48.1</w:t>
            </w:r>
          </w:p>
        </w:tc>
        <w:tc>
          <w:tcPr>
            <w:tcW w:w="878" w:type="dxa"/>
            <w:noWrap w:val="0"/>
            <w:vAlign w:val="center"/>
          </w:tcPr>
          <w:p w14:paraId="35B3B9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0.2375</w:t>
            </w:r>
          </w:p>
        </w:tc>
        <w:tc>
          <w:tcPr>
            <w:tcW w:w="783" w:type="dxa"/>
            <w:noWrap w:val="0"/>
            <w:vAlign w:val="center"/>
          </w:tcPr>
          <w:p w14:paraId="2E5820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0.0707</w:t>
            </w:r>
          </w:p>
        </w:tc>
        <w:tc>
          <w:tcPr>
            <w:tcW w:w="741" w:type="dxa"/>
            <w:noWrap w:val="0"/>
            <w:vAlign w:val="center"/>
          </w:tcPr>
          <w:p w14:paraId="533A15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169.386</w:t>
            </w:r>
          </w:p>
        </w:tc>
        <w:tc>
          <w:tcPr>
            <w:tcW w:w="682" w:type="dxa"/>
            <w:noWrap w:val="0"/>
            <w:vAlign w:val="center"/>
          </w:tcPr>
          <w:p w14:paraId="137CB3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0.0043</w:t>
            </w:r>
          </w:p>
        </w:tc>
        <w:tc>
          <w:tcPr>
            <w:tcW w:w="699" w:type="dxa"/>
            <w:noWrap w:val="0"/>
            <w:vAlign w:val="center"/>
          </w:tcPr>
          <w:p w14:paraId="50ED6B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土石坝</w:t>
            </w:r>
          </w:p>
        </w:tc>
        <w:tc>
          <w:tcPr>
            <w:tcW w:w="613" w:type="dxa"/>
            <w:noWrap w:val="0"/>
            <w:vAlign w:val="center"/>
          </w:tcPr>
          <w:p w14:paraId="5976B5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42</w:t>
            </w:r>
          </w:p>
        </w:tc>
        <w:tc>
          <w:tcPr>
            <w:tcW w:w="682" w:type="dxa"/>
            <w:noWrap w:val="0"/>
            <w:vAlign w:val="center"/>
          </w:tcPr>
          <w:p w14:paraId="7F9C62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202.88</w:t>
            </w:r>
          </w:p>
        </w:tc>
        <w:tc>
          <w:tcPr>
            <w:tcW w:w="657" w:type="dxa"/>
            <w:noWrap w:val="0"/>
            <w:vAlign w:val="center"/>
          </w:tcPr>
          <w:p w14:paraId="5A09A5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180</w:t>
            </w:r>
          </w:p>
        </w:tc>
      </w:tr>
      <w:tr w14:paraId="41209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364" w:type="dxa"/>
            <w:noWrap w:val="0"/>
            <w:vAlign w:val="center"/>
          </w:tcPr>
          <w:p w14:paraId="79B8BD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中坪水库</w:t>
            </w:r>
          </w:p>
        </w:tc>
        <w:tc>
          <w:tcPr>
            <w:tcW w:w="580" w:type="dxa"/>
            <w:noWrap w:val="0"/>
            <w:vAlign w:val="center"/>
          </w:tcPr>
          <w:p w14:paraId="74CC7C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937" w:type="dxa"/>
            <w:noWrap w:val="0"/>
            <w:vAlign w:val="center"/>
          </w:tcPr>
          <w:p w14:paraId="21B43E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w:t>
            </w:r>
          </w:p>
        </w:tc>
        <w:tc>
          <w:tcPr>
            <w:tcW w:w="878" w:type="dxa"/>
            <w:noWrap w:val="0"/>
            <w:vAlign w:val="center"/>
          </w:tcPr>
          <w:p w14:paraId="449E04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0.1709</w:t>
            </w:r>
          </w:p>
        </w:tc>
        <w:tc>
          <w:tcPr>
            <w:tcW w:w="783" w:type="dxa"/>
            <w:noWrap w:val="0"/>
            <w:vAlign w:val="center"/>
          </w:tcPr>
          <w:p w14:paraId="2F1199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0.108</w:t>
            </w:r>
          </w:p>
        </w:tc>
        <w:tc>
          <w:tcPr>
            <w:tcW w:w="741" w:type="dxa"/>
            <w:noWrap w:val="0"/>
            <w:vAlign w:val="center"/>
          </w:tcPr>
          <w:p w14:paraId="20CF77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320.68</w:t>
            </w:r>
          </w:p>
        </w:tc>
        <w:tc>
          <w:tcPr>
            <w:tcW w:w="682" w:type="dxa"/>
            <w:noWrap w:val="0"/>
            <w:vAlign w:val="center"/>
          </w:tcPr>
          <w:p w14:paraId="7AA7ED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0.0012</w:t>
            </w:r>
          </w:p>
        </w:tc>
        <w:tc>
          <w:tcPr>
            <w:tcW w:w="699" w:type="dxa"/>
            <w:noWrap w:val="0"/>
            <w:vAlign w:val="center"/>
          </w:tcPr>
          <w:p w14:paraId="5159B9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土石坝</w:t>
            </w:r>
          </w:p>
        </w:tc>
        <w:tc>
          <w:tcPr>
            <w:tcW w:w="613" w:type="dxa"/>
            <w:noWrap w:val="0"/>
            <w:vAlign w:val="center"/>
          </w:tcPr>
          <w:p w14:paraId="06694B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40.84</w:t>
            </w:r>
          </w:p>
        </w:tc>
        <w:tc>
          <w:tcPr>
            <w:tcW w:w="682" w:type="dxa"/>
            <w:noWrap w:val="0"/>
            <w:vAlign w:val="center"/>
          </w:tcPr>
          <w:p w14:paraId="2D545E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355.02</w:t>
            </w:r>
          </w:p>
        </w:tc>
        <w:tc>
          <w:tcPr>
            <w:tcW w:w="657" w:type="dxa"/>
            <w:noWrap w:val="0"/>
            <w:vAlign w:val="center"/>
          </w:tcPr>
          <w:p w14:paraId="0047D5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140</w:t>
            </w:r>
          </w:p>
        </w:tc>
      </w:tr>
      <w:tr w14:paraId="6C318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364" w:type="dxa"/>
            <w:noWrap w:val="0"/>
            <w:vAlign w:val="center"/>
          </w:tcPr>
          <w:p w14:paraId="7D96FF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横江水库</w:t>
            </w:r>
          </w:p>
        </w:tc>
        <w:tc>
          <w:tcPr>
            <w:tcW w:w="580" w:type="dxa"/>
            <w:noWrap w:val="0"/>
            <w:vAlign w:val="center"/>
          </w:tcPr>
          <w:p w14:paraId="40D058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937" w:type="dxa"/>
            <w:noWrap w:val="0"/>
            <w:vAlign w:val="center"/>
          </w:tcPr>
          <w:p w14:paraId="20F42E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24.25</w:t>
            </w:r>
          </w:p>
        </w:tc>
        <w:tc>
          <w:tcPr>
            <w:tcW w:w="878" w:type="dxa"/>
            <w:noWrap w:val="0"/>
            <w:vAlign w:val="center"/>
          </w:tcPr>
          <w:p w14:paraId="63C3AC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0.1524</w:t>
            </w:r>
          </w:p>
        </w:tc>
        <w:tc>
          <w:tcPr>
            <w:tcW w:w="783" w:type="dxa"/>
            <w:noWrap w:val="0"/>
            <w:vAlign w:val="center"/>
          </w:tcPr>
          <w:p w14:paraId="5360FB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0.024</w:t>
            </w:r>
          </w:p>
        </w:tc>
        <w:tc>
          <w:tcPr>
            <w:tcW w:w="741" w:type="dxa"/>
            <w:noWrap w:val="0"/>
            <w:vAlign w:val="center"/>
          </w:tcPr>
          <w:p w14:paraId="529CB7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178.01</w:t>
            </w:r>
          </w:p>
        </w:tc>
        <w:tc>
          <w:tcPr>
            <w:tcW w:w="682" w:type="dxa"/>
            <w:noWrap w:val="0"/>
            <w:vAlign w:val="center"/>
          </w:tcPr>
          <w:p w14:paraId="786BA1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0.0027</w:t>
            </w:r>
          </w:p>
        </w:tc>
        <w:tc>
          <w:tcPr>
            <w:tcW w:w="699" w:type="dxa"/>
            <w:noWrap w:val="0"/>
            <w:vAlign w:val="center"/>
          </w:tcPr>
          <w:p w14:paraId="3F92C9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土石坝</w:t>
            </w:r>
          </w:p>
        </w:tc>
        <w:tc>
          <w:tcPr>
            <w:tcW w:w="613" w:type="dxa"/>
            <w:noWrap w:val="0"/>
            <w:vAlign w:val="center"/>
          </w:tcPr>
          <w:p w14:paraId="09B02E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37.32</w:t>
            </w:r>
          </w:p>
        </w:tc>
        <w:tc>
          <w:tcPr>
            <w:tcW w:w="682" w:type="dxa"/>
            <w:noWrap w:val="0"/>
            <w:vAlign w:val="center"/>
          </w:tcPr>
          <w:p w14:paraId="1C9913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208.32</w:t>
            </w:r>
          </w:p>
        </w:tc>
        <w:tc>
          <w:tcPr>
            <w:tcW w:w="657" w:type="dxa"/>
            <w:noWrap w:val="0"/>
            <w:vAlign w:val="center"/>
          </w:tcPr>
          <w:p w14:paraId="43D33F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210</w:t>
            </w:r>
          </w:p>
        </w:tc>
      </w:tr>
      <w:tr w14:paraId="43527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364" w:type="dxa"/>
            <w:noWrap w:val="0"/>
            <w:vAlign w:val="center"/>
          </w:tcPr>
          <w:p w14:paraId="64BF52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苍石水库</w:t>
            </w:r>
          </w:p>
        </w:tc>
        <w:tc>
          <w:tcPr>
            <w:tcW w:w="580" w:type="dxa"/>
            <w:noWrap w:val="0"/>
            <w:vAlign w:val="center"/>
          </w:tcPr>
          <w:p w14:paraId="0D6133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937" w:type="dxa"/>
            <w:noWrap w:val="0"/>
            <w:vAlign w:val="center"/>
          </w:tcPr>
          <w:p w14:paraId="2D38DB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46.25</w:t>
            </w:r>
          </w:p>
        </w:tc>
        <w:tc>
          <w:tcPr>
            <w:tcW w:w="878" w:type="dxa"/>
            <w:noWrap w:val="0"/>
            <w:vAlign w:val="center"/>
          </w:tcPr>
          <w:p w14:paraId="2AA2DB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0.1176</w:t>
            </w:r>
          </w:p>
        </w:tc>
        <w:tc>
          <w:tcPr>
            <w:tcW w:w="783" w:type="dxa"/>
            <w:noWrap w:val="0"/>
            <w:vAlign w:val="center"/>
          </w:tcPr>
          <w:p w14:paraId="123B31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0.032</w:t>
            </w:r>
          </w:p>
        </w:tc>
        <w:tc>
          <w:tcPr>
            <w:tcW w:w="741" w:type="dxa"/>
            <w:noWrap w:val="0"/>
            <w:vAlign w:val="center"/>
          </w:tcPr>
          <w:p w14:paraId="561391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403</w:t>
            </w:r>
          </w:p>
        </w:tc>
        <w:tc>
          <w:tcPr>
            <w:tcW w:w="682" w:type="dxa"/>
            <w:noWrap w:val="0"/>
            <w:vAlign w:val="center"/>
          </w:tcPr>
          <w:p w14:paraId="45A19E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0.0045</w:t>
            </w:r>
          </w:p>
        </w:tc>
        <w:tc>
          <w:tcPr>
            <w:tcW w:w="699" w:type="dxa"/>
            <w:noWrap w:val="0"/>
            <w:vAlign w:val="center"/>
          </w:tcPr>
          <w:p w14:paraId="4A09ED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重力坝</w:t>
            </w:r>
          </w:p>
        </w:tc>
        <w:tc>
          <w:tcPr>
            <w:tcW w:w="613" w:type="dxa"/>
            <w:noWrap w:val="0"/>
            <w:vAlign w:val="center"/>
          </w:tcPr>
          <w:p w14:paraId="5033C9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63.8</w:t>
            </w:r>
          </w:p>
        </w:tc>
        <w:tc>
          <w:tcPr>
            <w:tcW w:w="682" w:type="dxa"/>
            <w:noWrap w:val="0"/>
            <w:vAlign w:val="center"/>
          </w:tcPr>
          <w:p w14:paraId="55F621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443.8</w:t>
            </w:r>
          </w:p>
        </w:tc>
        <w:tc>
          <w:tcPr>
            <w:tcW w:w="657" w:type="dxa"/>
            <w:noWrap w:val="0"/>
            <w:vAlign w:val="center"/>
          </w:tcPr>
          <w:p w14:paraId="0D04E4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210</w:t>
            </w:r>
          </w:p>
        </w:tc>
      </w:tr>
    </w:tbl>
    <w:p w14:paraId="6348B5E8">
      <w:pPr>
        <w:jc w:val="center"/>
        <w:rPr>
          <w:rFonts w:hint="eastAsia" w:hAnsi="宋体" w:cs="宋体"/>
          <w:highlight w:val="none"/>
        </w:rPr>
      </w:pPr>
      <w:r>
        <w:rPr>
          <w:rFonts w:hint="eastAsia" w:hAnsi="宋体" w:cs="宋体"/>
          <w:highlight w:val="none"/>
        </w:rPr>
        <w:t>南雄市灌区工程特性表</w:t>
      </w:r>
    </w:p>
    <w:p w14:paraId="4C43D5DF">
      <w:pPr>
        <w:rPr>
          <w:rFonts w:hint="eastAsia" w:hAnsi="宋体" w:cs="宋体"/>
          <w:sz w:val="21"/>
          <w:szCs w:val="21"/>
          <w:highlight w:val="none"/>
        </w:rPr>
      </w:pPr>
      <w:r>
        <w:rPr>
          <w:rFonts w:hint="eastAsia" w:hAnsi="宋体" w:cs="宋体"/>
          <w:sz w:val="21"/>
          <w:szCs w:val="21"/>
          <w:highlight w:val="none"/>
        </w:rPr>
        <w:t>表6</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40"/>
        <w:gridCol w:w="378"/>
        <w:gridCol w:w="520"/>
        <w:gridCol w:w="495"/>
        <w:gridCol w:w="448"/>
        <w:gridCol w:w="443"/>
        <w:gridCol w:w="394"/>
        <w:gridCol w:w="394"/>
        <w:gridCol w:w="410"/>
        <w:gridCol w:w="494"/>
        <w:gridCol w:w="494"/>
        <w:gridCol w:w="441"/>
        <w:gridCol w:w="360"/>
        <w:gridCol w:w="494"/>
        <w:gridCol w:w="440"/>
        <w:gridCol w:w="333"/>
        <w:gridCol w:w="332"/>
        <w:gridCol w:w="386"/>
        <w:gridCol w:w="386"/>
        <w:gridCol w:w="332"/>
      </w:tblGrid>
      <w:tr w14:paraId="18BE2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63" w:hRule="atLeast"/>
          <w:jc w:val="center"/>
        </w:trPr>
        <w:tc>
          <w:tcPr>
            <w:tcW w:w="548" w:type="dxa"/>
            <w:vMerge w:val="restart"/>
            <w:noWrap w:val="0"/>
            <w:vAlign w:val="center"/>
          </w:tcPr>
          <w:p w14:paraId="4C16E7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灌区名称</w:t>
            </w:r>
          </w:p>
        </w:tc>
        <w:tc>
          <w:tcPr>
            <w:tcW w:w="383" w:type="dxa"/>
            <w:vMerge w:val="restart"/>
            <w:noWrap w:val="0"/>
            <w:vAlign w:val="center"/>
          </w:tcPr>
          <w:p w14:paraId="34072D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地址</w:t>
            </w:r>
          </w:p>
        </w:tc>
        <w:tc>
          <w:tcPr>
            <w:tcW w:w="528" w:type="dxa"/>
            <w:vMerge w:val="restart"/>
            <w:noWrap w:val="0"/>
            <w:vAlign w:val="center"/>
          </w:tcPr>
          <w:p w14:paraId="712984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设计</w:t>
            </w:r>
            <w:r>
              <w:rPr>
                <w:rFonts w:hint="eastAsia"/>
                <w:highlight w:val="none"/>
              </w:rPr>
              <w:br w:type="textWrapping"/>
            </w:r>
            <w:r>
              <w:rPr>
                <w:rFonts w:hint="eastAsia"/>
                <w:highlight w:val="none"/>
              </w:rPr>
              <w:t>引水</w:t>
            </w:r>
            <w:r>
              <w:rPr>
                <w:rFonts w:hint="eastAsia"/>
                <w:highlight w:val="none"/>
              </w:rPr>
              <w:br w:type="textWrapping"/>
            </w:r>
            <w:r>
              <w:rPr>
                <w:rFonts w:hint="eastAsia"/>
                <w:highlight w:val="none"/>
              </w:rPr>
              <w:t>流量</w:t>
            </w:r>
            <w:r>
              <w:rPr>
                <w:rFonts w:hint="eastAsia"/>
                <w:highlight w:val="none"/>
                <w:lang w:eastAsia="zh-CN"/>
              </w:rPr>
              <w:t>（</w:t>
            </w:r>
            <w:r>
              <w:rPr>
                <w:rFonts w:hint="eastAsia"/>
                <w:highlight w:val="none"/>
              </w:rPr>
              <w:t>立方米/秒</w:t>
            </w:r>
            <w:r>
              <w:rPr>
                <w:rFonts w:hint="eastAsia"/>
                <w:highlight w:val="none"/>
                <w:lang w:eastAsia="zh-CN"/>
              </w:rPr>
              <w:t>）</w:t>
            </w:r>
          </w:p>
        </w:tc>
        <w:tc>
          <w:tcPr>
            <w:tcW w:w="502" w:type="dxa"/>
            <w:vMerge w:val="restart"/>
            <w:noWrap w:val="0"/>
            <w:vAlign w:val="center"/>
          </w:tcPr>
          <w:p w14:paraId="55CDB3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工业</w:t>
            </w:r>
            <w:r>
              <w:rPr>
                <w:rFonts w:hint="eastAsia"/>
                <w:highlight w:val="none"/>
              </w:rPr>
              <w:br w:type="textWrapping"/>
            </w:r>
            <w:r>
              <w:rPr>
                <w:rFonts w:hint="eastAsia"/>
                <w:highlight w:val="none"/>
              </w:rPr>
              <w:t>生活</w:t>
            </w:r>
            <w:r>
              <w:rPr>
                <w:rFonts w:hint="eastAsia"/>
                <w:highlight w:val="none"/>
              </w:rPr>
              <w:br w:type="textWrapping"/>
            </w:r>
            <w:r>
              <w:rPr>
                <w:rFonts w:hint="eastAsia"/>
                <w:highlight w:val="none"/>
              </w:rPr>
              <w:t>供水</w:t>
            </w:r>
            <w:r>
              <w:rPr>
                <w:rFonts w:hint="eastAsia"/>
                <w:highlight w:val="none"/>
              </w:rPr>
              <w:br w:type="textWrapping"/>
            </w:r>
            <w:r>
              <w:rPr>
                <w:rFonts w:hint="eastAsia"/>
                <w:highlight w:val="none"/>
                <w:lang w:eastAsia="zh-CN"/>
              </w:rPr>
              <w:t>（</w:t>
            </w:r>
            <w:r>
              <w:rPr>
                <w:rFonts w:hint="eastAsia"/>
                <w:highlight w:val="none"/>
              </w:rPr>
              <w:t>万立方米/年</w:t>
            </w:r>
            <w:r>
              <w:rPr>
                <w:rFonts w:hint="eastAsia"/>
                <w:highlight w:val="none"/>
                <w:lang w:eastAsia="zh-CN"/>
              </w:rPr>
              <w:t>）</w:t>
            </w:r>
          </w:p>
        </w:tc>
        <w:tc>
          <w:tcPr>
            <w:tcW w:w="901" w:type="dxa"/>
            <w:gridSpan w:val="2"/>
            <w:noWrap w:val="0"/>
            <w:vAlign w:val="center"/>
          </w:tcPr>
          <w:p w14:paraId="11699A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灌溉面积（万亩）</w:t>
            </w:r>
          </w:p>
        </w:tc>
        <w:tc>
          <w:tcPr>
            <w:tcW w:w="798" w:type="dxa"/>
            <w:gridSpan w:val="2"/>
            <w:noWrap w:val="0"/>
            <w:vAlign w:val="center"/>
          </w:tcPr>
          <w:p w14:paraId="573EAF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灌溉保证率％</w:t>
            </w:r>
          </w:p>
        </w:tc>
        <w:tc>
          <w:tcPr>
            <w:tcW w:w="415" w:type="dxa"/>
            <w:vMerge w:val="restart"/>
            <w:noWrap w:val="0"/>
            <w:vAlign w:val="center"/>
          </w:tcPr>
          <w:p w14:paraId="197E02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现状</w:t>
            </w:r>
            <w:r>
              <w:rPr>
                <w:rFonts w:hint="eastAsia"/>
                <w:highlight w:val="none"/>
              </w:rPr>
              <w:br w:type="textWrapping"/>
            </w:r>
            <w:r>
              <w:rPr>
                <w:rFonts w:hint="eastAsia"/>
                <w:highlight w:val="none"/>
              </w:rPr>
              <w:t>渠系</w:t>
            </w:r>
            <w:r>
              <w:rPr>
                <w:rFonts w:hint="eastAsia"/>
                <w:highlight w:val="none"/>
              </w:rPr>
              <w:br w:type="textWrapping"/>
            </w:r>
            <w:r>
              <w:rPr>
                <w:rFonts w:hint="eastAsia"/>
                <w:highlight w:val="none"/>
              </w:rPr>
              <w:t>水利</w:t>
            </w:r>
            <w:r>
              <w:rPr>
                <w:rFonts w:hint="eastAsia"/>
                <w:highlight w:val="none"/>
              </w:rPr>
              <w:br w:type="textWrapping"/>
            </w:r>
            <w:r>
              <w:rPr>
                <w:rFonts w:hint="eastAsia"/>
                <w:highlight w:val="none"/>
              </w:rPr>
              <w:t>用率</w:t>
            </w:r>
          </w:p>
        </w:tc>
        <w:tc>
          <w:tcPr>
            <w:tcW w:w="1810" w:type="dxa"/>
            <w:gridSpan w:val="4"/>
            <w:noWrap w:val="0"/>
            <w:vAlign w:val="center"/>
          </w:tcPr>
          <w:p w14:paraId="00C31E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干渠长度（千米）</w:t>
            </w:r>
          </w:p>
        </w:tc>
        <w:tc>
          <w:tcPr>
            <w:tcW w:w="1616" w:type="dxa"/>
            <w:gridSpan w:val="4"/>
            <w:noWrap w:val="0"/>
            <w:vAlign w:val="center"/>
          </w:tcPr>
          <w:p w14:paraId="283290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支渠长度</w:t>
            </w:r>
            <w:r>
              <w:rPr>
                <w:rFonts w:hint="eastAsia"/>
                <w:highlight w:val="none"/>
                <w:lang w:eastAsia="zh-CN"/>
              </w:rPr>
              <w:t>（</w:t>
            </w:r>
            <w:r>
              <w:rPr>
                <w:rFonts w:hint="eastAsia"/>
                <w:highlight w:val="none"/>
              </w:rPr>
              <w:t>千米</w:t>
            </w:r>
            <w:r>
              <w:rPr>
                <w:rFonts w:hint="eastAsia"/>
                <w:highlight w:val="none"/>
                <w:lang w:eastAsia="zh-CN"/>
              </w:rPr>
              <w:t>）</w:t>
            </w:r>
          </w:p>
        </w:tc>
        <w:tc>
          <w:tcPr>
            <w:tcW w:w="1115" w:type="dxa"/>
            <w:gridSpan w:val="3"/>
            <w:noWrap w:val="0"/>
            <w:vAlign w:val="center"/>
          </w:tcPr>
          <w:p w14:paraId="6CCA06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干、支渠系建筑物（座）</w:t>
            </w:r>
          </w:p>
        </w:tc>
      </w:tr>
      <w:tr w14:paraId="3C6CC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310" w:hRule="atLeast"/>
          <w:jc w:val="center"/>
        </w:trPr>
        <w:tc>
          <w:tcPr>
            <w:tcW w:w="548" w:type="dxa"/>
            <w:vMerge w:val="continue"/>
            <w:noWrap w:val="0"/>
            <w:vAlign w:val="center"/>
          </w:tcPr>
          <w:p w14:paraId="2B84F1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383" w:type="dxa"/>
            <w:vMerge w:val="continue"/>
            <w:noWrap w:val="0"/>
            <w:vAlign w:val="center"/>
          </w:tcPr>
          <w:p w14:paraId="43260B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28" w:type="dxa"/>
            <w:vMerge w:val="continue"/>
            <w:noWrap w:val="0"/>
            <w:vAlign w:val="center"/>
          </w:tcPr>
          <w:p w14:paraId="03E71F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02" w:type="dxa"/>
            <w:vMerge w:val="continue"/>
            <w:noWrap w:val="0"/>
            <w:vAlign w:val="center"/>
          </w:tcPr>
          <w:p w14:paraId="5E50C3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453" w:type="dxa"/>
            <w:noWrap w:val="0"/>
            <w:vAlign w:val="center"/>
          </w:tcPr>
          <w:p w14:paraId="5CB815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设计</w:t>
            </w:r>
          </w:p>
        </w:tc>
        <w:tc>
          <w:tcPr>
            <w:tcW w:w="448" w:type="dxa"/>
            <w:noWrap w:val="0"/>
            <w:vAlign w:val="center"/>
          </w:tcPr>
          <w:p w14:paraId="4F5FD6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实际</w:t>
            </w:r>
          </w:p>
        </w:tc>
        <w:tc>
          <w:tcPr>
            <w:tcW w:w="399" w:type="dxa"/>
            <w:noWrap w:val="0"/>
            <w:vAlign w:val="center"/>
          </w:tcPr>
          <w:p w14:paraId="2E4BE9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设计</w:t>
            </w:r>
          </w:p>
        </w:tc>
        <w:tc>
          <w:tcPr>
            <w:tcW w:w="399" w:type="dxa"/>
            <w:noWrap w:val="0"/>
            <w:vAlign w:val="center"/>
          </w:tcPr>
          <w:p w14:paraId="67C42F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实际</w:t>
            </w:r>
          </w:p>
        </w:tc>
        <w:tc>
          <w:tcPr>
            <w:tcW w:w="415" w:type="dxa"/>
            <w:vMerge w:val="continue"/>
            <w:noWrap w:val="0"/>
            <w:vAlign w:val="center"/>
          </w:tcPr>
          <w:p w14:paraId="6183F8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00" w:type="dxa"/>
            <w:noWrap w:val="0"/>
            <w:vAlign w:val="center"/>
          </w:tcPr>
          <w:p w14:paraId="04EBFC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设计</w:t>
            </w:r>
          </w:p>
        </w:tc>
        <w:tc>
          <w:tcPr>
            <w:tcW w:w="500" w:type="dxa"/>
            <w:noWrap w:val="0"/>
            <w:vAlign w:val="center"/>
          </w:tcPr>
          <w:p w14:paraId="565976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现有</w:t>
            </w:r>
          </w:p>
        </w:tc>
        <w:tc>
          <w:tcPr>
            <w:tcW w:w="446" w:type="dxa"/>
            <w:noWrap w:val="0"/>
            <w:vAlign w:val="center"/>
          </w:tcPr>
          <w:p w14:paraId="5DA859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已衬砌</w:t>
            </w:r>
          </w:p>
        </w:tc>
        <w:tc>
          <w:tcPr>
            <w:tcW w:w="364" w:type="dxa"/>
            <w:noWrap w:val="0"/>
            <w:vAlign w:val="center"/>
          </w:tcPr>
          <w:p w14:paraId="7BE6AE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完好率％</w:t>
            </w:r>
          </w:p>
        </w:tc>
        <w:tc>
          <w:tcPr>
            <w:tcW w:w="500" w:type="dxa"/>
            <w:noWrap w:val="0"/>
            <w:vAlign w:val="center"/>
          </w:tcPr>
          <w:p w14:paraId="491507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设计</w:t>
            </w:r>
          </w:p>
        </w:tc>
        <w:tc>
          <w:tcPr>
            <w:tcW w:w="445" w:type="dxa"/>
            <w:noWrap w:val="0"/>
            <w:vAlign w:val="center"/>
          </w:tcPr>
          <w:p w14:paraId="67E592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现有</w:t>
            </w:r>
          </w:p>
        </w:tc>
        <w:tc>
          <w:tcPr>
            <w:tcW w:w="336" w:type="dxa"/>
            <w:noWrap w:val="0"/>
            <w:vAlign w:val="center"/>
          </w:tcPr>
          <w:p w14:paraId="0AE998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已衬砌</w:t>
            </w:r>
          </w:p>
        </w:tc>
        <w:tc>
          <w:tcPr>
            <w:tcW w:w="335" w:type="dxa"/>
            <w:noWrap w:val="0"/>
            <w:vAlign w:val="center"/>
          </w:tcPr>
          <w:p w14:paraId="65BFBE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完好率％</w:t>
            </w:r>
          </w:p>
        </w:tc>
        <w:tc>
          <w:tcPr>
            <w:tcW w:w="390" w:type="dxa"/>
            <w:noWrap w:val="0"/>
            <w:vAlign w:val="center"/>
          </w:tcPr>
          <w:p w14:paraId="2029B0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设计</w:t>
            </w:r>
          </w:p>
        </w:tc>
        <w:tc>
          <w:tcPr>
            <w:tcW w:w="390" w:type="dxa"/>
            <w:noWrap w:val="0"/>
            <w:vAlign w:val="center"/>
          </w:tcPr>
          <w:p w14:paraId="335B9D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现有</w:t>
            </w:r>
          </w:p>
        </w:tc>
        <w:tc>
          <w:tcPr>
            <w:tcW w:w="335" w:type="dxa"/>
            <w:noWrap w:val="0"/>
            <w:vAlign w:val="center"/>
          </w:tcPr>
          <w:p w14:paraId="44598C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完好</w:t>
            </w:r>
            <w:r>
              <w:rPr>
                <w:rFonts w:hint="eastAsia"/>
                <w:highlight w:val="none"/>
              </w:rPr>
              <w:br w:type="textWrapping"/>
            </w:r>
            <w:r>
              <w:rPr>
                <w:rFonts w:hint="eastAsia"/>
                <w:highlight w:val="none"/>
              </w:rPr>
              <w:t>率%</w:t>
            </w:r>
          </w:p>
        </w:tc>
      </w:tr>
      <w:tr w14:paraId="34E6A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71" w:hRule="atLeast"/>
          <w:jc w:val="center"/>
        </w:trPr>
        <w:tc>
          <w:tcPr>
            <w:tcW w:w="548" w:type="dxa"/>
            <w:noWrap w:val="0"/>
            <w:vAlign w:val="center"/>
          </w:tcPr>
          <w:p w14:paraId="3C7358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合计</w:t>
            </w:r>
          </w:p>
        </w:tc>
        <w:tc>
          <w:tcPr>
            <w:tcW w:w="383" w:type="dxa"/>
            <w:noWrap w:val="0"/>
            <w:vAlign w:val="center"/>
          </w:tcPr>
          <w:p w14:paraId="6BAB82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28" w:type="dxa"/>
            <w:noWrap w:val="0"/>
            <w:vAlign w:val="center"/>
          </w:tcPr>
          <w:p w14:paraId="554510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02" w:type="dxa"/>
            <w:noWrap w:val="0"/>
            <w:vAlign w:val="center"/>
          </w:tcPr>
          <w:p w14:paraId="042C1E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453" w:type="dxa"/>
            <w:noWrap w:val="0"/>
            <w:vAlign w:val="center"/>
          </w:tcPr>
          <w:p w14:paraId="717F83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24.9</w:t>
            </w:r>
          </w:p>
        </w:tc>
        <w:tc>
          <w:tcPr>
            <w:tcW w:w="448" w:type="dxa"/>
            <w:noWrap w:val="0"/>
            <w:vAlign w:val="center"/>
          </w:tcPr>
          <w:p w14:paraId="21D3D6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16.4</w:t>
            </w:r>
          </w:p>
        </w:tc>
        <w:tc>
          <w:tcPr>
            <w:tcW w:w="399" w:type="dxa"/>
            <w:noWrap w:val="0"/>
            <w:vAlign w:val="center"/>
          </w:tcPr>
          <w:p w14:paraId="7D440A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399" w:type="dxa"/>
            <w:noWrap w:val="0"/>
            <w:vAlign w:val="center"/>
          </w:tcPr>
          <w:p w14:paraId="3A224E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415" w:type="dxa"/>
            <w:noWrap w:val="0"/>
            <w:vAlign w:val="center"/>
          </w:tcPr>
          <w:p w14:paraId="63D788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00" w:type="dxa"/>
            <w:noWrap w:val="0"/>
            <w:vAlign w:val="center"/>
          </w:tcPr>
          <w:p w14:paraId="0766DC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365.4</w:t>
            </w:r>
          </w:p>
        </w:tc>
        <w:tc>
          <w:tcPr>
            <w:tcW w:w="500" w:type="dxa"/>
            <w:noWrap w:val="0"/>
            <w:vAlign w:val="center"/>
          </w:tcPr>
          <w:p w14:paraId="26C750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293.2</w:t>
            </w:r>
          </w:p>
        </w:tc>
        <w:tc>
          <w:tcPr>
            <w:tcW w:w="446" w:type="dxa"/>
            <w:noWrap w:val="0"/>
            <w:vAlign w:val="center"/>
          </w:tcPr>
          <w:p w14:paraId="67B49A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168</w:t>
            </w:r>
          </w:p>
        </w:tc>
        <w:tc>
          <w:tcPr>
            <w:tcW w:w="364" w:type="dxa"/>
            <w:noWrap w:val="0"/>
            <w:vAlign w:val="center"/>
          </w:tcPr>
          <w:p w14:paraId="5E62B2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00" w:type="dxa"/>
            <w:noWrap w:val="0"/>
            <w:vAlign w:val="center"/>
          </w:tcPr>
          <w:p w14:paraId="789BC6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249.4</w:t>
            </w:r>
          </w:p>
        </w:tc>
        <w:tc>
          <w:tcPr>
            <w:tcW w:w="445" w:type="dxa"/>
            <w:noWrap w:val="0"/>
            <w:vAlign w:val="center"/>
          </w:tcPr>
          <w:p w14:paraId="4B3D04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244</w:t>
            </w:r>
          </w:p>
        </w:tc>
        <w:tc>
          <w:tcPr>
            <w:tcW w:w="336" w:type="dxa"/>
            <w:noWrap w:val="0"/>
            <w:vAlign w:val="center"/>
          </w:tcPr>
          <w:p w14:paraId="535D77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54</w:t>
            </w:r>
          </w:p>
        </w:tc>
        <w:tc>
          <w:tcPr>
            <w:tcW w:w="335" w:type="dxa"/>
            <w:noWrap w:val="0"/>
            <w:vAlign w:val="center"/>
          </w:tcPr>
          <w:p w14:paraId="2F2260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390" w:type="dxa"/>
            <w:noWrap w:val="0"/>
            <w:vAlign w:val="center"/>
          </w:tcPr>
          <w:p w14:paraId="7E5F4D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487</w:t>
            </w:r>
          </w:p>
        </w:tc>
        <w:tc>
          <w:tcPr>
            <w:tcW w:w="390" w:type="dxa"/>
            <w:noWrap w:val="0"/>
            <w:vAlign w:val="center"/>
          </w:tcPr>
          <w:p w14:paraId="4AF8EF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419</w:t>
            </w:r>
          </w:p>
        </w:tc>
        <w:tc>
          <w:tcPr>
            <w:tcW w:w="335" w:type="dxa"/>
            <w:noWrap w:val="0"/>
            <w:vAlign w:val="center"/>
          </w:tcPr>
          <w:p w14:paraId="1D414D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r w14:paraId="173D8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54" w:hRule="atLeast"/>
          <w:jc w:val="center"/>
        </w:trPr>
        <w:tc>
          <w:tcPr>
            <w:tcW w:w="548" w:type="dxa"/>
            <w:noWrap w:val="0"/>
            <w:vAlign w:val="center"/>
          </w:tcPr>
          <w:p w14:paraId="328C19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孔江灌区</w:t>
            </w:r>
          </w:p>
        </w:tc>
        <w:tc>
          <w:tcPr>
            <w:tcW w:w="383" w:type="dxa"/>
            <w:noWrap w:val="0"/>
            <w:vAlign w:val="center"/>
          </w:tcPr>
          <w:p w14:paraId="685FB8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乌迳</w:t>
            </w:r>
          </w:p>
        </w:tc>
        <w:tc>
          <w:tcPr>
            <w:tcW w:w="528" w:type="dxa"/>
            <w:noWrap w:val="0"/>
            <w:vAlign w:val="center"/>
          </w:tcPr>
          <w:p w14:paraId="42FDED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502" w:type="dxa"/>
            <w:noWrap w:val="0"/>
            <w:vAlign w:val="center"/>
          </w:tcPr>
          <w:p w14:paraId="1080A6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453" w:type="dxa"/>
            <w:noWrap w:val="0"/>
            <w:vAlign w:val="center"/>
          </w:tcPr>
          <w:p w14:paraId="331612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17.3</w:t>
            </w:r>
          </w:p>
        </w:tc>
        <w:tc>
          <w:tcPr>
            <w:tcW w:w="448" w:type="dxa"/>
            <w:noWrap w:val="0"/>
            <w:vAlign w:val="center"/>
          </w:tcPr>
          <w:p w14:paraId="5D38F8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399" w:type="dxa"/>
            <w:noWrap w:val="0"/>
            <w:vAlign w:val="center"/>
          </w:tcPr>
          <w:p w14:paraId="08998A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399" w:type="dxa"/>
            <w:noWrap w:val="0"/>
            <w:vAlign w:val="center"/>
          </w:tcPr>
          <w:p w14:paraId="7547BD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75</w:t>
            </w:r>
          </w:p>
        </w:tc>
        <w:tc>
          <w:tcPr>
            <w:tcW w:w="415" w:type="dxa"/>
            <w:noWrap w:val="0"/>
            <w:vAlign w:val="center"/>
          </w:tcPr>
          <w:p w14:paraId="2977CB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0.7</w:t>
            </w:r>
          </w:p>
        </w:tc>
        <w:tc>
          <w:tcPr>
            <w:tcW w:w="500" w:type="dxa"/>
            <w:noWrap w:val="0"/>
            <w:vAlign w:val="center"/>
          </w:tcPr>
          <w:p w14:paraId="7AE422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53.6</w:t>
            </w:r>
          </w:p>
        </w:tc>
        <w:tc>
          <w:tcPr>
            <w:tcW w:w="500" w:type="dxa"/>
            <w:noWrap w:val="0"/>
            <w:vAlign w:val="center"/>
          </w:tcPr>
          <w:p w14:paraId="3285D3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53.6</w:t>
            </w:r>
          </w:p>
        </w:tc>
        <w:tc>
          <w:tcPr>
            <w:tcW w:w="446" w:type="dxa"/>
            <w:noWrap w:val="0"/>
            <w:vAlign w:val="center"/>
          </w:tcPr>
          <w:p w14:paraId="321A5A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38</w:t>
            </w:r>
          </w:p>
        </w:tc>
        <w:tc>
          <w:tcPr>
            <w:tcW w:w="364" w:type="dxa"/>
            <w:noWrap w:val="0"/>
            <w:vAlign w:val="center"/>
          </w:tcPr>
          <w:p w14:paraId="3FB99E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71</w:t>
            </w:r>
          </w:p>
        </w:tc>
        <w:tc>
          <w:tcPr>
            <w:tcW w:w="500" w:type="dxa"/>
            <w:noWrap w:val="0"/>
            <w:vAlign w:val="center"/>
          </w:tcPr>
          <w:p w14:paraId="46927F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137</w:t>
            </w:r>
          </w:p>
        </w:tc>
        <w:tc>
          <w:tcPr>
            <w:tcW w:w="445" w:type="dxa"/>
            <w:noWrap w:val="0"/>
            <w:vAlign w:val="center"/>
          </w:tcPr>
          <w:p w14:paraId="49868A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137</w:t>
            </w:r>
          </w:p>
        </w:tc>
        <w:tc>
          <w:tcPr>
            <w:tcW w:w="336" w:type="dxa"/>
            <w:noWrap w:val="0"/>
            <w:vAlign w:val="center"/>
          </w:tcPr>
          <w:p w14:paraId="7AD756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335" w:type="dxa"/>
            <w:noWrap w:val="0"/>
            <w:vAlign w:val="center"/>
          </w:tcPr>
          <w:p w14:paraId="71DFCB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w:t>
            </w:r>
          </w:p>
        </w:tc>
        <w:tc>
          <w:tcPr>
            <w:tcW w:w="390" w:type="dxa"/>
            <w:noWrap w:val="0"/>
            <w:vAlign w:val="center"/>
          </w:tcPr>
          <w:p w14:paraId="4C335A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167</w:t>
            </w:r>
          </w:p>
        </w:tc>
        <w:tc>
          <w:tcPr>
            <w:tcW w:w="390" w:type="dxa"/>
            <w:noWrap w:val="0"/>
            <w:vAlign w:val="center"/>
          </w:tcPr>
          <w:p w14:paraId="334337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152</w:t>
            </w:r>
          </w:p>
        </w:tc>
        <w:tc>
          <w:tcPr>
            <w:tcW w:w="335" w:type="dxa"/>
            <w:noWrap w:val="0"/>
            <w:vAlign w:val="center"/>
          </w:tcPr>
          <w:p w14:paraId="0EEB04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36</w:t>
            </w:r>
          </w:p>
        </w:tc>
      </w:tr>
      <w:tr w14:paraId="481D9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9" w:hRule="atLeast"/>
          <w:jc w:val="center"/>
        </w:trPr>
        <w:tc>
          <w:tcPr>
            <w:tcW w:w="548" w:type="dxa"/>
            <w:noWrap w:val="0"/>
            <w:vAlign w:val="center"/>
          </w:tcPr>
          <w:p w14:paraId="348382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横江灌区</w:t>
            </w:r>
          </w:p>
        </w:tc>
        <w:tc>
          <w:tcPr>
            <w:tcW w:w="383" w:type="dxa"/>
            <w:noWrap w:val="0"/>
            <w:vAlign w:val="center"/>
          </w:tcPr>
          <w:p w14:paraId="34C877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珠玑</w:t>
            </w:r>
          </w:p>
        </w:tc>
        <w:tc>
          <w:tcPr>
            <w:tcW w:w="528" w:type="dxa"/>
            <w:noWrap w:val="0"/>
            <w:vAlign w:val="center"/>
          </w:tcPr>
          <w:p w14:paraId="5DEC9D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502" w:type="dxa"/>
            <w:noWrap w:val="0"/>
            <w:vAlign w:val="center"/>
          </w:tcPr>
          <w:p w14:paraId="379FD9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453" w:type="dxa"/>
            <w:noWrap w:val="0"/>
            <w:vAlign w:val="center"/>
          </w:tcPr>
          <w:p w14:paraId="640382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w:t>
            </w:r>
          </w:p>
        </w:tc>
        <w:tc>
          <w:tcPr>
            <w:tcW w:w="448" w:type="dxa"/>
            <w:noWrap w:val="0"/>
            <w:vAlign w:val="center"/>
          </w:tcPr>
          <w:p w14:paraId="1A263A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w:t>
            </w:r>
          </w:p>
        </w:tc>
        <w:tc>
          <w:tcPr>
            <w:tcW w:w="399" w:type="dxa"/>
            <w:noWrap w:val="0"/>
            <w:vAlign w:val="center"/>
          </w:tcPr>
          <w:p w14:paraId="3889E4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399" w:type="dxa"/>
            <w:noWrap w:val="0"/>
            <w:vAlign w:val="center"/>
          </w:tcPr>
          <w:p w14:paraId="5BFA54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75</w:t>
            </w:r>
          </w:p>
        </w:tc>
        <w:tc>
          <w:tcPr>
            <w:tcW w:w="415" w:type="dxa"/>
            <w:noWrap w:val="0"/>
            <w:vAlign w:val="center"/>
          </w:tcPr>
          <w:p w14:paraId="502DB6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0.5</w:t>
            </w:r>
          </w:p>
        </w:tc>
        <w:tc>
          <w:tcPr>
            <w:tcW w:w="500" w:type="dxa"/>
            <w:noWrap w:val="0"/>
            <w:vAlign w:val="center"/>
          </w:tcPr>
          <w:p w14:paraId="373D7E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119.7</w:t>
            </w:r>
          </w:p>
        </w:tc>
        <w:tc>
          <w:tcPr>
            <w:tcW w:w="500" w:type="dxa"/>
            <w:noWrap w:val="0"/>
            <w:vAlign w:val="center"/>
          </w:tcPr>
          <w:p w14:paraId="16F3BF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87.5</w:t>
            </w:r>
          </w:p>
        </w:tc>
        <w:tc>
          <w:tcPr>
            <w:tcW w:w="446" w:type="dxa"/>
            <w:noWrap w:val="0"/>
            <w:vAlign w:val="center"/>
          </w:tcPr>
          <w:p w14:paraId="533C11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54</w:t>
            </w:r>
          </w:p>
        </w:tc>
        <w:tc>
          <w:tcPr>
            <w:tcW w:w="364" w:type="dxa"/>
            <w:noWrap w:val="0"/>
            <w:vAlign w:val="center"/>
          </w:tcPr>
          <w:p w14:paraId="1EF0BE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86</w:t>
            </w:r>
          </w:p>
        </w:tc>
        <w:tc>
          <w:tcPr>
            <w:tcW w:w="500" w:type="dxa"/>
            <w:noWrap w:val="0"/>
            <w:vAlign w:val="center"/>
          </w:tcPr>
          <w:p w14:paraId="280222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445" w:type="dxa"/>
            <w:noWrap w:val="0"/>
            <w:vAlign w:val="center"/>
          </w:tcPr>
          <w:p w14:paraId="28E7F9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336" w:type="dxa"/>
            <w:noWrap w:val="0"/>
            <w:vAlign w:val="center"/>
          </w:tcPr>
          <w:p w14:paraId="6A925E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w:t>
            </w:r>
          </w:p>
        </w:tc>
        <w:tc>
          <w:tcPr>
            <w:tcW w:w="335" w:type="dxa"/>
            <w:noWrap w:val="0"/>
            <w:vAlign w:val="center"/>
          </w:tcPr>
          <w:p w14:paraId="722F82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72</w:t>
            </w:r>
          </w:p>
        </w:tc>
        <w:tc>
          <w:tcPr>
            <w:tcW w:w="390" w:type="dxa"/>
            <w:noWrap w:val="0"/>
            <w:vAlign w:val="center"/>
          </w:tcPr>
          <w:p w14:paraId="2131B6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75</w:t>
            </w:r>
          </w:p>
        </w:tc>
        <w:tc>
          <w:tcPr>
            <w:tcW w:w="390" w:type="dxa"/>
            <w:noWrap w:val="0"/>
            <w:vAlign w:val="center"/>
          </w:tcPr>
          <w:p w14:paraId="7BAE61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61</w:t>
            </w:r>
          </w:p>
        </w:tc>
        <w:tc>
          <w:tcPr>
            <w:tcW w:w="335" w:type="dxa"/>
            <w:noWrap w:val="0"/>
            <w:vAlign w:val="center"/>
          </w:tcPr>
          <w:p w14:paraId="30056A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80</w:t>
            </w:r>
          </w:p>
        </w:tc>
      </w:tr>
      <w:tr w14:paraId="13EC9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548" w:type="dxa"/>
            <w:noWrap w:val="0"/>
            <w:vAlign w:val="center"/>
          </w:tcPr>
          <w:p w14:paraId="121A87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宝江灌区</w:t>
            </w:r>
          </w:p>
        </w:tc>
        <w:tc>
          <w:tcPr>
            <w:tcW w:w="383" w:type="dxa"/>
            <w:noWrap w:val="0"/>
            <w:vAlign w:val="center"/>
          </w:tcPr>
          <w:p w14:paraId="04C673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水口</w:t>
            </w:r>
          </w:p>
        </w:tc>
        <w:tc>
          <w:tcPr>
            <w:tcW w:w="528" w:type="dxa"/>
            <w:noWrap w:val="0"/>
            <w:vAlign w:val="center"/>
          </w:tcPr>
          <w:p w14:paraId="1EBD0C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502" w:type="dxa"/>
            <w:noWrap w:val="0"/>
            <w:vAlign w:val="center"/>
          </w:tcPr>
          <w:p w14:paraId="1EE22F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36.5</w:t>
            </w:r>
          </w:p>
        </w:tc>
        <w:tc>
          <w:tcPr>
            <w:tcW w:w="453" w:type="dxa"/>
            <w:noWrap w:val="0"/>
            <w:vAlign w:val="center"/>
          </w:tcPr>
          <w:p w14:paraId="586DEE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w:t>
            </w:r>
          </w:p>
        </w:tc>
        <w:tc>
          <w:tcPr>
            <w:tcW w:w="448" w:type="dxa"/>
            <w:noWrap w:val="0"/>
            <w:vAlign w:val="center"/>
          </w:tcPr>
          <w:p w14:paraId="3E17D8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0.8</w:t>
            </w:r>
          </w:p>
        </w:tc>
        <w:tc>
          <w:tcPr>
            <w:tcW w:w="399" w:type="dxa"/>
            <w:noWrap w:val="0"/>
            <w:vAlign w:val="center"/>
          </w:tcPr>
          <w:p w14:paraId="2F3EF1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399" w:type="dxa"/>
            <w:noWrap w:val="0"/>
            <w:vAlign w:val="center"/>
          </w:tcPr>
          <w:p w14:paraId="017200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415" w:type="dxa"/>
            <w:noWrap w:val="0"/>
            <w:vAlign w:val="center"/>
          </w:tcPr>
          <w:p w14:paraId="7315AB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0.5</w:t>
            </w:r>
          </w:p>
        </w:tc>
        <w:tc>
          <w:tcPr>
            <w:tcW w:w="500" w:type="dxa"/>
            <w:noWrap w:val="0"/>
            <w:vAlign w:val="center"/>
          </w:tcPr>
          <w:p w14:paraId="29E640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49</w:t>
            </w:r>
          </w:p>
        </w:tc>
        <w:tc>
          <w:tcPr>
            <w:tcW w:w="500" w:type="dxa"/>
            <w:noWrap w:val="0"/>
            <w:vAlign w:val="center"/>
          </w:tcPr>
          <w:p w14:paraId="7178AE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32</w:t>
            </w:r>
          </w:p>
        </w:tc>
        <w:tc>
          <w:tcPr>
            <w:tcW w:w="446" w:type="dxa"/>
            <w:noWrap w:val="0"/>
            <w:vAlign w:val="center"/>
          </w:tcPr>
          <w:p w14:paraId="4376EB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364" w:type="dxa"/>
            <w:noWrap w:val="0"/>
            <w:vAlign w:val="center"/>
          </w:tcPr>
          <w:p w14:paraId="419363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70</w:t>
            </w:r>
          </w:p>
        </w:tc>
        <w:tc>
          <w:tcPr>
            <w:tcW w:w="500" w:type="dxa"/>
            <w:noWrap w:val="0"/>
            <w:vAlign w:val="center"/>
          </w:tcPr>
          <w:p w14:paraId="076B4D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w:t>
            </w:r>
          </w:p>
        </w:tc>
        <w:tc>
          <w:tcPr>
            <w:tcW w:w="445" w:type="dxa"/>
            <w:noWrap w:val="0"/>
            <w:vAlign w:val="center"/>
          </w:tcPr>
          <w:p w14:paraId="62DD45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21.3</w:t>
            </w:r>
          </w:p>
        </w:tc>
        <w:tc>
          <w:tcPr>
            <w:tcW w:w="336" w:type="dxa"/>
            <w:noWrap w:val="0"/>
            <w:vAlign w:val="center"/>
          </w:tcPr>
          <w:p w14:paraId="5D4DC6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335" w:type="dxa"/>
            <w:noWrap w:val="0"/>
            <w:vAlign w:val="center"/>
          </w:tcPr>
          <w:p w14:paraId="70538C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42</w:t>
            </w:r>
          </w:p>
        </w:tc>
        <w:tc>
          <w:tcPr>
            <w:tcW w:w="390" w:type="dxa"/>
            <w:noWrap w:val="0"/>
            <w:vAlign w:val="center"/>
          </w:tcPr>
          <w:p w14:paraId="6B2090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85</w:t>
            </w:r>
          </w:p>
        </w:tc>
        <w:tc>
          <w:tcPr>
            <w:tcW w:w="390" w:type="dxa"/>
            <w:noWrap w:val="0"/>
            <w:vAlign w:val="center"/>
          </w:tcPr>
          <w:p w14:paraId="1CBF6D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80</w:t>
            </w:r>
          </w:p>
        </w:tc>
        <w:tc>
          <w:tcPr>
            <w:tcW w:w="335" w:type="dxa"/>
            <w:noWrap w:val="0"/>
            <w:vAlign w:val="center"/>
          </w:tcPr>
          <w:p w14:paraId="23D864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69</w:t>
            </w:r>
          </w:p>
        </w:tc>
      </w:tr>
      <w:tr w14:paraId="1814E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82" w:hRule="atLeast"/>
          <w:jc w:val="center"/>
        </w:trPr>
        <w:tc>
          <w:tcPr>
            <w:tcW w:w="548" w:type="dxa"/>
            <w:noWrap w:val="0"/>
            <w:vAlign w:val="center"/>
          </w:tcPr>
          <w:p w14:paraId="473C3E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瀑布灌区</w:t>
            </w:r>
          </w:p>
        </w:tc>
        <w:tc>
          <w:tcPr>
            <w:tcW w:w="383" w:type="dxa"/>
            <w:noWrap w:val="0"/>
            <w:vAlign w:val="center"/>
          </w:tcPr>
          <w:p w14:paraId="33E357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主田</w:t>
            </w:r>
          </w:p>
        </w:tc>
        <w:tc>
          <w:tcPr>
            <w:tcW w:w="528" w:type="dxa"/>
            <w:noWrap w:val="0"/>
            <w:vAlign w:val="center"/>
          </w:tcPr>
          <w:p w14:paraId="495116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502" w:type="dxa"/>
            <w:noWrap w:val="0"/>
            <w:vAlign w:val="center"/>
          </w:tcPr>
          <w:p w14:paraId="5838D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1200</w:t>
            </w:r>
          </w:p>
        </w:tc>
        <w:tc>
          <w:tcPr>
            <w:tcW w:w="453" w:type="dxa"/>
            <w:noWrap w:val="0"/>
            <w:vAlign w:val="center"/>
          </w:tcPr>
          <w:p w14:paraId="12A4B4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w:t>
            </w:r>
          </w:p>
        </w:tc>
        <w:tc>
          <w:tcPr>
            <w:tcW w:w="448" w:type="dxa"/>
            <w:noWrap w:val="0"/>
            <w:vAlign w:val="center"/>
          </w:tcPr>
          <w:p w14:paraId="052A29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399" w:type="dxa"/>
            <w:noWrap w:val="0"/>
            <w:vAlign w:val="center"/>
          </w:tcPr>
          <w:p w14:paraId="7FC776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399" w:type="dxa"/>
            <w:noWrap w:val="0"/>
            <w:vAlign w:val="center"/>
          </w:tcPr>
          <w:p w14:paraId="0A91C7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80</w:t>
            </w:r>
          </w:p>
        </w:tc>
        <w:tc>
          <w:tcPr>
            <w:tcW w:w="415" w:type="dxa"/>
            <w:noWrap w:val="0"/>
            <w:vAlign w:val="center"/>
          </w:tcPr>
          <w:p w14:paraId="3A7C4A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0.7</w:t>
            </w:r>
          </w:p>
        </w:tc>
        <w:tc>
          <w:tcPr>
            <w:tcW w:w="500" w:type="dxa"/>
            <w:noWrap w:val="0"/>
            <w:vAlign w:val="center"/>
          </w:tcPr>
          <w:p w14:paraId="0A6865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100.6</w:t>
            </w:r>
          </w:p>
        </w:tc>
        <w:tc>
          <w:tcPr>
            <w:tcW w:w="500" w:type="dxa"/>
            <w:noWrap w:val="0"/>
            <w:vAlign w:val="center"/>
          </w:tcPr>
          <w:p w14:paraId="735A2E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77.6</w:t>
            </w:r>
          </w:p>
        </w:tc>
        <w:tc>
          <w:tcPr>
            <w:tcW w:w="446" w:type="dxa"/>
            <w:noWrap w:val="0"/>
            <w:vAlign w:val="center"/>
          </w:tcPr>
          <w:p w14:paraId="3DB413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39.6</w:t>
            </w:r>
          </w:p>
        </w:tc>
        <w:tc>
          <w:tcPr>
            <w:tcW w:w="364" w:type="dxa"/>
            <w:noWrap w:val="0"/>
            <w:vAlign w:val="center"/>
          </w:tcPr>
          <w:p w14:paraId="766F11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97</w:t>
            </w:r>
          </w:p>
        </w:tc>
        <w:tc>
          <w:tcPr>
            <w:tcW w:w="500" w:type="dxa"/>
            <w:noWrap w:val="0"/>
            <w:vAlign w:val="center"/>
          </w:tcPr>
          <w:p w14:paraId="3CC134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47.4</w:t>
            </w:r>
          </w:p>
        </w:tc>
        <w:tc>
          <w:tcPr>
            <w:tcW w:w="445" w:type="dxa"/>
            <w:noWrap w:val="0"/>
            <w:vAlign w:val="center"/>
          </w:tcPr>
          <w:p w14:paraId="6C9BD4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47.4</w:t>
            </w:r>
          </w:p>
        </w:tc>
        <w:tc>
          <w:tcPr>
            <w:tcW w:w="336" w:type="dxa"/>
            <w:noWrap w:val="0"/>
            <w:vAlign w:val="center"/>
          </w:tcPr>
          <w:p w14:paraId="60168D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w:t>
            </w:r>
          </w:p>
        </w:tc>
        <w:tc>
          <w:tcPr>
            <w:tcW w:w="335" w:type="dxa"/>
            <w:noWrap w:val="0"/>
            <w:vAlign w:val="center"/>
          </w:tcPr>
          <w:p w14:paraId="297DEF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80</w:t>
            </w:r>
          </w:p>
        </w:tc>
        <w:tc>
          <w:tcPr>
            <w:tcW w:w="390" w:type="dxa"/>
            <w:noWrap w:val="0"/>
            <w:vAlign w:val="center"/>
          </w:tcPr>
          <w:p w14:paraId="147C22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390" w:type="dxa"/>
            <w:noWrap w:val="0"/>
            <w:vAlign w:val="center"/>
          </w:tcPr>
          <w:p w14:paraId="0FA91A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70</w:t>
            </w:r>
          </w:p>
        </w:tc>
        <w:tc>
          <w:tcPr>
            <w:tcW w:w="335" w:type="dxa"/>
            <w:noWrap w:val="0"/>
            <w:vAlign w:val="center"/>
          </w:tcPr>
          <w:p w14:paraId="76397C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88</w:t>
            </w:r>
          </w:p>
        </w:tc>
      </w:tr>
      <w:tr w14:paraId="5B196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96" w:hRule="atLeast"/>
          <w:jc w:val="center"/>
        </w:trPr>
        <w:tc>
          <w:tcPr>
            <w:tcW w:w="548" w:type="dxa"/>
            <w:noWrap w:val="0"/>
            <w:vAlign w:val="center"/>
          </w:tcPr>
          <w:p w14:paraId="2430A4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乌坭灌区</w:t>
            </w:r>
          </w:p>
        </w:tc>
        <w:tc>
          <w:tcPr>
            <w:tcW w:w="383" w:type="dxa"/>
            <w:noWrap w:val="0"/>
            <w:vAlign w:val="center"/>
          </w:tcPr>
          <w:p w14:paraId="459DB8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珠玑</w:t>
            </w:r>
          </w:p>
        </w:tc>
        <w:tc>
          <w:tcPr>
            <w:tcW w:w="528" w:type="dxa"/>
            <w:noWrap w:val="0"/>
            <w:vAlign w:val="center"/>
          </w:tcPr>
          <w:p w14:paraId="641D31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0.5</w:t>
            </w:r>
          </w:p>
        </w:tc>
        <w:tc>
          <w:tcPr>
            <w:tcW w:w="502" w:type="dxa"/>
            <w:noWrap w:val="0"/>
            <w:vAlign w:val="center"/>
          </w:tcPr>
          <w:p w14:paraId="07AED1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453" w:type="dxa"/>
            <w:noWrap w:val="0"/>
            <w:vAlign w:val="center"/>
          </w:tcPr>
          <w:p w14:paraId="5E3FFE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0.7</w:t>
            </w:r>
          </w:p>
        </w:tc>
        <w:tc>
          <w:tcPr>
            <w:tcW w:w="448" w:type="dxa"/>
            <w:noWrap w:val="0"/>
            <w:vAlign w:val="center"/>
          </w:tcPr>
          <w:p w14:paraId="01B1AF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0.3</w:t>
            </w:r>
          </w:p>
        </w:tc>
        <w:tc>
          <w:tcPr>
            <w:tcW w:w="399" w:type="dxa"/>
            <w:noWrap w:val="0"/>
            <w:vAlign w:val="center"/>
          </w:tcPr>
          <w:p w14:paraId="15C444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399" w:type="dxa"/>
            <w:noWrap w:val="0"/>
            <w:vAlign w:val="center"/>
          </w:tcPr>
          <w:p w14:paraId="771D99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75</w:t>
            </w:r>
          </w:p>
        </w:tc>
        <w:tc>
          <w:tcPr>
            <w:tcW w:w="415" w:type="dxa"/>
            <w:noWrap w:val="0"/>
            <w:vAlign w:val="center"/>
          </w:tcPr>
          <w:p w14:paraId="159AEA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0.7</w:t>
            </w:r>
          </w:p>
        </w:tc>
        <w:tc>
          <w:tcPr>
            <w:tcW w:w="500" w:type="dxa"/>
            <w:noWrap w:val="0"/>
            <w:vAlign w:val="center"/>
          </w:tcPr>
          <w:p w14:paraId="3F1D81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27.5</w:t>
            </w:r>
          </w:p>
        </w:tc>
        <w:tc>
          <w:tcPr>
            <w:tcW w:w="500" w:type="dxa"/>
            <w:noWrap w:val="0"/>
            <w:vAlign w:val="center"/>
          </w:tcPr>
          <w:p w14:paraId="0CF7DE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27.5</w:t>
            </w:r>
          </w:p>
        </w:tc>
        <w:tc>
          <w:tcPr>
            <w:tcW w:w="446" w:type="dxa"/>
            <w:noWrap w:val="0"/>
            <w:vAlign w:val="center"/>
          </w:tcPr>
          <w:p w14:paraId="1E522F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25.8</w:t>
            </w:r>
          </w:p>
        </w:tc>
        <w:tc>
          <w:tcPr>
            <w:tcW w:w="364" w:type="dxa"/>
            <w:noWrap w:val="0"/>
            <w:vAlign w:val="center"/>
          </w:tcPr>
          <w:p w14:paraId="26A044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500" w:type="dxa"/>
            <w:noWrap w:val="0"/>
            <w:vAlign w:val="center"/>
          </w:tcPr>
          <w:p w14:paraId="75157C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w:t>
            </w:r>
          </w:p>
        </w:tc>
        <w:tc>
          <w:tcPr>
            <w:tcW w:w="445" w:type="dxa"/>
            <w:noWrap w:val="0"/>
            <w:vAlign w:val="center"/>
          </w:tcPr>
          <w:p w14:paraId="489D84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w:t>
            </w:r>
          </w:p>
        </w:tc>
        <w:tc>
          <w:tcPr>
            <w:tcW w:w="336" w:type="dxa"/>
            <w:noWrap w:val="0"/>
            <w:vAlign w:val="center"/>
          </w:tcPr>
          <w:p w14:paraId="1EAAC1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335" w:type="dxa"/>
            <w:noWrap w:val="0"/>
            <w:vAlign w:val="center"/>
          </w:tcPr>
          <w:p w14:paraId="12A46F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88</w:t>
            </w:r>
          </w:p>
        </w:tc>
        <w:tc>
          <w:tcPr>
            <w:tcW w:w="390" w:type="dxa"/>
            <w:noWrap w:val="0"/>
            <w:vAlign w:val="center"/>
          </w:tcPr>
          <w:p w14:paraId="171B37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w:t>
            </w:r>
          </w:p>
        </w:tc>
        <w:tc>
          <w:tcPr>
            <w:tcW w:w="390" w:type="dxa"/>
            <w:noWrap w:val="0"/>
            <w:vAlign w:val="center"/>
          </w:tcPr>
          <w:p w14:paraId="77418F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38</w:t>
            </w:r>
          </w:p>
        </w:tc>
        <w:tc>
          <w:tcPr>
            <w:tcW w:w="335" w:type="dxa"/>
            <w:noWrap w:val="0"/>
            <w:vAlign w:val="center"/>
          </w:tcPr>
          <w:p w14:paraId="1E39E0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80</w:t>
            </w:r>
          </w:p>
        </w:tc>
      </w:tr>
      <w:tr w14:paraId="6BC50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75" w:hRule="atLeast"/>
          <w:jc w:val="center"/>
        </w:trPr>
        <w:tc>
          <w:tcPr>
            <w:tcW w:w="548" w:type="dxa"/>
            <w:noWrap w:val="0"/>
            <w:vAlign w:val="center"/>
          </w:tcPr>
          <w:p w14:paraId="7B741C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同凌陂灌区</w:t>
            </w:r>
          </w:p>
        </w:tc>
        <w:tc>
          <w:tcPr>
            <w:tcW w:w="383" w:type="dxa"/>
            <w:noWrap w:val="0"/>
            <w:vAlign w:val="center"/>
          </w:tcPr>
          <w:p w14:paraId="008B36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雄州</w:t>
            </w:r>
            <w:r>
              <w:rPr>
                <w:rFonts w:hint="eastAsia"/>
                <w:highlight w:val="none"/>
              </w:rPr>
              <w:br w:type="textWrapping"/>
            </w:r>
            <w:r>
              <w:rPr>
                <w:rFonts w:hint="eastAsia"/>
                <w:highlight w:val="none"/>
              </w:rPr>
              <w:t>街道</w:t>
            </w:r>
          </w:p>
        </w:tc>
        <w:tc>
          <w:tcPr>
            <w:tcW w:w="528" w:type="dxa"/>
            <w:noWrap w:val="0"/>
            <w:vAlign w:val="center"/>
          </w:tcPr>
          <w:p w14:paraId="2B7CD9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0.75</w:t>
            </w:r>
          </w:p>
        </w:tc>
        <w:tc>
          <w:tcPr>
            <w:tcW w:w="502" w:type="dxa"/>
            <w:noWrap w:val="0"/>
            <w:vAlign w:val="center"/>
          </w:tcPr>
          <w:p w14:paraId="1367C9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453" w:type="dxa"/>
            <w:noWrap w:val="0"/>
            <w:vAlign w:val="center"/>
          </w:tcPr>
          <w:p w14:paraId="649548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0.5</w:t>
            </w:r>
          </w:p>
        </w:tc>
        <w:tc>
          <w:tcPr>
            <w:tcW w:w="448" w:type="dxa"/>
            <w:noWrap w:val="0"/>
            <w:vAlign w:val="center"/>
          </w:tcPr>
          <w:p w14:paraId="2F45C7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0.4</w:t>
            </w:r>
          </w:p>
        </w:tc>
        <w:tc>
          <w:tcPr>
            <w:tcW w:w="399" w:type="dxa"/>
            <w:noWrap w:val="0"/>
            <w:vAlign w:val="center"/>
          </w:tcPr>
          <w:p w14:paraId="732F3F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w:t>
            </w:r>
          </w:p>
        </w:tc>
        <w:tc>
          <w:tcPr>
            <w:tcW w:w="399" w:type="dxa"/>
            <w:noWrap w:val="0"/>
            <w:vAlign w:val="center"/>
          </w:tcPr>
          <w:p w14:paraId="217DA3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75</w:t>
            </w:r>
          </w:p>
        </w:tc>
        <w:tc>
          <w:tcPr>
            <w:tcW w:w="415" w:type="dxa"/>
            <w:noWrap w:val="0"/>
            <w:vAlign w:val="center"/>
          </w:tcPr>
          <w:p w14:paraId="5E1E57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0.4</w:t>
            </w:r>
          </w:p>
        </w:tc>
        <w:tc>
          <w:tcPr>
            <w:tcW w:w="500" w:type="dxa"/>
            <w:noWrap w:val="0"/>
            <w:vAlign w:val="center"/>
          </w:tcPr>
          <w:p w14:paraId="11AED0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500" w:type="dxa"/>
            <w:noWrap w:val="0"/>
            <w:vAlign w:val="center"/>
          </w:tcPr>
          <w:p w14:paraId="4B5F41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446" w:type="dxa"/>
            <w:noWrap w:val="0"/>
            <w:vAlign w:val="center"/>
          </w:tcPr>
          <w:p w14:paraId="144997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0.5</w:t>
            </w:r>
          </w:p>
        </w:tc>
        <w:tc>
          <w:tcPr>
            <w:tcW w:w="364" w:type="dxa"/>
            <w:noWrap w:val="0"/>
            <w:vAlign w:val="center"/>
          </w:tcPr>
          <w:p w14:paraId="558F37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36</w:t>
            </w:r>
          </w:p>
        </w:tc>
        <w:tc>
          <w:tcPr>
            <w:tcW w:w="500" w:type="dxa"/>
            <w:noWrap w:val="0"/>
            <w:vAlign w:val="center"/>
          </w:tcPr>
          <w:p w14:paraId="7880AB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445" w:type="dxa"/>
            <w:noWrap w:val="0"/>
            <w:vAlign w:val="center"/>
          </w:tcPr>
          <w:p w14:paraId="22EA90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336" w:type="dxa"/>
            <w:noWrap w:val="0"/>
            <w:vAlign w:val="center"/>
          </w:tcPr>
          <w:p w14:paraId="6768FF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335" w:type="dxa"/>
            <w:noWrap w:val="0"/>
            <w:vAlign w:val="center"/>
          </w:tcPr>
          <w:p w14:paraId="05C8A2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w:t>
            </w:r>
          </w:p>
        </w:tc>
        <w:tc>
          <w:tcPr>
            <w:tcW w:w="390" w:type="dxa"/>
            <w:noWrap w:val="0"/>
            <w:vAlign w:val="center"/>
          </w:tcPr>
          <w:p w14:paraId="522489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w:t>
            </w:r>
          </w:p>
        </w:tc>
        <w:tc>
          <w:tcPr>
            <w:tcW w:w="390" w:type="dxa"/>
            <w:noWrap w:val="0"/>
            <w:vAlign w:val="center"/>
          </w:tcPr>
          <w:p w14:paraId="377363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w:t>
            </w:r>
          </w:p>
        </w:tc>
        <w:tc>
          <w:tcPr>
            <w:tcW w:w="335" w:type="dxa"/>
            <w:noWrap w:val="0"/>
            <w:vAlign w:val="center"/>
          </w:tcPr>
          <w:p w14:paraId="4C5095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w:t>
            </w:r>
          </w:p>
        </w:tc>
      </w:tr>
    </w:tbl>
    <w:p w14:paraId="23112E90">
      <w:pPr>
        <w:jc w:val="center"/>
        <w:rPr>
          <w:rFonts w:hint="eastAsia" w:hAnsi="宋体" w:cs="宋体"/>
          <w:b/>
          <w:sz w:val="21"/>
          <w:szCs w:val="21"/>
          <w:highlight w:val="none"/>
        </w:rPr>
      </w:pPr>
      <w:r>
        <w:rPr>
          <w:rFonts w:hint="eastAsia" w:hAnsi="宋体" w:cs="宋体"/>
          <w:sz w:val="21"/>
          <w:szCs w:val="21"/>
          <w:highlight w:val="none"/>
        </w:rPr>
        <w:t>南雄市小水电站基本表（2015</w:t>
      </w:r>
      <w:r>
        <w:rPr>
          <w:rFonts w:hint="eastAsia" w:hAnsi="宋体" w:cs="宋体"/>
          <w:b/>
          <w:sz w:val="21"/>
          <w:szCs w:val="21"/>
          <w:highlight w:val="none"/>
        </w:rPr>
        <w:t>年）</w:t>
      </w:r>
    </w:p>
    <w:p w14:paraId="17C30DB9">
      <w:pPr>
        <w:rPr>
          <w:rFonts w:hint="eastAsia" w:hAnsi="宋体" w:cs="宋体"/>
          <w:sz w:val="21"/>
          <w:szCs w:val="21"/>
          <w:highlight w:val="none"/>
        </w:rPr>
      </w:pPr>
      <w:r>
        <w:rPr>
          <w:rFonts w:hint="eastAsia" w:hAnsi="宋体" w:cs="宋体"/>
          <w:b/>
          <w:sz w:val="21"/>
          <w:szCs w:val="21"/>
          <w:highlight w:val="none"/>
        </w:rPr>
        <w:t xml:space="preserve">表7                                     </w:t>
      </w:r>
      <w:r>
        <w:rPr>
          <w:rFonts w:hint="eastAsia" w:hAnsi="宋体" w:cs="宋体"/>
          <w:sz w:val="21"/>
          <w:szCs w:val="21"/>
          <w:highlight w:val="none"/>
        </w:rPr>
        <w:t xml:space="preserve">  单位：装机容量千瓦、发电量万千瓦时</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1"/>
        <w:gridCol w:w="642"/>
        <w:gridCol w:w="760"/>
        <w:gridCol w:w="597"/>
        <w:gridCol w:w="868"/>
        <w:gridCol w:w="646"/>
        <w:gridCol w:w="841"/>
        <w:gridCol w:w="628"/>
        <w:gridCol w:w="630"/>
        <w:gridCol w:w="737"/>
        <w:gridCol w:w="1056"/>
      </w:tblGrid>
      <w:tr w14:paraId="4EBFF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1" w:type="dxa"/>
            <w:vMerge w:val="restart"/>
            <w:noWrap w:val="0"/>
            <w:vAlign w:val="center"/>
          </w:tcPr>
          <w:p w14:paraId="764B50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w:t>
            </w:r>
          </w:p>
          <w:p w14:paraId="1CD266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度</w:t>
            </w:r>
          </w:p>
        </w:tc>
        <w:tc>
          <w:tcPr>
            <w:tcW w:w="762" w:type="dxa"/>
            <w:vMerge w:val="restart"/>
            <w:noWrap w:val="0"/>
            <w:vAlign w:val="center"/>
          </w:tcPr>
          <w:p w14:paraId="28F9DE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w:t>
            </w:r>
          </w:p>
          <w:p w14:paraId="3BC3F5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电</w:t>
            </w:r>
          </w:p>
          <w:p w14:paraId="6F1863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站</w:t>
            </w:r>
          </w:p>
          <w:p w14:paraId="3FBE2D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宗</w:t>
            </w:r>
          </w:p>
          <w:p w14:paraId="295B99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数</w:t>
            </w:r>
          </w:p>
        </w:tc>
        <w:tc>
          <w:tcPr>
            <w:tcW w:w="916" w:type="dxa"/>
            <w:vMerge w:val="restart"/>
            <w:noWrap w:val="0"/>
            <w:vAlign w:val="center"/>
          </w:tcPr>
          <w:p w14:paraId="410683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w:t>
            </w:r>
          </w:p>
          <w:p w14:paraId="5889EF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装</w:t>
            </w:r>
          </w:p>
          <w:p w14:paraId="3A27E6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机</w:t>
            </w:r>
          </w:p>
          <w:p w14:paraId="53BA6A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容</w:t>
            </w:r>
          </w:p>
          <w:p w14:paraId="2B3E0A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量</w:t>
            </w:r>
          </w:p>
        </w:tc>
        <w:tc>
          <w:tcPr>
            <w:tcW w:w="704" w:type="dxa"/>
            <w:vMerge w:val="restart"/>
            <w:noWrap w:val="0"/>
            <w:vAlign w:val="center"/>
          </w:tcPr>
          <w:p w14:paraId="5DDD57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w:t>
            </w:r>
          </w:p>
          <w:p w14:paraId="312EBB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机</w:t>
            </w:r>
          </w:p>
          <w:p w14:paraId="39DA15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组</w:t>
            </w:r>
          </w:p>
          <w:p w14:paraId="355D05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台</w:t>
            </w:r>
          </w:p>
          <w:p w14:paraId="7472AE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数</w:t>
            </w:r>
          </w:p>
        </w:tc>
        <w:tc>
          <w:tcPr>
            <w:tcW w:w="1056" w:type="dxa"/>
            <w:vMerge w:val="restart"/>
            <w:noWrap w:val="0"/>
            <w:vAlign w:val="center"/>
          </w:tcPr>
          <w:p w14:paraId="5C083E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全</w:t>
            </w:r>
          </w:p>
          <w:p w14:paraId="7FA4C8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w:t>
            </w:r>
          </w:p>
          <w:p w14:paraId="224FAC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发</w:t>
            </w:r>
          </w:p>
          <w:p w14:paraId="583C75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电</w:t>
            </w:r>
          </w:p>
          <w:p w14:paraId="7E2B38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量</w:t>
            </w:r>
          </w:p>
        </w:tc>
        <w:tc>
          <w:tcPr>
            <w:tcW w:w="2532" w:type="dxa"/>
            <w:gridSpan w:val="3"/>
            <w:noWrap w:val="0"/>
            <w:vAlign w:val="center"/>
          </w:tcPr>
          <w:p w14:paraId="04BB25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本年度新建电站</w:t>
            </w:r>
          </w:p>
        </w:tc>
        <w:tc>
          <w:tcPr>
            <w:tcW w:w="2931" w:type="dxa"/>
            <w:gridSpan w:val="3"/>
            <w:noWrap w:val="0"/>
            <w:vAlign w:val="center"/>
          </w:tcPr>
          <w:p w14:paraId="18EC02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本年度技改电站宗数</w:t>
            </w:r>
          </w:p>
        </w:tc>
      </w:tr>
      <w:tr w14:paraId="26680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8" w:hRule="atLeast"/>
          <w:jc w:val="center"/>
        </w:trPr>
        <w:tc>
          <w:tcPr>
            <w:tcW w:w="1501" w:type="dxa"/>
            <w:vMerge w:val="continue"/>
            <w:noWrap w:val="0"/>
            <w:vAlign w:val="center"/>
          </w:tcPr>
          <w:p w14:paraId="48F7DB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62" w:type="dxa"/>
            <w:vMerge w:val="continue"/>
            <w:noWrap w:val="0"/>
            <w:vAlign w:val="center"/>
          </w:tcPr>
          <w:p w14:paraId="34F090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916" w:type="dxa"/>
            <w:vMerge w:val="continue"/>
            <w:noWrap w:val="0"/>
            <w:vAlign w:val="center"/>
          </w:tcPr>
          <w:p w14:paraId="26F9FC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04" w:type="dxa"/>
            <w:vMerge w:val="continue"/>
            <w:noWrap w:val="0"/>
            <w:vAlign w:val="center"/>
          </w:tcPr>
          <w:p w14:paraId="2E8C46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056" w:type="dxa"/>
            <w:vMerge w:val="continue"/>
            <w:noWrap w:val="0"/>
            <w:vAlign w:val="center"/>
          </w:tcPr>
          <w:p w14:paraId="4F8D75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68" w:type="dxa"/>
            <w:noWrap w:val="0"/>
            <w:vAlign w:val="center"/>
          </w:tcPr>
          <w:p w14:paraId="486F76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宗</w:t>
            </w:r>
          </w:p>
          <w:p w14:paraId="357F41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数</w:t>
            </w:r>
          </w:p>
        </w:tc>
        <w:tc>
          <w:tcPr>
            <w:tcW w:w="1020" w:type="dxa"/>
            <w:noWrap w:val="0"/>
            <w:vAlign w:val="center"/>
          </w:tcPr>
          <w:p w14:paraId="2A8ABE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增加</w:t>
            </w:r>
          </w:p>
          <w:p w14:paraId="700699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装机</w:t>
            </w:r>
          </w:p>
          <w:p w14:paraId="1421BF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容量</w:t>
            </w:r>
          </w:p>
        </w:tc>
        <w:tc>
          <w:tcPr>
            <w:tcW w:w="744" w:type="dxa"/>
            <w:noWrap w:val="0"/>
            <w:vAlign w:val="center"/>
          </w:tcPr>
          <w:p w14:paraId="6F74C1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增加</w:t>
            </w:r>
          </w:p>
          <w:p w14:paraId="2AD76B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机组</w:t>
            </w:r>
          </w:p>
          <w:p w14:paraId="311427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台数</w:t>
            </w:r>
          </w:p>
        </w:tc>
        <w:tc>
          <w:tcPr>
            <w:tcW w:w="747" w:type="dxa"/>
            <w:noWrap w:val="0"/>
            <w:vAlign w:val="center"/>
          </w:tcPr>
          <w:p w14:paraId="1129DF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宗</w:t>
            </w:r>
          </w:p>
          <w:p w14:paraId="050B88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数</w:t>
            </w:r>
          </w:p>
        </w:tc>
        <w:tc>
          <w:tcPr>
            <w:tcW w:w="885" w:type="dxa"/>
            <w:noWrap w:val="0"/>
            <w:vAlign w:val="center"/>
          </w:tcPr>
          <w:p w14:paraId="5E34C5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增加</w:t>
            </w:r>
          </w:p>
          <w:p w14:paraId="139184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装机</w:t>
            </w:r>
          </w:p>
          <w:p w14:paraId="64F412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容量</w:t>
            </w:r>
          </w:p>
        </w:tc>
        <w:tc>
          <w:tcPr>
            <w:tcW w:w="1299" w:type="dxa"/>
            <w:noWrap w:val="0"/>
            <w:vAlign w:val="center"/>
          </w:tcPr>
          <w:p w14:paraId="571720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增加机组台数</w:t>
            </w:r>
          </w:p>
        </w:tc>
      </w:tr>
      <w:tr w14:paraId="70D8D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1" w:type="dxa"/>
            <w:noWrap w:val="0"/>
            <w:vAlign w:val="center"/>
          </w:tcPr>
          <w:p w14:paraId="6A02CC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2015</w:t>
            </w:r>
          </w:p>
        </w:tc>
        <w:tc>
          <w:tcPr>
            <w:tcW w:w="762" w:type="dxa"/>
            <w:noWrap w:val="0"/>
            <w:vAlign w:val="center"/>
          </w:tcPr>
          <w:p w14:paraId="5D5650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187</w:t>
            </w:r>
          </w:p>
        </w:tc>
        <w:tc>
          <w:tcPr>
            <w:tcW w:w="916" w:type="dxa"/>
            <w:noWrap w:val="0"/>
            <w:vAlign w:val="center"/>
          </w:tcPr>
          <w:p w14:paraId="3DBE4A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90745</w:t>
            </w:r>
          </w:p>
        </w:tc>
        <w:tc>
          <w:tcPr>
            <w:tcW w:w="704" w:type="dxa"/>
            <w:noWrap w:val="0"/>
            <w:vAlign w:val="center"/>
          </w:tcPr>
          <w:p w14:paraId="371C41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328</w:t>
            </w:r>
          </w:p>
        </w:tc>
        <w:tc>
          <w:tcPr>
            <w:tcW w:w="1056" w:type="dxa"/>
            <w:noWrap w:val="0"/>
            <w:vAlign w:val="center"/>
          </w:tcPr>
          <w:p w14:paraId="73A938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19866</w:t>
            </w:r>
          </w:p>
        </w:tc>
        <w:tc>
          <w:tcPr>
            <w:tcW w:w="768" w:type="dxa"/>
            <w:noWrap w:val="0"/>
            <w:vAlign w:val="center"/>
          </w:tcPr>
          <w:p w14:paraId="3AAA72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1020" w:type="dxa"/>
            <w:noWrap w:val="0"/>
            <w:vAlign w:val="center"/>
          </w:tcPr>
          <w:p w14:paraId="2CB8ED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744" w:type="dxa"/>
            <w:noWrap w:val="0"/>
            <w:vAlign w:val="center"/>
          </w:tcPr>
          <w:p w14:paraId="09478B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747" w:type="dxa"/>
            <w:noWrap w:val="0"/>
            <w:vAlign w:val="center"/>
          </w:tcPr>
          <w:p w14:paraId="61EA61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885" w:type="dxa"/>
            <w:noWrap w:val="0"/>
            <w:vAlign w:val="center"/>
          </w:tcPr>
          <w:p w14:paraId="2CDB7A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3095</w:t>
            </w:r>
          </w:p>
        </w:tc>
        <w:tc>
          <w:tcPr>
            <w:tcW w:w="1299" w:type="dxa"/>
            <w:noWrap w:val="0"/>
            <w:vAlign w:val="center"/>
          </w:tcPr>
          <w:p w14:paraId="3AC30B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r>
    </w:tbl>
    <w:p w14:paraId="74E00C36">
      <w:pPr>
        <w:bidi w:val="0"/>
        <w:rPr>
          <w:rFonts w:hint="eastAsia"/>
          <w:highlight w:val="none"/>
        </w:rPr>
      </w:pPr>
      <w:r>
        <w:rPr>
          <w:rFonts w:hint="eastAsia"/>
          <w:highlight w:val="none"/>
        </w:rPr>
        <w:t>南雄市年降水量（2015年）</w:t>
      </w:r>
    </w:p>
    <w:p w14:paraId="20D807BC">
      <w:pPr>
        <w:bidi w:val="0"/>
        <w:rPr>
          <w:rFonts w:hint="eastAsia" w:eastAsia="宋体"/>
          <w:highlight w:val="none"/>
          <w:lang w:eastAsia="zh-CN"/>
        </w:rPr>
      </w:pPr>
      <w:r>
        <w:rPr>
          <w:rFonts w:hint="eastAsia"/>
          <w:highlight w:val="none"/>
        </w:rPr>
        <w:t>表8</w:t>
      </w:r>
    </w:p>
    <w:tbl>
      <w:tblPr>
        <w:tblStyle w:val="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249"/>
        <w:gridCol w:w="758"/>
        <w:gridCol w:w="966"/>
        <w:gridCol w:w="979"/>
        <w:gridCol w:w="1026"/>
        <w:gridCol w:w="900"/>
        <w:gridCol w:w="1494"/>
      </w:tblGrid>
      <w:tr w14:paraId="258ED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517" w:type="dxa"/>
            <w:vMerge w:val="restart"/>
            <w:noWrap w:val="0"/>
            <w:vAlign w:val="center"/>
          </w:tcPr>
          <w:p w14:paraId="0E74F4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年度</w:t>
            </w:r>
          </w:p>
        </w:tc>
        <w:tc>
          <w:tcPr>
            <w:tcW w:w="1524" w:type="dxa"/>
            <w:vMerge w:val="restart"/>
            <w:noWrap w:val="0"/>
            <w:vAlign w:val="center"/>
          </w:tcPr>
          <w:p w14:paraId="612C11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计算面积</w:t>
            </w:r>
          </w:p>
          <w:p w14:paraId="36548E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（平方千米）</w:t>
            </w:r>
          </w:p>
        </w:tc>
        <w:tc>
          <w:tcPr>
            <w:tcW w:w="2064" w:type="dxa"/>
            <w:gridSpan w:val="2"/>
            <w:noWrap w:val="0"/>
            <w:vAlign w:val="center"/>
          </w:tcPr>
          <w:p w14:paraId="1DC66E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 降 水 量</w:t>
            </w:r>
          </w:p>
        </w:tc>
        <w:tc>
          <w:tcPr>
            <w:tcW w:w="1180" w:type="dxa"/>
            <w:vMerge w:val="restart"/>
            <w:noWrap w:val="0"/>
            <w:vAlign w:val="center"/>
          </w:tcPr>
          <w:p w14:paraId="59022B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上年</w:t>
            </w:r>
          </w:p>
          <w:p w14:paraId="0FFA18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降水量</w:t>
            </w:r>
          </w:p>
          <w:p w14:paraId="0D1969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（毫米）</w:t>
            </w:r>
          </w:p>
        </w:tc>
        <w:tc>
          <w:tcPr>
            <w:tcW w:w="1240" w:type="dxa"/>
            <w:vMerge w:val="restart"/>
            <w:noWrap w:val="0"/>
            <w:vAlign w:val="center"/>
          </w:tcPr>
          <w:p w14:paraId="4F365C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多年平均</w:t>
            </w:r>
            <w:r>
              <w:rPr>
                <w:rFonts w:hint="eastAsia"/>
                <w:b/>
                <w:highlight w:val="none"/>
              </w:rPr>
              <w:br w:type="textWrapping"/>
            </w:r>
            <w:r>
              <w:rPr>
                <w:rFonts w:hint="eastAsia"/>
                <w:b/>
                <w:highlight w:val="none"/>
              </w:rPr>
              <w:t xml:space="preserve">年降水量  </w:t>
            </w:r>
            <w:r>
              <w:rPr>
                <w:rFonts w:hint="eastAsia"/>
                <w:highlight w:val="none"/>
              </w:rPr>
              <w:t xml:space="preserve">  （毫米）</w:t>
            </w:r>
          </w:p>
        </w:tc>
        <w:tc>
          <w:tcPr>
            <w:tcW w:w="1080" w:type="dxa"/>
            <w:vMerge w:val="restart"/>
            <w:noWrap w:val="0"/>
            <w:vAlign w:val="center"/>
          </w:tcPr>
          <w:p w14:paraId="4D8013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与上年</w:t>
            </w:r>
          </w:p>
          <w:p w14:paraId="296CD2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highlight w:val="none"/>
              </w:rPr>
            </w:pPr>
            <w:r>
              <w:rPr>
                <w:rFonts w:hint="eastAsia"/>
                <w:highlight w:val="none"/>
              </w:rPr>
              <w:t>比较（%</w:t>
            </w:r>
            <w:r>
              <w:rPr>
                <w:rFonts w:hint="eastAsia"/>
                <w:b/>
                <w:highlight w:val="none"/>
              </w:rPr>
              <w:t>）</w:t>
            </w:r>
          </w:p>
        </w:tc>
        <w:tc>
          <w:tcPr>
            <w:tcW w:w="1835" w:type="dxa"/>
            <w:vMerge w:val="restart"/>
            <w:noWrap w:val="0"/>
            <w:vAlign w:val="center"/>
          </w:tcPr>
          <w:p w14:paraId="39A047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b/>
                <w:highlight w:val="none"/>
              </w:rPr>
              <w:t xml:space="preserve">与多年  </w:t>
            </w:r>
            <w:r>
              <w:rPr>
                <w:rFonts w:hint="eastAsia"/>
                <w:highlight w:val="none"/>
              </w:rPr>
              <w:t>平均比较（%</w:t>
            </w:r>
            <w:r>
              <w:rPr>
                <w:rFonts w:hint="eastAsia"/>
                <w:highlight w:val="none"/>
                <w:lang w:eastAsia="zh-CN"/>
              </w:rPr>
              <w:t>）</w:t>
            </w:r>
          </w:p>
        </w:tc>
      </w:tr>
      <w:tr w14:paraId="05A21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517" w:type="dxa"/>
            <w:vMerge w:val="continue"/>
            <w:noWrap w:val="0"/>
            <w:vAlign w:val="center"/>
          </w:tcPr>
          <w:p w14:paraId="30148B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524" w:type="dxa"/>
            <w:vMerge w:val="continue"/>
            <w:noWrap w:val="0"/>
            <w:vAlign w:val="center"/>
          </w:tcPr>
          <w:p w14:paraId="147A5D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900" w:type="dxa"/>
            <w:noWrap w:val="0"/>
            <w:vAlign w:val="center"/>
          </w:tcPr>
          <w:p w14:paraId="77871C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毫米</w:t>
            </w:r>
          </w:p>
        </w:tc>
        <w:tc>
          <w:tcPr>
            <w:tcW w:w="1164" w:type="dxa"/>
            <w:noWrap w:val="0"/>
            <w:vAlign w:val="center"/>
          </w:tcPr>
          <w:p w14:paraId="145107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亿立方米</w:t>
            </w:r>
          </w:p>
        </w:tc>
        <w:tc>
          <w:tcPr>
            <w:tcW w:w="1180" w:type="dxa"/>
            <w:vMerge w:val="continue"/>
            <w:noWrap w:val="0"/>
            <w:vAlign w:val="center"/>
          </w:tcPr>
          <w:p w14:paraId="37F30D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240" w:type="dxa"/>
            <w:vMerge w:val="continue"/>
            <w:noWrap w:val="0"/>
            <w:vAlign w:val="center"/>
          </w:tcPr>
          <w:p w14:paraId="7CC946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080" w:type="dxa"/>
            <w:vMerge w:val="continue"/>
            <w:noWrap w:val="0"/>
            <w:vAlign w:val="center"/>
          </w:tcPr>
          <w:p w14:paraId="26CF9B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835" w:type="dxa"/>
            <w:vMerge w:val="continue"/>
            <w:noWrap w:val="0"/>
            <w:vAlign w:val="center"/>
          </w:tcPr>
          <w:p w14:paraId="1BC1FC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r w14:paraId="30ACA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17" w:type="dxa"/>
            <w:noWrap w:val="0"/>
            <w:vAlign w:val="center"/>
          </w:tcPr>
          <w:p w14:paraId="1035DE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2015</w:t>
            </w:r>
          </w:p>
        </w:tc>
        <w:tc>
          <w:tcPr>
            <w:tcW w:w="1524" w:type="dxa"/>
            <w:noWrap w:val="0"/>
            <w:vAlign w:val="center"/>
          </w:tcPr>
          <w:p w14:paraId="647358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2361</w:t>
            </w:r>
          </w:p>
        </w:tc>
        <w:tc>
          <w:tcPr>
            <w:tcW w:w="900" w:type="dxa"/>
            <w:noWrap w:val="0"/>
            <w:vAlign w:val="center"/>
          </w:tcPr>
          <w:p w14:paraId="55D7F1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1693.4</w:t>
            </w:r>
          </w:p>
        </w:tc>
        <w:tc>
          <w:tcPr>
            <w:tcW w:w="1164" w:type="dxa"/>
            <w:noWrap w:val="0"/>
            <w:vAlign w:val="center"/>
          </w:tcPr>
          <w:p w14:paraId="71FA01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39.98</w:t>
            </w:r>
          </w:p>
        </w:tc>
        <w:tc>
          <w:tcPr>
            <w:tcW w:w="1180" w:type="dxa"/>
            <w:noWrap w:val="0"/>
            <w:vAlign w:val="center"/>
          </w:tcPr>
          <w:p w14:paraId="4DA904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1365.8</w:t>
            </w:r>
          </w:p>
        </w:tc>
        <w:tc>
          <w:tcPr>
            <w:tcW w:w="1240" w:type="dxa"/>
            <w:noWrap w:val="0"/>
            <w:vAlign w:val="center"/>
          </w:tcPr>
          <w:p w14:paraId="080C85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1470.6</w:t>
            </w:r>
          </w:p>
        </w:tc>
        <w:tc>
          <w:tcPr>
            <w:tcW w:w="1080" w:type="dxa"/>
            <w:noWrap w:val="0"/>
            <w:vAlign w:val="center"/>
          </w:tcPr>
          <w:p w14:paraId="65274A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24</w:t>
            </w:r>
          </w:p>
        </w:tc>
        <w:tc>
          <w:tcPr>
            <w:tcW w:w="1835" w:type="dxa"/>
            <w:noWrap w:val="0"/>
            <w:vAlign w:val="center"/>
          </w:tcPr>
          <w:p w14:paraId="6E8082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15.2</w:t>
            </w:r>
          </w:p>
        </w:tc>
      </w:tr>
    </w:tbl>
    <w:p w14:paraId="6D3AAE0B">
      <w:pPr>
        <w:jc w:val="center"/>
        <w:rPr>
          <w:rFonts w:hint="eastAsia" w:hAnsi="宋体" w:cs="宋体"/>
          <w:b w:val="0"/>
          <w:bCs w:val="0"/>
          <w:highlight w:val="none"/>
        </w:rPr>
      </w:pPr>
      <w:r>
        <w:rPr>
          <w:rFonts w:hint="eastAsia" w:hAnsi="宋体" w:cs="宋体"/>
          <w:b w:val="0"/>
          <w:bCs w:val="0"/>
          <w:highlight w:val="none"/>
        </w:rPr>
        <w:t>南雄市地</w:t>
      </w:r>
      <w:r>
        <w:rPr>
          <w:rFonts w:hint="eastAsia"/>
          <w:b w:val="0"/>
          <w:bCs w:val="0"/>
          <w:highlight w:val="none"/>
        </w:rPr>
        <w:t>表</w:t>
      </w:r>
      <w:r>
        <w:rPr>
          <w:rFonts w:hint="eastAsia" w:hAnsi="宋体" w:cs="宋体"/>
          <w:b w:val="0"/>
          <w:bCs w:val="0"/>
          <w:highlight w:val="none"/>
        </w:rPr>
        <w:t>水资源量（2015年）</w:t>
      </w:r>
    </w:p>
    <w:p w14:paraId="287312A8">
      <w:pPr>
        <w:bidi w:val="0"/>
        <w:rPr>
          <w:rFonts w:hint="eastAsia"/>
          <w:b w:val="0"/>
          <w:bCs w:val="0"/>
          <w:highlight w:val="none"/>
        </w:rPr>
      </w:pPr>
      <w:r>
        <w:rPr>
          <w:rFonts w:hint="eastAsia"/>
          <w:b w:val="0"/>
          <w:bCs w:val="0"/>
          <w:highlight w:val="none"/>
        </w:rPr>
        <w:t>表9</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3"/>
        <w:gridCol w:w="2227"/>
        <w:gridCol w:w="2058"/>
        <w:gridCol w:w="2028"/>
      </w:tblGrid>
      <w:tr w14:paraId="6EB6B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2795" w:type="dxa"/>
            <w:noWrap w:val="0"/>
            <w:vAlign w:val="center"/>
          </w:tcPr>
          <w:p w14:paraId="64C8B4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年度</w:t>
            </w:r>
          </w:p>
        </w:tc>
        <w:tc>
          <w:tcPr>
            <w:tcW w:w="2700" w:type="dxa"/>
            <w:noWrap w:val="0"/>
            <w:vAlign w:val="center"/>
          </w:tcPr>
          <w:p w14:paraId="1A9F5E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地表水资源量                 （亿立方米</w:t>
            </w:r>
            <w:r>
              <w:rPr>
                <w:rFonts w:hint="eastAsia"/>
                <w:b w:val="0"/>
                <w:bCs w:val="0"/>
                <w:highlight w:val="none"/>
                <w:lang w:eastAsia="zh-CN"/>
              </w:rPr>
              <w:t>）</w:t>
            </w:r>
          </w:p>
        </w:tc>
        <w:tc>
          <w:tcPr>
            <w:tcW w:w="2491" w:type="dxa"/>
            <w:noWrap w:val="0"/>
            <w:vAlign w:val="center"/>
          </w:tcPr>
          <w:p w14:paraId="1D607E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多年平均地表水资源量                 （亿立方米）</w:t>
            </w:r>
          </w:p>
        </w:tc>
        <w:tc>
          <w:tcPr>
            <w:tcW w:w="2454" w:type="dxa"/>
            <w:noWrap w:val="0"/>
            <w:vAlign w:val="center"/>
          </w:tcPr>
          <w:p w14:paraId="6DB3DB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与多年均值比较          （%）</w:t>
            </w:r>
          </w:p>
        </w:tc>
      </w:tr>
      <w:tr w14:paraId="74ADB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795" w:type="dxa"/>
            <w:noWrap w:val="0"/>
            <w:vAlign w:val="center"/>
          </w:tcPr>
          <w:p w14:paraId="6C2A12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2015</w:t>
            </w:r>
          </w:p>
        </w:tc>
        <w:tc>
          <w:tcPr>
            <w:tcW w:w="2700" w:type="dxa"/>
            <w:noWrap w:val="0"/>
            <w:vAlign w:val="center"/>
          </w:tcPr>
          <w:p w14:paraId="3E9013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21.72</w:t>
            </w:r>
          </w:p>
        </w:tc>
        <w:tc>
          <w:tcPr>
            <w:tcW w:w="2491" w:type="dxa"/>
            <w:noWrap w:val="0"/>
            <w:vAlign w:val="center"/>
          </w:tcPr>
          <w:p w14:paraId="21E480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18.73</w:t>
            </w:r>
          </w:p>
        </w:tc>
        <w:tc>
          <w:tcPr>
            <w:tcW w:w="2454" w:type="dxa"/>
            <w:noWrap w:val="0"/>
            <w:vAlign w:val="center"/>
          </w:tcPr>
          <w:p w14:paraId="17219F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16.0</w:t>
            </w:r>
          </w:p>
        </w:tc>
      </w:tr>
    </w:tbl>
    <w:p w14:paraId="367004D0">
      <w:pPr>
        <w:bidi w:val="0"/>
        <w:jc w:val="center"/>
        <w:rPr>
          <w:rFonts w:hint="eastAsia"/>
          <w:b w:val="0"/>
          <w:bCs w:val="0"/>
          <w:highlight w:val="none"/>
        </w:rPr>
      </w:pPr>
      <w:r>
        <w:rPr>
          <w:rFonts w:hint="eastAsia"/>
          <w:b w:val="0"/>
          <w:bCs w:val="0"/>
          <w:highlight w:val="none"/>
        </w:rPr>
        <w:t>南雄市地下水资源量（2015年）</w:t>
      </w:r>
    </w:p>
    <w:p w14:paraId="76DF7AB8">
      <w:pPr>
        <w:bidi w:val="0"/>
        <w:rPr>
          <w:rFonts w:hint="eastAsia"/>
          <w:b w:val="0"/>
          <w:bCs w:val="0"/>
          <w:highlight w:val="none"/>
        </w:rPr>
      </w:pPr>
      <w:r>
        <w:rPr>
          <w:rFonts w:hint="eastAsia"/>
          <w:b w:val="0"/>
          <w:bCs w:val="0"/>
          <w:highlight w:val="none"/>
        </w:rPr>
        <w:t>表10</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3"/>
        <w:gridCol w:w="1823"/>
        <w:gridCol w:w="2211"/>
        <w:gridCol w:w="2239"/>
      </w:tblGrid>
      <w:tr w14:paraId="7CF15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2845" w:type="dxa"/>
            <w:noWrap w:val="0"/>
            <w:vAlign w:val="center"/>
          </w:tcPr>
          <w:p w14:paraId="23CD2D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年度</w:t>
            </w:r>
          </w:p>
        </w:tc>
        <w:tc>
          <w:tcPr>
            <w:tcW w:w="2200" w:type="dxa"/>
            <w:noWrap w:val="0"/>
            <w:vAlign w:val="center"/>
          </w:tcPr>
          <w:p w14:paraId="42E5B6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地下水资源量</w:t>
            </w:r>
            <w:r>
              <w:rPr>
                <w:rFonts w:hint="eastAsia"/>
                <w:b w:val="0"/>
                <w:bCs w:val="0"/>
                <w:highlight w:val="none"/>
              </w:rPr>
              <w:br w:type="textWrapping"/>
            </w:r>
            <w:r>
              <w:rPr>
                <w:rFonts w:hint="eastAsia"/>
                <w:b w:val="0"/>
                <w:bCs w:val="0"/>
                <w:highlight w:val="none"/>
              </w:rPr>
              <w:t>（亿立方米）</w:t>
            </w:r>
          </w:p>
        </w:tc>
        <w:tc>
          <w:tcPr>
            <w:tcW w:w="2680" w:type="dxa"/>
            <w:noWrap w:val="0"/>
            <w:vAlign w:val="center"/>
          </w:tcPr>
          <w:p w14:paraId="03B794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多年平均地下水资源量</w:t>
            </w:r>
            <w:r>
              <w:rPr>
                <w:rFonts w:hint="eastAsia"/>
                <w:b w:val="0"/>
                <w:bCs w:val="0"/>
                <w:highlight w:val="none"/>
              </w:rPr>
              <w:br w:type="textWrapping"/>
            </w:r>
            <w:r>
              <w:rPr>
                <w:rFonts w:hint="eastAsia"/>
                <w:b w:val="0"/>
                <w:bCs w:val="0"/>
                <w:highlight w:val="none"/>
              </w:rPr>
              <w:t xml:space="preserve">   （亿立方米）</w:t>
            </w:r>
          </w:p>
        </w:tc>
        <w:tc>
          <w:tcPr>
            <w:tcW w:w="2715" w:type="dxa"/>
            <w:noWrap w:val="0"/>
            <w:vAlign w:val="center"/>
          </w:tcPr>
          <w:p w14:paraId="57FAA3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与多年均值比较</w:t>
            </w:r>
            <w:r>
              <w:rPr>
                <w:rFonts w:hint="eastAsia"/>
                <w:b w:val="0"/>
                <w:bCs w:val="0"/>
                <w:highlight w:val="none"/>
              </w:rPr>
              <w:br w:type="textWrapping"/>
            </w:r>
            <w:r>
              <w:rPr>
                <w:rFonts w:hint="eastAsia"/>
                <w:b w:val="0"/>
                <w:bCs w:val="0"/>
                <w:highlight w:val="none"/>
              </w:rPr>
              <w:t xml:space="preserve"> （%）</w:t>
            </w:r>
          </w:p>
        </w:tc>
      </w:tr>
      <w:tr w14:paraId="708B1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2845" w:type="dxa"/>
            <w:noWrap w:val="0"/>
            <w:vAlign w:val="center"/>
          </w:tcPr>
          <w:p w14:paraId="53232B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2015</w:t>
            </w:r>
          </w:p>
        </w:tc>
        <w:tc>
          <w:tcPr>
            <w:tcW w:w="2200" w:type="dxa"/>
            <w:noWrap w:val="0"/>
            <w:vAlign w:val="center"/>
          </w:tcPr>
          <w:p w14:paraId="244F00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5.03</w:t>
            </w:r>
          </w:p>
        </w:tc>
        <w:tc>
          <w:tcPr>
            <w:tcW w:w="2680" w:type="dxa"/>
            <w:noWrap w:val="0"/>
            <w:vAlign w:val="center"/>
          </w:tcPr>
          <w:p w14:paraId="59045B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4.52</w:t>
            </w:r>
          </w:p>
        </w:tc>
        <w:tc>
          <w:tcPr>
            <w:tcW w:w="2715" w:type="dxa"/>
            <w:noWrap w:val="0"/>
            <w:vAlign w:val="center"/>
          </w:tcPr>
          <w:p w14:paraId="108537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11.3</w:t>
            </w:r>
          </w:p>
        </w:tc>
      </w:tr>
    </w:tbl>
    <w:p w14:paraId="620DA6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highlight w:val="none"/>
        </w:rPr>
      </w:pPr>
      <w:r>
        <w:rPr>
          <w:rFonts w:hint="eastAsia"/>
          <w:highlight w:val="none"/>
        </w:rPr>
        <w:t>南雄市年供水量（2015年</w:t>
      </w:r>
      <w:r>
        <w:rPr>
          <w:rFonts w:hint="eastAsia"/>
          <w:b/>
          <w:highlight w:val="none"/>
        </w:rPr>
        <w:t>）</w:t>
      </w:r>
    </w:p>
    <w:tbl>
      <w:tblPr>
        <w:tblStyle w:val="7"/>
        <w:tblpPr w:leftFromText="180" w:rightFromText="180" w:vertAnchor="text" w:horzAnchor="page" w:tblpX="1768" w:tblpY="852"/>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5"/>
        <w:gridCol w:w="785"/>
        <w:gridCol w:w="842"/>
        <w:gridCol w:w="683"/>
        <w:gridCol w:w="741"/>
        <w:gridCol w:w="842"/>
        <w:gridCol w:w="741"/>
        <w:gridCol w:w="842"/>
        <w:gridCol w:w="697"/>
        <w:gridCol w:w="828"/>
      </w:tblGrid>
      <w:tr w14:paraId="430F4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1615" w:type="dxa"/>
            <w:vMerge w:val="restart"/>
            <w:noWrap w:val="0"/>
            <w:vAlign w:val="center"/>
          </w:tcPr>
          <w:p w14:paraId="485868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年度</w:t>
            </w:r>
          </w:p>
        </w:tc>
        <w:tc>
          <w:tcPr>
            <w:tcW w:w="785" w:type="dxa"/>
            <w:vMerge w:val="restart"/>
            <w:noWrap w:val="0"/>
            <w:vAlign w:val="center"/>
          </w:tcPr>
          <w:p w14:paraId="7442A7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总供水量</w:t>
            </w:r>
          </w:p>
        </w:tc>
        <w:tc>
          <w:tcPr>
            <w:tcW w:w="3108" w:type="dxa"/>
            <w:gridSpan w:val="4"/>
            <w:noWrap w:val="0"/>
            <w:vAlign w:val="center"/>
          </w:tcPr>
          <w:p w14:paraId="674405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eastAsia="宋体"/>
                <w:b w:val="0"/>
                <w:bCs w:val="0"/>
                <w:highlight w:val="none"/>
              </w:rPr>
              <w:t xml:space="preserve">地   表  </w:t>
            </w:r>
            <w:r>
              <w:rPr>
                <w:rFonts w:hint="eastAsia"/>
                <w:b w:val="0"/>
                <w:bCs w:val="0"/>
                <w:highlight w:val="none"/>
              </w:rPr>
              <w:t>水  量</w:t>
            </w:r>
          </w:p>
        </w:tc>
        <w:tc>
          <w:tcPr>
            <w:tcW w:w="741" w:type="dxa"/>
            <w:vMerge w:val="restart"/>
            <w:noWrap w:val="0"/>
            <w:vAlign w:val="center"/>
          </w:tcPr>
          <w:p w14:paraId="6A8C5B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地下水量</w:t>
            </w:r>
          </w:p>
        </w:tc>
        <w:tc>
          <w:tcPr>
            <w:tcW w:w="842" w:type="dxa"/>
            <w:vMerge w:val="restart"/>
            <w:noWrap w:val="0"/>
            <w:vAlign w:val="center"/>
          </w:tcPr>
          <w:p w14:paraId="14EA65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eastAsia="宋体"/>
                <w:b w:val="0"/>
                <w:bCs w:val="0"/>
                <w:highlight w:val="none"/>
              </w:rPr>
              <w:t xml:space="preserve">占 总 供  </w:t>
            </w:r>
            <w:r>
              <w:rPr>
                <w:rFonts w:hint="eastAsia"/>
                <w:b w:val="0"/>
                <w:bCs w:val="0"/>
                <w:highlight w:val="none"/>
              </w:rPr>
              <w:t xml:space="preserve">  </w:t>
            </w:r>
            <w:r>
              <w:rPr>
                <w:rFonts w:hint="eastAsia" w:eastAsia="宋体"/>
                <w:b w:val="0"/>
                <w:bCs w:val="0"/>
                <w:highlight w:val="none"/>
              </w:rPr>
              <w:t xml:space="preserve"> 水量比例  </w:t>
            </w:r>
            <w:r>
              <w:rPr>
                <w:rFonts w:hint="eastAsia"/>
                <w:b w:val="0"/>
                <w:bCs w:val="0"/>
                <w:highlight w:val="none"/>
              </w:rPr>
              <w:t>（%）</w:t>
            </w:r>
          </w:p>
        </w:tc>
        <w:tc>
          <w:tcPr>
            <w:tcW w:w="697" w:type="dxa"/>
            <w:vMerge w:val="restart"/>
            <w:noWrap w:val="0"/>
            <w:vAlign w:val="center"/>
          </w:tcPr>
          <w:p w14:paraId="5128FF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eastAsia="宋体"/>
                <w:b w:val="0"/>
                <w:bCs w:val="0"/>
                <w:highlight w:val="none"/>
              </w:rPr>
              <w:t xml:space="preserve">其  它   </w:t>
            </w:r>
            <w:r>
              <w:rPr>
                <w:rFonts w:hint="eastAsia"/>
                <w:b w:val="0"/>
                <w:bCs w:val="0"/>
                <w:highlight w:val="none"/>
              </w:rPr>
              <w:t xml:space="preserve">    供水量</w:t>
            </w:r>
          </w:p>
        </w:tc>
        <w:tc>
          <w:tcPr>
            <w:tcW w:w="828" w:type="dxa"/>
            <w:vMerge w:val="restart"/>
            <w:noWrap w:val="0"/>
            <w:vAlign w:val="center"/>
          </w:tcPr>
          <w:p w14:paraId="297DEA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eastAsia="宋体"/>
                <w:b w:val="0"/>
                <w:bCs w:val="0"/>
                <w:highlight w:val="none"/>
              </w:rPr>
              <w:t xml:space="preserve">占 总 供  </w:t>
            </w:r>
            <w:r>
              <w:rPr>
                <w:rFonts w:hint="eastAsia"/>
                <w:b w:val="0"/>
                <w:bCs w:val="0"/>
                <w:highlight w:val="none"/>
              </w:rPr>
              <w:t xml:space="preserve">  </w:t>
            </w:r>
            <w:r>
              <w:rPr>
                <w:rFonts w:hint="eastAsia" w:eastAsia="宋体"/>
                <w:b w:val="0"/>
                <w:bCs w:val="0"/>
                <w:highlight w:val="none"/>
              </w:rPr>
              <w:t xml:space="preserve"> 水量比例  </w:t>
            </w:r>
            <w:r>
              <w:rPr>
                <w:rFonts w:hint="eastAsia"/>
                <w:b w:val="0"/>
                <w:bCs w:val="0"/>
                <w:highlight w:val="none"/>
              </w:rPr>
              <w:t>（%）</w:t>
            </w:r>
          </w:p>
        </w:tc>
      </w:tr>
      <w:tr w14:paraId="15390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1615" w:type="dxa"/>
            <w:vMerge w:val="continue"/>
            <w:noWrap w:val="0"/>
            <w:vAlign w:val="center"/>
          </w:tcPr>
          <w:p w14:paraId="35B69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785" w:type="dxa"/>
            <w:vMerge w:val="continue"/>
            <w:noWrap w:val="0"/>
            <w:vAlign w:val="center"/>
          </w:tcPr>
          <w:p w14:paraId="082AB4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842" w:type="dxa"/>
            <w:noWrap w:val="0"/>
            <w:vAlign w:val="center"/>
          </w:tcPr>
          <w:p w14:paraId="3DFB65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蓄水量</w:t>
            </w:r>
          </w:p>
        </w:tc>
        <w:tc>
          <w:tcPr>
            <w:tcW w:w="683" w:type="dxa"/>
            <w:noWrap w:val="0"/>
            <w:vAlign w:val="center"/>
          </w:tcPr>
          <w:p w14:paraId="75D848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引水量</w:t>
            </w:r>
          </w:p>
        </w:tc>
        <w:tc>
          <w:tcPr>
            <w:tcW w:w="741" w:type="dxa"/>
            <w:noWrap w:val="0"/>
            <w:vAlign w:val="center"/>
          </w:tcPr>
          <w:p w14:paraId="459017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提水量</w:t>
            </w:r>
          </w:p>
        </w:tc>
        <w:tc>
          <w:tcPr>
            <w:tcW w:w="842" w:type="dxa"/>
            <w:noWrap w:val="0"/>
            <w:vAlign w:val="center"/>
          </w:tcPr>
          <w:p w14:paraId="1CE745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eastAsia="宋体"/>
                <w:b w:val="0"/>
                <w:bCs w:val="0"/>
                <w:highlight w:val="none"/>
              </w:rPr>
              <w:t xml:space="preserve">占 总 供  </w:t>
            </w:r>
            <w:r>
              <w:rPr>
                <w:rFonts w:hint="eastAsia"/>
                <w:b w:val="0"/>
                <w:bCs w:val="0"/>
                <w:highlight w:val="none"/>
              </w:rPr>
              <w:t xml:space="preserve">  </w:t>
            </w:r>
            <w:r>
              <w:rPr>
                <w:rFonts w:hint="eastAsia" w:eastAsia="宋体"/>
                <w:b w:val="0"/>
                <w:bCs w:val="0"/>
                <w:highlight w:val="none"/>
              </w:rPr>
              <w:t xml:space="preserve"> 水量比例  </w:t>
            </w:r>
            <w:r>
              <w:rPr>
                <w:rFonts w:hint="eastAsia"/>
                <w:b w:val="0"/>
                <w:bCs w:val="0"/>
                <w:highlight w:val="none"/>
              </w:rPr>
              <w:t>（%）</w:t>
            </w:r>
          </w:p>
        </w:tc>
        <w:tc>
          <w:tcPr>
            <w:tcW w:w="741" w:type="dxa"/>
            <w:vMerge w:val="continue"/>
            <w:noWrap w:val="0"/>
            <w:vAlign w:val="center"/>
          </w:tcPr>
          <w:p w14:paraId="375ACA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842" w:type="dxa"/>
            <w:vMerge w:val="continue"/>
            <w:noWrap w:val="0"/>
            <w:vAlign w:val="center"/>
          </w:tcPr>
          <w:p w14:paraId="59FCF8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697" w:type="dxa"/>
            <w:vMerge w:val="continue"/>
            <w:noWrap w:val="0"/>
            <w:vAlign w:val="center"/>
          </w:tcPr>
          <w:p w14:paraId="23382E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828" w:type="dxa"/>
            <w:vMerge w:val="continue"/>
            <w:noWrap w:val="0"/>
            <w:vAlign w:val="center"/>
          </w:tcPr>
          <w:p w14:paraId="53B0D2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r>
      <w:tr w14:paraId="3236B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15" w:type="dxa"/>
            <w:noWrap w:val="0"/>
            <w:vAlign w:val="center"/>
          </w:tcPr>
          <w:p w14:paraId="3B8BC5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2015</w:t>
            </w:r>
          </w:p>
        </w:tc>
        <w:tc>
          <w:tcPr>
            <w:tcW w:w="785" w:type="dxa"/>
            <w:noWrap w:val="0"/>
            <w:vAlign w:val="center"/>
          </w:tcPr>
          <w:p w14:paraId="73E6D7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34360</w:t>
            </w:r>
          </w:p>
        </w:tc>
        <w:tc>
          <w:tcPr>
            <w:tcW w:w="842" w:type="dxa"/>
            <w:noWrap w:val="0"/>
            <w:vAlign w:val="center"/>
          </w:tcPr>
          <w:p w14:paraId="057BEB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21000</w:t>
            </w:r>
          </w:p>
        </w:tc>
        <w:tc>
          <w:tcPr>
            <w:tcW w:w="683" w:type="dxa"/>
            <w:noWrap w:val="0"/>
            <w:vAlign w:val="center"/>
          </w:tcPr>
          <w:p w14:paraId="62471D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11610</w:t>
            </w:r>
          </w:p>
        </w:tc>
        <w:tc>
          <w:tcPr>
            <w:tcW w:w="741" w:type="dxa"/>
            <w:noWrap w:val="0"/>
            <w:vAlign w:val="center"/>
          </w:tcPr>
          <w:p w14:paraId="0C88DD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1500</w:t>
            </w:r>
          </w:p>
        </w:tc>
        <w:tc>
          <w:tcPr>
            <w:tcW w:w="842" w:type="dxa"/>
            <w:noWrap w:val="0"/>
            <w:vAlign w:val="center"/>
          </w:tcPr>
          <w:p w14:paraId="299E2D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99.3</w:t>
            </w:r>
          </w:p>
        </w:tc>
        <w:tc>
          <w:tcPr>
            <w:tcW w:w="741" w:type="dxa"/>
            <w:noWrap w:val="0"/>
            <w:vAlign w:val="center"/>
          </w:tcPr>
          <w:p w14:paraId="32F5C2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150</w:t>
            </w:r>
          </w:p>
        </w:tc>
        <w:tc>
          <w:tcPr>
            <w:tcW w:w="842" w:type="dxa"/>
            <w:noWrap w:val="0"/>
            <w:vAlign w:val="center"/>
          </w:tcPr>
          <w:p w14:paraId="0FADF8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0.4</w:t>
            </w:r>
          </w:p>
        </w:tc>
        <w:tc>
          <w:tcPr>
            <w:tcW w:w="697" w:type="dxa"/>
            <w:noWrap w:val="0"/>
            <w:vAlign w:val="center"/>
          </w:tcPr>
          <w:p w14:paraId="25FDE0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100</w:t>
            </w:r>
          </w:p>
        </w:tc>
        <w:tc>
          <w:tcPr>
            <w:tcW w:w="828" w:type="dxa"/>
            <w:noWrap w:val="0"/>
            <w:vAlign w:val="center"/>
          </w:tcPr>
          <w:p w14:paraId="403084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0.3</w:t>
            </w:r>
          </w:p>
        </w:tc>
      </w:tr>
    </w:tbl>
    <w:p w14:paraId="030E23A0">
      <w:pPr>
        <w:bidi w:val="0"/>
        <w:rPr>
          <w:rFonts w:hint="eastAsia"/>
          <w:highlight w:val="none"/>
        </w:rPr>
      </w:pPr>
      <w:r>
        <w:rPr>
          <w:rFonts w:hint="eastAsia"/>
          <w:b/>
          <w:highlight w:val="none"/>
        </w:rPr>
        <w:t xml:space="preserve">表11                                                   </w:t>
      </w:r>
      <w:r>
        <w:rPr>
          <w:rFonts w:hint="eastAsia"/>
          <w:highlight w:val="none"/>
        </w:rPr>
        <w:t xml:space="preserve">      单位：万立方米</w:t>
      </w:r>
    </w:p>
    <w:p w14:paraId="2D4393B2">
      <w:pPr>
        <w:jc w:val="center"/>
        <w:rPr>
          <w:rFonts w:hint="eastAsia" w:hAnsi="宋体" w:cs="宋体"/>
          <w:b/>
          <w:highlight w:val="none"/>
        </w:rPr>
      </w:pPr>
      <w:r>
        <w:rPr>
          <w:rFonts w:hint="eastAsia" w:hAnsi="宋体" w:cs="宋体"/>
          <w:highlight w:val="none"/>
        </w:rPr>
        <w:t>南雄市年用水量（2015年</w:t>
      </w:r>
      <w:r>
        <w:rPr>
          <w:rFonts w:hint="eastAsia" w:hAnsi="宋体" w:cs="宋体"/>
          <w:b/>
          <w:highlight w:val="none"/>
        </w:rPr>
        <w:t>）</w:t>
      </w:r>
    </w:p>
    <w:p w14:paraId="364D1277">
      <w:pPr>
        <w:ind w:firstLine="405"/>
        <w:rPr>
          <w:rFonts w:hint="eastAsia" w:hAnsi="宋体" w:cs="宋体"/>
          <w:highlight w:val="none"/>
        </w:rPr>
      </w:pPr>
      <w:r>
        <w:rPr>
          <w:rFonts w:hint="eastAsia" w:hAnsi="宋体" w:cs="宋体"/>
          <w:b/>
          <w:highlight w:val="none"/>
        </w:rPr>
        <w:t xml:space="preserve">表12                                                   </w:t>
      </w:r>
      <w:r>
        <w:rPr>
          <w:rFonts w:hint="eastAsia" w:hAnsi="宋体" w:cs="宋体"/>
          <w:highlight w:val="none"/>
        </w:rPr>
        <w:t xml:space="preserve">      单位：万立方米</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5"/>
        <w:gridCol w:w="744"/>
        <w:gridCol w:w="697"/>
        <w:gridCol w:w="529"/>
        <w:gridCol w:w="786"/>
        <w:gridCol w:w="805"/>
        <w:gridCol w:w="688"/>
        <w:gridCol w:w="676"/>
        <w:gridCol w:w="715"/>
        <w:gridCol w:w="662"/>
        <w:gridCol w:w="749"/>
      </w:tblGrid>
      <w:tr w14:paraId="22A42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054" w:type="dxa"/>
            <w:vMerge w:val="restart"/>
            <w:noWrap w:val="0"/>
            <w:vAlign w:val="center"/>
          </w:tcPr>
          <w:p w14:paraId="53E196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年度</w:t>
            </w:r>
          </w:p>
        </w:tc>
        <w:tc>
          <w:tcPr>
            <w:tcW w:w="4435" w:type="dxa"/>
            <w:gridSpan w:val="5"/>
            <w:noWrap w:val="0"/>
            <w:vAlign w:val="center"/>
          </w:tcPr>
          <w:p w14:paraId="497065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生产用水量</w:t>
            </w:r>
          </w:p>
        </w:tc>
        <w:tc>
          <w:tcPr>
            <w:tcW w:w="854" w:type="dxa"/>
            <w:vMerge w:val="restart"/>
            <w:noWrap w:val="0"/>
            <w:vAlign w:val="center"/>
          </w:tcPr>
          <w:p w14:paraId="5A53E2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居民</w:t>
            </w:r>
            <w:r>
              <w:rPr>
                <w:rFonts w:hint="eastAsia"/>
                <w:b w:val="0"/>
                <w:bCs w:val="0"/>
                <w:highlight w:val="none"/>
              </w:rPr>
              <w:br w:type="textWrapping"/>
            </w:r>
            <w:r>
              <w:rPr>
                <w:rFonts w:hint="eastAsia"/>
                <w:b w:val="0"/>
                <w:bCs w:val="0"/>
                <w:highlight w:val="none"/>
              </w:rPr>
              <w:t>生活</w:t>
            </w:r>
          </w:p>
        </w:tc>
        <w:tc>
          <w:tcPr>
            <w:tcW w:w="837" w:type="dxa"/>
            <w:vMerge w:val="restart"/>
            <w:noWrap w:val="0"/>
            <w:vAlign w:val="center"/>
          </w:tcPr>
          <w:p w14:paraId="665F63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占总用       水比例    （%）</w:t>
            </w:r>
          </w:p>
        </w:tc>
        <w:tc>
          <w:tcPr>
            <w:tcW w:w="891" w:type="dxa"/>
            <w:vMerge w:val="restart"/>
            <w:noWrap w:val="0"/>
            <w:vAlign w:val="center"/>
          </w:tcPr>
          <w:p w14:paraId="646C29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生态</w:t>
            </w:r>
            <w:r>
              <w:rPr>
                <w:rFonts w:hint="eastAsia"/>
                <w:b w:val="0"/>
                <w:bCs w:val="0"/>
                <w:highlight w:val="none"/>
              </w:rPr>
              <w:br w:type="textWrapping"/>
            </w:r>
            <w:r>
              <w:rPr>
                <w:rFonts w:hint="eastAsia"/>
                <w:b w:val="0"/>
                <w:bCs w:val="0"/>
                <w:highlight w:val="none"/>
              </w:rPr>
              <w:t>环境</w:t>
            </w:r>
          </w:p>
        </w:tc>
        <w:tc>
          <w:tcPr>
            <w:tcW w:w="818" w:type="dxa"/>
            <w:vMerge w:val="restart"/>
            <w:noWrap w:val="0"/>
            <w:vAlign w:val="center"/>
          </w:tcPr>
          <w:p w14:paraId="4AFFCD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占总用     水比例  （%）</w:t>
            </w:r>
          </w:p>
        </w:tc>
        <w:tc>
          <w:tcPr>
            <w:tcW w:w="938" w:type="dxa"/>
            <w:vMerge w:val="restart"/>
            <w:noWrap w:val="0"/>
            <w:vAlign w:val="center"/>
          </w:tcPr>
          <w:p w14:paraId="0ECC7B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总用水量</w:t>
            </w:r>
          </w:p>
        </w:tc>
      </w:tr>
      <w:tr w14:paraId="729DC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2054" w:type="dxa"/>
            <w:vMerge w:val="continue"/>
            <w:noWrap w:val="0"/>
            <w:vAlign w:val="center"/>
          </w:tcPr>
          <w:p w14:paraId="29A432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31" w:type="dxa"/>
            <w:noWrap w:val="0"/>
            <w:vAlign w:val="center"/>
          </w:tcPr>
          <w:p w14:paraId="2B8340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农田</w:t>
            </w:r>
            <w:r>
              <w:rPr>
                <w:rFonts w:hint="eastAsia"/>
                <w:b w:val="0"/>
                <w:bCs w:val="0"/>
                <w:highlight w:val="none"/>
              </w:rPr>
              <w:br w:type="textWrapping"/>
            </w:r>
            <w:r>
              <w:rPr>
                <w:rFonts w:hint="eastAsia"/>
                <w:b w:val="0"/>
                <w:bCs w:val="0"/>
                <w:highlight w:val="none"/>
              </w:rPr>
              <w:t>灌溉</w:t>
            </w:r>
          </w:p>
        </w:tc>
        <w:tc>
          <w:tcPr>
            <w:tcW w:w="866" w:type="dxa"/>
            <w:noWrap w:val="0"/>
            <w:vAlign w:val="center"/>
          </w:tcPr>
          <w:p w14:paraId="209427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林牧</w:t>
            </w:r>
            <w:r>
              <w:rPr>
                <w:rFonts w:hint="eastAsia"/>
                <w:b w:val="0"/>
                <w:bCs w:val="0"/>
                <w:highlight w:val="none"/>
              </w:rPr>
              <w:br w:type="textWrapping"/>
            </w:r>
            <w:r>
              <w:rPr>
                <w:rFonts w:hint="eastAsia"/>
                <w:b w:val="0"/>
                <w:bCs w:val="0"/>
                <w:highlight w:val="none"/>
              </w:rPr>
              <w:t>渔畜</w:t>
            </w:r>
          </w:p>
        </w:tc>
        <w:tc>
          <w:tcPr>
            <w:tcW w:w="636" w:type="dxa"/>
            <w:noWrap w:val="0"/>
            <w:vAlign w:val="center"/>
          </w:tcPr>
          <w:p w14:paraId="5A960E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工业</w:t>
            </w:r>
          </w:p>
        </w:tc>
        <w:tc>
          <w:tcPr>
            <w:tcW w:w="988" w:type="dxa"/>
            <w:noWrap w:val="0"/>
            <w:vAlign w:val="center"/>
          </w:tcPr>
          <w:p w14:paraId="13EBC4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城镇</w:t>
            </w:r>
            <w:r>
              <w:rPr>
                <w:rFonts w:hint="eastAsia"/>
                <w:b w:val="0"/>
                <w:bCs w:val="0"/>
                <w:highlight w:val="none"/>
              </w:rPr>
              <w:br w:type="textWrapping"/>
            </w:r>
            <w:r>
              <w:rPr>
                <w:rFonts w:hint="eastAsia"/>
                <w:b w:val="0"/>
                <w:bCs w:val="0"/>
                <w:highlight w:val="none"/>
              </w:rPr>
              <w:t>公用</w:t>
            </w:r>
          </w:p>
        </w:tc>
        <w:tc>
          <w:tcPr>
            <w:tcW w:w="1014" w:type="dxa"/>
            <w:noWrap w:val="0"/>
            <w:vAlign w:val="center"/>
          </w:tcPr>
          <w:p w14:paraId="56E3CE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占总用       水比例    （%）</w:t>
            </w:r>
          </w:p>
        </w:tc>
        <w:tc>
          <w:tcPr>
            <w:tcW w:w="854" w:type="dxa"/>
            <w:vMerge w:val="continue"/>
            <w:noWrap w:val="0"/>
            <w:vAlign w:val="center"/>
          </w:tcPr>
          <w:p w14:paraId="3D4346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837" w:type="dxa"/>
            <w:vMerge w:val="continue"/>
            <w:noWrap w:val="0"/>
            <w:vAlign w:val="center"/>
          </w:tcPr>
          <w:p w14:paraId="7AA283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891" w:type="dxa"/>
            <w:vMerge w:val="continue"/>
            <w:noWrap w:val="0"/>
            <w:vAlign w:val="center"/>
          </w:tcPr>
          <w:p w14:paraId="2E3AB7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818" w:type="dxa"/>
            <w:vMerge w:val="continue"/>
            <w:noWrap w:val="0"/>
            <w:vAlign w:val="center"/>
          </w:tcPr>
          <w:p w14:paraId="70091B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38" w:type="dxa"/>
            <w:vMerge w:val="continue"/>
            <w:noWrap w:val="0"/>
            <w:vAlign w:val="center"/>
          </w:tcPr>
          <w:p w14:paraId="7A19A8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r>
      <w:tr w14:paraId="090F0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2054" w:type="dxa"/>
            <w:noWrap w:val="0"/>
            <w:vAlign w:val="center"/>
          </w:tcPr>
          <w:p w14:paraId="4B6847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2015</w:t>
            </w:r>
          </w:p>
        </w:tc>
        <w:tc>
          <w:tcPr>
            <w:tcW w:w="931" w:type="dxa"/>
            <w:noWrap w:val="0"/>
            <w:vAlign w:val="center"/>
          </w:tcPr>
          <w:p w14:paraId="197A4E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24300</w:t>
            </w:r>
          </w:p>
        </w:tc>
        <w:tc>
          <w:tcPr>
            <w:tcW w:w="866" w:type="dxa"/>
            <w:noWrap w:val="0"/>
            <w:vAlign w:val="center"/>
          </w:tcPr>
          <w:p w14:paraId="6A1142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2900</w:t>
            </w:r>
          </w:p>
        </w:tc>
        <w:tc>
          <w:tcPr>
            <w:tcW w:w="636" w:type="dxa"/>
            <w:noWrap w:val="0"/>
            <w:vAlign w:val="center"/>
          </w:tcPr>
          <w:p w14:paraId="7B3680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4540</w:t>
            </w:r>
          </w:p>
        </w:tc>
        <w:tc>
          <w:tcPr>
            <w:tcW w:w="988" w:type="dxa"/>
            <w:noWrap w:val="0"/>
            <w:vAlign w:val="center"/>
          </w:tcPr>
          <w:p w14:paraId="2B62D0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630</w:t>
            </w:r>
          </w:p>
        </w:tc>
        <w:tc>
          <w:tcPr>
            <w:tcW w:w="1014" w:type="dxa"/>
            <w:noWrap w:val="0"/>
            <w:vAlign w:val="center"/>
          </w:tcPr>
          <w:p w14:paraId="7B1D1D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94.2</w:t>
            </w:r>
          </w:p>
        </w:tc>
        <w:tc>
          <w:tcPr>
            <w:tcW w:w="854" w:type="dxa"/>
            <w:noWrap w:val="0"/>
            <w:vAlign w:val="center"/>
          </w:tcPr>
          <w:p w14:paraId="71F351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1740</w:t>
            </w:r>
          </w:p>
        </w:tc>
        <w:tc>
          <w:tcPr>
            <w:tcW w:w="837" w:type="dxa"/>
            <w:noWrap w:val="0"/>
            <w:vAlign w:val="center"/>
          </w:tcPr>
          <w:p w14:paraId="4CADDD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5.1</w:t>
            </w:r>
          </w:p>
        </w:tc>
        <w:tc>
          <w:tcPr>
            <w:tcW w:w="891" w:type="dxa"/>
            <w:noWrap w:val="0"/>
            <w:vAlign w:val="center"/>
          </w:tcPr>
          <w:p w14:paraId="4C8F56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250</w:t>
            </w:r>
          </w:p>
        </w:tc>
        <w:tc>
          <w:tcPr>
            <w:tcW w:w="818" w:type="dxa"/>
            <w:noWrap w:val="0"/>
            <w:vAlign w:val="center"/>
          </w:tcPr>
          <w:p w14:paraId="31D5BC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0.7</w:t>
            </w:r>
          </w:p>
        </w:tc>
        <w:tc>
          <w:tcPr>
            <w:tcW w:w="938" w:type="dxa"/>
            <w:noWrap w:val="0"/>
            <w:vAlign w:val="center"/>
          </w:tcPr>
          <w:p w14:paraId="595A6D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34360</w:t>
            </w:r>
          </w:p>
        </w:tc>
      </w:tr>
    </w:tbl>
    <w:tbl>
      <w:tblPr>
        <w:tblStyle w:val="7"/>
        <w:tblpPr w:leftFromText="180" w:rightFromText="180" w:vertAnchor="text" w:horzAnchor="page" w:tblpX="1618" w:tblpY="4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927"/>
        <w:gridCol w:w="954"/>
        <w:gridCol w:w="945"/>
        <w:gridCol w:w="762"/>
        <w:gridCol w:w="863"/>
        <w:gridCol w:w="1101"/>
        <w:gridCol w:w="918"/>
        <w:gridCol w:w="844"/>
      </w:tblGrid>
      <w:tr w14:paraId="495CD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95" w:hRule="atLeast"/>
          <w:jc w:val="center"/>
        </w:trPr>
        <w:tc>
          <w:tcPr>
            <w:tcW w:w="1302" w:type="dxa"/>
            <w:vMerge w:val="restart"/>
            <w:noWrap w:val="0"/>
            <w:vAlign w:val="center"/>
          </w:tcPr>
          <w:p w14:paraId="652E9E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年度</w:t>
            </w:r>
          </w:p>
        </w:tc>
        <w:tc>
          <w:tcPr>
            <w:tcW w:w="927" w:type="dxa"/>
            <w:vMerge w:val="restart"/>
            <w:noWrap w:val="0"/>
            <w:vAlign w:val="center"/>
          </w:tcPr>
          <w:p w14:paraId="2261C0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人 均 GDP</w:t>
            </w:r>
            <w:r>
              <w:rPr>
                <w:rFonts w:hint="eastAsia"/>
                <w:b w:val="0"/>
                <w:bCs w:val="0"/>
                <w:highlight w:val="none"/>
                <w:lang w:eastAsia="zh-CN"/>
              </w:rPr>
              <w:t>（</w:t>
            </w:r>
            <w:r>
              <w:rPr>
                <w:rFonts w:hint="eastAsia"/>
                <w:b w:val="0"/>
                <w:bCs w:val="0"/>
                <w:highlight w:val="none"/>
              </w:rPr>
              <w:t>元）</w:t>
            </w:r>
          </w:p>
        </w:tc>
        <w:tc>
          <w:tcPr>
            <w:tcW w:w="954" w:type="dxa"/>
            <w:vMerge w:val="restart"/>
            <w:noWrap w:val="0"/>
            <w:vAlign w:val="center"/>
          </w:tcPr>
          <w:p w14:paraId="4E840F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eastAsia="宋体"/>
                <w:b w:val="0"/>
                <w:bCs w:val="0"/>
                <w:highlight w:val="none"/>
              </w:rPr>
              <w:t xml:space="preserve">人  均          </w:t>
            </w:r>
            <w:r>
              <w:rPr>
                <w:rFonts w:hint="eastAsia"/>
                <w:b w:val="0"/>
                <w:bCs w:val="0"/>
                <w:highlight w:val="none"/>
              </w:rPr>
              <w:t xml:space="preserve">     </w:t>
            </w:r>
            <w:r>
              <w:rPr>
                <w:rFonts w:hint="eastAsia" w:eastAsia="宋体"/>
                <w:b w:val="0"/>
                <w:bCs w:val="0"/>
                <w:highlight w:val="none"/>
              </w:rPr>
              <w:t xml:space="preserve">综合用水量         </w:t>
            </w:r>
            <w:r>
              <w:rPr>
                <w:rFonts w:hint="eastAsia"/>
                <w:b w:val="0"/>
                <w:bCs w:val="0"/>
                <w:highlight w:val="none"/>
              </w:rPr>
              <w:t xml:space="preserve">  </w:t>
            </w:r>
            <w:r>
              <w:rPr>
                <w:rFonts w:hint="eastAsia"/>
                <w:b w:val="0"/>
                <w:bCs w:val="0"/>
                <w:highlight w:val="none"/>
                <w:lang w:eastAsia="zh-CN"/>
              </w:rPr>
              <w:t>（</w:t>
            </w:r>
            <w:r>
              <w:rPr>
                <w:rFonts w:hint="eastAsia"/>
                <w:b w:val="0"/>
                <w:bCs w:val="0"/>
                <w:highlight w:val="none"/>
              </w:rPr>
              <w:t>立方米</w:t>
            </w:r>
            <w:r>
              <w:rPr>
                <w:rFonts w:hint="eastAsia"/>
                <w:b w:val="0"/>
                <w:bCs w:val="0"/>
                <w:highlight w:val="none"/>
                <w:lang w:eastAsia="zh-CN"/>
              </w:rPr>
              <w:t>）</w:t>
            </w:r>
          </w:p>
        </w:tc>
        <w:tc>
          <w:tcPr>
            <w:tcW w:w="945" w:type="dxa"/>
            <w:vMerge w:val="restart"/>
            <w:noWrap w:val="0"/>
            <w:vAlign w:val="center"/>
          </w:tcPr>
          <w:p w14:paraId="17705C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eastAsia="宋体"/>
                <w:b w:val="0"/>
                <w:bCs w:val="0"/>
                <w:highlight w:val="none"/>
              </w:rPr>
              <w:t xml:space="preserve">万元GDP  </w:t>
            </w:r>
            <w:r>
              <w:rPr>
                <w:rFonts w:hint="eastAsia"/>
                <w:b w:val="0"/>
                <w:bCs w:val="0"/>
                <w:highlight w:val="none"/>
              </w:rPr>
              <w:t xml:space="preserve"> </w:t>
            </w:r>
            <w:r>
              <w:rPr>
                <w:rFonts w:hint="eastAsia" w:eastAsia="宋体"/>
                <w:b w:val="0"/>
                <w:bCs w:val="0"/>
                <w:highlight w:val="none"/>
              </w:rPr>
              <w:t xml:space="preserve">  用水量  </w:t>
            </w:r>
            <w:r>
              <w:rPr>
                <w:rFonts w:hint="eastAsia"/>
                <w:b w:val="0"/>
                <w:bCs w:val="0"/>
                <w:highlight w:val="none"/>
              </w:rPr>
              <w:t xml:space="preserve">  （立方米）</w:t>
            </w:r>
          </w:p>
        </w:tc>
        <w:tc>
          <w:tcPr>
            <w:tcW w:w="1625" w:type="dxa"/>
            <w:gridSpan w:val="2"/>
            <w:noWrap w:val="0"/>
            <w:vAlign w:val="center"/>
          </w:tcPr>
          <w:p w14:paraId="37E318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万元工业增加值</w:t>
            </w:r>
            <w:r>
              <w:rPr>
                <w:rFonts w:hint="eastAsia"/>
                <w:b w:val="0"/>
                <w:bCs w:val="0"/>
                <w:highlight w:val="none"/>
              </w:rPr>
              <w:br w:type="textWrapping"/>
            </w:r>
            <w:r>
              <w:rPr>
                <w:rFonts w:hint="eastAsia"/>
                <w:b w:val="0"/>
                <w:bCs w:val="0"/>
                <w:highlight w:val="none"/>
              </w:rPr>
              <w:t>用 水 量</w:t>
            </w:r>
            <w:r>
              <w:rPr>
                <w:rFonts w:hint="eastAsia"/>
                <w:b w:val="0"/>
                <w:bCs w:val="0"/>
                <w:highlight w:val="none"/>
              </w:rPr>
              <w:br w:type="textWrapping"/>
            </w:r>
            <w:r>
              <w:rPr>
                <w:rFonts w:hint="eastAsia"/>
                <w:b w:val="0"/>
                <w:bCs w:val="0"/>
                <w:highlight w:val="none"/>
              </w:rPr>
              <w:t>（立方米）</w:t>
            </w:r>
          </w:p>
        </w:tc>
        <w:tc>
          <w:tcPr>
            <w:tcW w:w="1101" w:type="dxa"/>
            <w:vMerge w:val="restart"/>
            <w:noWrap w:val="0"/>
            <w:vAlign w:val="center"/>
          </w:tcPr>
          <w:p w14:paraId="3FE459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 xml:space="preserve">农田实灌亩均用水量 </w:t>
            </w:r>
            <w:r>
              <w:rPr>
                <w:rFonts w:hint="eastAsia"/>
                <w:b w:val="0"/>
                <w:bCs w:val="0"/>
                <w:highlight w:val="none"/>
                <w:lang w:eastAsia="zh-CN"/>
              </w:rPr>
              <w:t>（</w:t>
            </w:r>
            <w:r>
              <w:rPr>
                <w:rFonts w:hint="eastAsia"/>
                <w:b w:val="0"/>
                <w:bCs w:val="0"/>
                <w:highlight w:val="none"/>
              </w:rPr>
              <w:t>立方米</w:t>
            </w:r>
            <w:r>
              <w:rPr>
                <w:rFonts w:hint="eastAsia"/>
                <w:b w:val="0"/>
                <w:bCs w:val="0"/>
                <w:highlight w:val="none"/>
                <w:lang w:eastAsia="zh-CN"/>
              </w:rPr>
              <w:t>）</w:t>
            </w:r>
          </w:p>
        </w:tc>
        <w:tc>
          <w:tcPr>
            <w:tcW w:w="1762" w:type="dxa"/>
            <w:gridSpan w:val="2"/>
            <w:noWrap w:val="0"/>
            <w:vAlign w:val="center"/>
          </w:tcPr>
          <w:p w14:paraId="55FB2C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eastAsia="宋体"/>
                <w:b w:val="0"/>
                <w:bCs w:val="0"/>
                <w:highlight w:val="none"/>
              </w:rPr>
              <w:t xml:space="preserve">居民生活          </w:t>
            </w:r>
            <w:r>
              <w:rPr>
                <w:rFonts w:hint="eastAsia"/>
                <w:b w:val="0"/>
                <w:bCs w:val="0"/>
                <w:highlight w:val="none"/>
              </w:rPr>
              <w:t xml:space="preserve">  人均用水量（升/日）</w:t>
            </w:r>
          </w:p>
        </w:tc>
      </w:tr>
      <w:tr w14:paraId="411E6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302" w:type="dxa"/>
            <w:vMerge w:val="continue"/>
            <w:noWrap w:val="0"/>
            <w:vAlign w:val="center"/>
          </w:tcPr>
          <w:p w14:paraId="604D50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27" w:type="dxa"/>
            <w:vMerge w:val="continue"/>
            <w:noWrap w:val="0"/>
            <w:vAlign w:val="center"/>
          </w:tcPr>
          <w:p w14:paraId="5D32B8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54" w:type="dxa"/>
            <w:vMerge w:val="continue"/>
            <w:noWrap w:val="0"/>
            <w:vAlign w:val="center"/>
          </w:tcPr>
          <w:p w14:paraId="784BFD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45" w:type="dxa"/>
            <w:vMerge w:val="continue"/>
            <w:noWrap w:val="0"/>
            <w:vAlign w:val="center"/>
          </w:tcPr>
          <w:p w14:paraId="592549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762" w:type="dxa"/>
            <w:noWrap w:val="0"/>
            <w:vAlign w:val="center"/>
          </w:tcPr>
          <w:p w14:paraId="750F2E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含火电</w:t>
            </w:r>
          </w:p>
        </w:tc>
        <w:tc>
          <w:tcPr>
            <w:tcW w:w="863" w:type="dxa"/>
            <w:noWrap w:val="0"/>
            <w:vAlign w:val="center"/>
          </w:tcPr>
          <w:p w14:paraId="5A8954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不含火电</w:t>
            </w:r>
          </w:p>
        </w:tc>
        <w:tc>
          <w:tcPr>
            <w:tcW w:w="1101" w:type="dxa"/>
            <w:vMerge w:val="continue"/>
            <w:noWrap w:val="0"/>
            <w:vAlign w:val="center"/>
          </w:tcPr>
          <w:p w14:paraId="335E76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18" w:type="dxa"/>
            <w:noWrap w:val="0"/>
            <w:vAlign w:val="center"/>
          </w:tcPr>
          <w:p w14:paraId="74BC5E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城镇</w:t>
            </w:r>
          </w:p>
        </w:tc>
        <w:tc>
          <w:tcPr>
            <w:tcW w:w="844" w:type="dxa"/>
            <w:noWrap w:val="0"/>
            <w:vAlign w:val="center"/>
          </w:tcPr>
          <w:p w14:paraId="302C8D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农村</w:t>
            </w:r>
          </w:p>
        </w:tc>
      </w:tr>
      <w:tr w14:paraId="40D99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302" w:type="dxa"/>
            <w:noWrap w:val="0"/>
            <w:vAlign w:val="center"/>
          </w:tcPr>
          <w:p w14:paraId="61109A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2015</w:t>
            </w:r>
          </w:p>
        </w:tc>
        <w:tc>
          <w:tcPr>
            <w:tcW w:w="927" w:type="dxa"/>
            <w:noWrap w:val="0"/>
            <w:vAlign w:val="center"/>
          </w:tcPr>
          <w:p w14:paraId="397E0C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24300</w:t>
            </w:r>
          </w:p>
        </w:tc>
        <w:tc>
          <w:tcPr>
            <w:tcW w:w="954" w:type="dxa"/>
            <w:noWrap w:val="0"/>
            <w:vAlign w:val="center"/>
          </w:tcPr>
          <w:p w14:paraId="454E09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2900</w:t>
            </w:r>
          </w:p>
        </w:tc>
        <w:tc>
          <w:tcPr>
            <w:tcW w:w="945" w:type="dxa"/>
            <w:noWrap w:val="0"/>
            <w:vAlign w:val="center"/>
          </w:tcPr>
          <w:p w14:paraId="70C017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4540</w:t>
            </w:r>
          </w:p>
        </w:tc>
        <w:tc>
          <w:tcPr>
            <w:tcW w:w="762" w:type="dxa"/>
            <w:noWrap w:val="0"/>
            <w:vAlign w:val="center"/>
          </w:tcPr>
          <w:p w14:paraId="571814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630</w:t>
            </w:r>
          </w:p>
        </w:tc>
        <w:tc>
          <w:tcPr>
            <w:tcW w:w="863" w:type="dxa"/>
            <w:noWrap w:val="0"/>
            <w:vAlign w:val="center"/>
          </w:tcPr>
          <w:p w14:paraId="6A41F2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94.2</w:t>
            </w:r>
          </w:p>
        </w:tc>
        <w:tc>
          <w:tcPr>
            <w:tcW w:w="1101" w:type="dxa"/>
            <w:noWrap w:val="0"/>
            <w:vAlign w:val="center"/>
          </w:tcPr>
          <w:p w14:paraId="42241D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1740</w:t>
            </w:r>
          </w:p>
        </w:tc>
        <w:tc>
          <w:tcPr>
            <w:tcW w:w="918" w:type="dxa"/>
            <w:noWrap w:val="0"/>
            <w:vAlign w:val="center"/>
          </w:tcPr>
          <w:p w14:paraId="433DC0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5.1</w:t>
            </w:r>
          </w:p>
        </w:tc>
        <w:tc>
          <w:tcPr>
            <w:tcW w:w="844" w:type="dxa"/>
            <w:noWrap w:val="0"/>
            <w:vAlign w:val="center"/>
          </w:tcPr>
          <w:p w14:paraId="75885D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250</w:t>
            </w:r>
          </w:p>
        </w:tc>
      </w:tr>
    </w:tbl>
    <w:p w14:paraId="31178E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Ansi="宋体" w:cs="宋体"/>
          <w:highlight w:val="none"/>
        </w:rPr>
      </w:pPr>
      <w:r>
        <w:rPr>
          <w:rFonts w:hint="eastAsia" w:hAnsi="宋体" w:cs="宋体"/>
          <w:highlight w:val="none"/>
        </w:rPr>
        <w:t>南雄市主要用水指标（2015年）</w:t>
      </w:r>
    </w:p>
    <w:p w14:paraId="024D2CF4">
      <w:pPr>
        <w:bidi w:val="0"/>
        <w:rPr>
          <w:rFonts w:hint="eastAsia"/>
          <w:highlight w:val="none"/>
        </w:rPr>
      </w:pPr>
      <w:r>
        <w:rPr>
          <w:rFonts w:hint="eastAsia"/>
          <w:highlight w:val="none"/>
        </w:rPr>
        <w:t>表13</w:t>
      </w:r>
    </w:p>
    <w:p w14:paraId="7BBF4B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南雄市水资源利用表（2015年）</w:t>
      </w:r>
    </w:p>
    <w:tbl>
      <w:tblPr>
        <w:tblStyle w:val="7"/>
        <w:tblpPr w:leftFromText="180" w:rightFromText="180" w:vertAnchor="text" w:horzAnchor="page" w:tblpX="1855" w:tblpY="652"/>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1428"/>
        <w:gridCol w:w="1317"/>
        <w:gridCol w:w="1364"/>
        <w:gridCol w:w="3334"/>
      </w:tblGrid>
      <w:tr w14:paraId="2BDA7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173" w:type="dxa"/>
            <w:noWrap w:val="0"/>
            <w:vAlign w:val="center"/>
          </w:tcPr>
          <w:p w14:paraId="76FEEE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年度</w:t>
            </w:r>
          </w:p>
        </w:tc>
        <w:tc>
          <w:tcPr>
            <w:tcW w:w="1428" w:type="dxa"/>
            <w:noWrap w:val="0"/>
            <w:vAlign w:val="center"/>
          </w:tcPr>
          <w:p w14:paraId="005F31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降水量</w:t>
            </w:r>
            <w:r>
              <w:rPr>
                <w:rFonts w:hint="eastAsia"/>
                <w:highlight w:val="none"/>
              </w:rPr>
              <w:br w:type="textWrapping"/>
            </w:r>
            <w:r>
              <w:rPr>
                <w:rFonts w:hint="eastAsia"/>
                <w:highlight w:val="none"/>
              </w:rPr>
              <w:t>（亿立方米）</w:t>
            </w:r>
          </w:p>
        </w:tc>
        <w:tc>
          <w:tcPr>
            <w:tcW w:w="1317" w:type="dxa"/>
            <w:noWrap w:val="0"/>
            <w:vAlign w:val="center"/>
          </w:tcPr>
          <w:p w14:paraId="41BFAF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水资源量</w:t>
            </w:r>
            <w:r>
              <w:rPr>
                <w:rFonts w:hint="eastAsia"/>
                <w:highlight w:val="none"/>
              </w:rPr>
              <w:br w:type="textWrapping"/>
            </w:r>
            <w:r>
              <w:rPr>
                <w:rFonts w:hint="eastAsia"/>
                <w:highlight w:val="none"/>
              </w:rPr>
              <w:t>（亿立方米）</w:t>
            </w:r>
          </w:p>
        </w:tc>
        <w:tc>
          <w:tcPr>
            <w:tcW w:w="1364" w:type="dxa"/>
            <w:noWrap w:val="0"/>
            <w:vAlign w:val="center"/>
          </w:tcPr>
          <w:p w14:paraId="3073CF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eastAsia="宋体"/>
                <w:b/>
                <w:highlight w:val="none"/>
              </w:rPr>
              <w:t xml:space="preserve">用水量           </w:t>
            </w:r>
            <w:r>
              <w:rPr>
                <w:rFonts w:hint="eastAsia"/>
                <w:highlight w:val="none"/>
              </w:rPr>
              <w:t xml:space="preserve">   （亿立方米）</w:t>
            </w:r>
          </w:p>
        </w:tc>
        <w:tc>
          <w:tcPr>
            <w:tcW w:w="3334" w:type="dxa"/>
            <w:noWrap w:val="0"/>
            <w:vAlign w:val="center"/>
          </w:tcPr>
          <w:p w14:paraId="2C900A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水资源利用率</w:t>
            </w:r>
            <w:r>
              <w:rPr>
                <w:rFonts w:hint="eastAsia"/>
                <w:highlight w:val="none"/>
              </w:rPr>
              <w:br w:type="textWrapping"/>
            </w:r>
            <w:r>
              <w:rPr>
                <w:rFonts w:hint="eastAsia"/>
                <w:highlight w:val="none"/>
              </w:rPr>
              <w:t>（%）</w:t>
            </w:r>
          </w:p>
        </w:tc>
      </w:tr>
      <w:tr w14:paraId="0D4C2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173" w:type="dxa"/>
            <w:noWrap w:val="0"/>
            <w:vAlign w:val="center"/>
          </w:tcPr>
          <w:p w14:paraId="716FC1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2015</w:t>
            </w:r>
          </w:p>
        </w:tc>
        <w:tc>
          <w:tcPr>
            <w:tcW w:w="1428" w:type="dxa"/>
            <w:noWrap w:val="0"/>
            <w:vAlign w:val="center"/>
          </w:tcPr>
          <w:p w14:paraId="277691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39.98</w:t>
            </w:r>
          </w:p>
        </w:tc>
        <w:tc>
          <w:tcPr>
            <w:tcW w:w="1317" w:type="dxa"/>
            <w:noWrap w:val="0"/>
            <w:vAlign w:val="center"/>
          </w:tcPr>
          <w:p w14:paraId="529BFD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26.75</w:t>
            </w:r>
          </w:p>
        </w:tc>
        <w:tc>
          <w:tcPr>
            <w:tcW w:w="1364" w:type="dxa"/>
            <w:noWrap w:val="0"/>
            <w:vAlign w:val="center"/>
          </w:tcPr>
          <w:p w14:paraId="5A66B3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3.436</w:t>
            </w:r>
          </w:p>
        </w:tc>
        <w:tc>
          <w:tcPr>
            <w:tcW w:w="3334" w:type="dxa"/>
            <w:noWrap w:val="0"/>
            <w:vAlign w:val="center"/>
          </w:tcPr>
          <w:p w14:paraId="3840DF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15.8</w:t>
            </w:r>
          </w:p>
        </w:tc>
      </w:tr>
    </w:tbl>
    <w:p w14:paraId="50A6BDF4">
      <w:pPr>
        <w:bidi w:val="0"/>
        <w:rPr>
          <w:rFonts w:hint="eastAsia"/>
          <w:highlight w:val="none"/>
        </w:rPr>
      </w:pPr>
      <w:r>
        <w:rPr>
          <w:rFonts w:hint="eastAsia"/>
          <w:highlight w:val="none"/>
        </w:rPr>
        <w:t>表14</w:t>
      </w:r>
    </w:p>
    <w:p w14:paraId="5D6165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highlight w:val="none"/>
        </w:rPr>
      </w:pPr>
      <w:r>
        <w:rPr>
          <w:rFonts w:hint="eastAsia"/>
          <w:highlight w:val="none"/>
        </w:rPr>
        <w:t>南雄市水库蓄水动态（2015年</w:t>
      </w:r>
      <w:r>
        <w:rPr>
          <w:rFonts w:hint="eastAsia"/>
          <w:b/>
          <w:highlight w:val="none"/>
        </w:rPr>
        <w:t>）</w:t>
      </w:r>
    </w:p>
    <w:p w14:paraId="2153BB90">
      <w:pPr>
        <w:bidi w:val="0"/>
        <w:rPr>
          <w:rFonts w:hint="eastAsia"/>
          <w:highlight w:val="none"/>
        </w:rPr>
      </w:pPr>
      <w:r>
        <w:rPr>
          <w:rFonts w:hint="eastAsia"/>
          <w:b/>
          <w:highlight w:val="none"/>
        </w:rPr>
        <w:t xml:space="preserve">表15                                                   </w:t>
      </w:r>
      <w:r>
        <w:rPr>
          <w:rFonts w:hint="eastAsia"/>
          <w:highlight w:val="none"/>
        </w:rPr>
        <w:t xml:space="preserve">    单位：万立方米</w:t>
      </w:r>
    </w:p>
    <w:tbl>
      <w:tblPr>
        <w:tblStyle w:val="7"/>
        <w:tblW w:w="5000" w:type="pct"/>
        <w:jc w:val="center"/>
        <w:tblLayout w:type="fixed"/>
        <w:tblCellMar>
          <w:top w:w="0" w:type="dxa"/>
          <w:left w:w="108" w:type="dxa"/>
          <w:bottom w:w="0" w:type="dxa"/>
          <w:right w:w="108" w:type="dxa"/>
        </w:tblCellMar>
      </w:tblPr>
      <w:tblGrid>
        <w:gridCol w:w="1229"/>
        <w:gridCol w:w="568"/>
        <w:gridCol w:w="553"/>
        <w:gridCol w:w="598"/>
        <w:gridCol w:w="598"/>
        <w:gridCol w:w="897"/>
        <w:gridCol w:w="748"/>
        <w:gridCol w:w="748"/>
        <w:gridCol w:w="927"/>
        <w:gridCol w:w="748"/>
        <w:gridCol w:w="1002"/>
      </w:tblGrid>
      <w:tr w14:paraId="5D9B4623">
        <w:tblPrEx>
          <w:tblCellMar>
            <w:top w:w="0" w:type="dxa"/>
            <w:left w:w="108" w:type="dxa"/>
            <w:bottom w:w="0" w:type="dxa"/>
            <w:right w:w="108" w:type="dxa"/>
          </w:tblCellMar>
        </w:tblPrEx>
        <w:trPr>
          <w:trHeight w:val="780" w:hRule="atLeast"/>
          <w:jc w:val="center"/>
        </w:trPr>
        <w:tc>
          <w:tcPr>
            <w:tcW w:w="1565" w:type="dxa"/>
            <w:vMerge w:val="restart"/>
            <w:tcBorders>
              <w:top w:val="single" w:color="auto" w:sz="4" w:space="0"/>
              <w:left w:val="single" w:color="auto" w:sz="4" w:space="0"/>
              <w:bottom w:val="single" w:color="auto" w:sz="4" w:space="0"/>
              <w:right w:val="single" w:color="auto" w:sz="4" w:space="0"/>
            </w:tcBorders>
            <w:noWrap w:val="0"/>
            <w:vAlign w:val="center"/>
          </w:tcPr>
          <w:p w14:paraId="159969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年度</w:t>
            </w:r>
          </w:p>
        </w:tc>
        <w:tc>
          <w:tcPr>
            <w:tcW w:w="1340" w:type="dxa"/>
            <w:gridSpan w:val="2"/>
            <w:tcBorders>
              <w:top w:val="single" w:color="auto" w:sz="4" w:space="0"/>
              <w:left w:val="nil"/>
              <w:bottom w:val="single" w:color="auto" w:sz="4" w:space="0"/>
              <w:right w:val="single" w:color="auto" w:sz="4" w:space="0"/>
            </w:tcBorders>
            <w:noWrap w:val="0"/>
            <w:vAlign w:val="center"/>
          </w:tcPr>
          <w:p w14:paraId="6773FB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水库座数</w:t>
            </w:r>
          </w:p>
        </w:tc>
        <w:tc>
          <w:tcPr>
            <w:tcW w:w="1440" w:type="dxa"/>
            <w:gridSpan w:val="2"/>
            <w:tcBorders>
              <w:top w:val="single" w:color="auto" w:sz="4" w:space="0"/>
              <w:left w:val="nil"/>
              <w:bottom w:val="single" w:color="auto" w:sz="4" w:space="0"/>
              <w:right w:val="single" w:color="auto" w:sz="4" w:space="0"/>
            </w:tcBorders>
            <w:noWrap w:val="0"/>
            <w:vAlign w:val="center"/>
          </w:tcPr>
          <w:p w14:paraId="37C04C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大型水库</w:t>
            </w:r>
          </w:p>
          <w:p w14:paraId="34AB40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蓄水量</w:t>
            </w:r>
          </w:p>
        </w:tc>
        <w:tc>
          <w:tcPr>
            <w:tcW w:w="1120" w:type="dxa"/>
            <w:vMerge w:val="restart"/>
            <w:tcBorders>
              <w:top w:val="single" w:color="auto" w:sz="4" w:space="0"/>
              <w:left w:val="single" w:color="auto" w:sz="4" w:space="0"/>
              <w:bottom w:val="single" w:color="auto" w:sz="4" w:space="0"/>
              <w:right w:val="single" w:color="auto" w:sz="4" w:space="0"/>
            </w:tcBorders>
            <w:noWrap w:val="0"/>
            <w:vAlign w:val="center"/>
          </w:tcPr>
          <w:p w14:paraId="7FC832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大型水库</w:t>
            </w:r>
            <w:r>
              <w:rPr>
                <w:rFonts w:hint="eastAsia"/>
                <w:b w:val="0"/>
                <w:bCs w:val="0"/>
                <w:highlight w:val="none"/>
              </w:rPr>
              <w:br w:type="textWrapping"/>
            </w:r>
            <w:r>
              <w:rPr>
                <w:rFonts w:hint="eastAsia"/>
                <w:b w:val="0"/>
                <w:bCs w:val="0"/>
                <w:highlight w:val="none"/>
              </w:rPr>
              <w:t>年蓄水</w:t>
            </w:r>
          </w:p>
          <w:p w14:paraId="44BFC3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变 量</w:t>
            </w:r>
          </w:p>
        </w:tc>
        <w:tc>
          <w:tcPr>
            <w:tcW w:w="1840" w:type="dxa"/>
            <w:gridSpan w:val="2"/>
            <w:tcBorders>
              <w:top w:val="single" w:color="auto" w:sz="4" w:space="0"/>
              <w:left w:val="nil"/>
              <w:bottom w:val="single" w:color="auto" w:sz="4" w:space="0"/>
              <w:right w:val="single" w:color="auto" w:sz="4" w:space="0"/>
            </w:tcBorders>
            <w:noWrap w:val="0"/>
            <w:vAlign w:val="center"/>
          </w:tcPr>
          <w:p w14:paraId="7728CE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中型水库蓄水量</w:t>
            </w:r>
          </w:p>
        </w:tc>
        <w:tc>
          <w:tcPr>
            <w:tcW w:w="1160" w:type="dxa"/>
            <w:vMerge w:val="restart"/>
            <w:tcBorders>
              <w:top w:val="single" w:color="auto" w:sz="4" w:space="0"/>
              <w:left w:val="single" w:color="auto" w:sz="4" w:space="0"/>
              <w:bottom w:val="single" w:color="auto" w:sz="4" w:space="0"/>
              <w:right w:val="single" w:color="auto" w:sz="4" w:space="0"/>
            </w:tcBorders>
            <w:noWrap w:val="0"/>
            <w:vAlign w:val="center"/>
          </w:tcPr>
          <w:p w14:paraId="3CBAFA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中型水库</w:t>
            </w:r>
            <w:r>
              <w:rPr>
                <w:rFonts w:hint="eastAsia"/>
                <w:b w:val="0"/>
                <w:bCs w:val="0"/>
                <w:highlight w:val="none"/>
              </w:rPr>
              <w:br w:type="textWrapping"/>
            </w:r>
            <w:r>
              <w:rPr>
                <w:rFonts w:hint="eastAsia"/>
                <w:b w:val="0"/>
                <w:bCs w:val="0"/>
                <w:highlight w:val="none"/>
              </w:rPr>
              <w:t>年蓄水</w:t>
            </w:r>
          </w:p>
          <w:p w14:paraId="542283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变 量</w:t>
            </w:r>
          </w:p>
        </w:tc>
        <w:tc>
          <w:tcPr>
            <w:tcW w:w="2180" w:type="dxa"/>
            <w:gridSpan w:val="2"/>
            <w:tcBorders>
              <w:top w:val="single" w:color="auto" w:sz="4" w:space="0"/>
              <w:left w:val="nil"/>
              <w:bottom w:val="single" w:color="auto" w:sz="4" w:space="0"/>
              <w:right w:val="single" w:color="auto" w:sz="4" w:space="0"/>
            </w:tcBorders>
            <w:noWrap w:val="0"/>
            <w:vAlign w:val="center"/>
          </w:tcPr>
          <w:p w14:paraId="0C3F06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合   计</w:t>
            </w:r>
          </w:p>
        </w:tc>
      </w:tr>
      <w:tr w14:paraId="427BF05C">
        <w:tblPrEx>
          <w:tblCellMar>
            <w:top w:w="0" w:type="dxa"/>
            <w:left w:w="108" w:type="dxa"/>
            <w:bottom w:w="0" w:type="dxa"/>
            <w:right w:w="108" w:type="dxa"/>
          </w:tblCellMar>
        </w:tblPrEx>
        <w:trPr>
          <w:trHeight w:val="402" w:hRule="atLeast"/>
          <w:jc w:val="center"/>
        </w:trPr>
        <w:tc>
          <w:tcPr>
            <w:tcW w:w="1565" w:type="dxa"/>
            <w:vMerge w:val="continue"/>
            <w:tcBorders>
              <w:top w:val="single" w:color="auto" w:sz="4" w:space="0"/>
              <w:left w:val="single" w:color="auto" w:sz="4" w:space="0"/>
              <w:bottom w:val="single" w:color="auto" w:sz="4" w:space="0"/>
              <w:right w:val="single" w:color="auto" w:sz="4" w:space="0"/>
            </w:tcBorders>
            <w:noWrap w:val="0"/>
            <w:vAlign w:val="center"/>
          </w:tcPr>
          <w:p w14:paraId="1285DF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680" w:type="dxa"/>
            <w:tcBorders>
              <w:top w:val="nil"/>
              <w:left w:val="nil"/>
              <w:bottom w:val="single" w:color="auto" w:sz="4" w:space="0"/>
              <w:right w:val="single" w:color="auto" w:sz="4" w:space="0"/>
            </w:tcBorders>
            <w:noWrap w:val="0"/>
            <w:vAlign w:val="center"/>
          </w:tcPr>
          <w:p w14:paraId="44D1B9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大型</w:t>
            </w:r>
          </w:p>
        </w:tc>
        <w:tc>
          <w:tcPr>
            <w:tcW w:w="660" w:type="dxa"/>
            <w:tcBorders>
              <w:top w:val="nil"/>
              <w:left w:val="nil"/>
              <w:bottom w:val="single" w:color="auto" w:sz="4" w:space="0"/>
              <w:right w:val="single" w:color="auto" w:sz="4" w:space="0"/>
            </w:tcBorders>
            <w:noWrap w:val="0"/>
            <w:vAlign w:val="center"/>
          </w:tcPr>
          <w:p w14:paraId="1B1F21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中型</w:t>
            </w:r>
          </w:p>
        </w:tc>
        <w:tc>
          <w:tcPr>
            <w:tcW w:w="720" w:type="dxa"/>
            <w:tcBorders>
              <w:top w:val="nil"/>
              <w:left w:val="nil"/>
              <w:bottom w:val="single" w:color="auto" w:sz="4" w:space="0"/>
              <w:right w:val="single" w:color="auto" w:sz="4" w:space="0"/>
            </w:tcBorders>
            <w:noWrap w:val="0"/>
            <w:vAlign w:val="center"/>
          </w:tcPr>
          <w:p w14:paraId="2312F2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上年末</w:t>
            </w:r>
          </w:p>
        </w:tc>
        <w:tc>
          <w:tcPr>
            <w:tcW w:w="720" w:type="dxa"/>
            <w:tcBorders>
              <w:top w:val="nil"/>
              <w:left w:val="nil"/>
              <w:bottom w:val="single" w:color="auto" w:sz="4" w:space="0"/>
              <w:right w:val="single" w:color="auto" w:sz="4" w:space="0"/>
            </w:tcBorders>
            <w:noWrap w:val="0"/>
            <w:vAlign w:val="center"/>
          </w:tcPr>
          <w:p w14:paraId="367B6B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当年末</w:t>
            </w:r>
          </w:p>
        </w:tc>
        <w:tc>
          <w:tcPr>
            <w:tcW w:w="1120" w:type="dxa"/>
            <w:vMerge w:val="continue"/>
            <w:tcBorders>
              <w:top w:val="single" w:color="auto" w:sz="4" w:space="0"/>
              <w:left w:val="single" w:color="auto" w:sz="4" w:space="0"/>
              <w:bottom w:val="single" w:color="auto" w:sz="4" w:space="0"/>
              <w:right w:val="single" w:color="auto" w:sz="4" w:space="0"/>
            </w:tcBorders>
            <w:noWrap w:val="0"/>
            <w:vAlign w:val="center"/>
          </w:tcPr>
          <w:p w14:paraId="2FCA99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20" w:type="dxa"/>
            <w:tcBorders>
              <w:top w:val="nil"/>
              <w:left w:val="nil"/>
              <w:bottom w:val="single" w:color="auto" w:sz="4" w:space="0"/>
              <w:right w:val="single" w:color="auto" w:sz="4" w:space="0"/>
            </w:tcBorders>
            <w:noWrap w:val="0"/>
            <w:vAlign w:val="center"/>
          </w:tcPr>
          <w:p w14:paraId="22FEC0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上年末</w:t>
            </w:r>
          </w:p>
        </w:tc>
        <w:tc>
          <w:tcPr>
            <w:tcW w:w="920" w:type="dxa"/>
            <w:tcBorders>
              <w:top w:val="nil"/>
              <w:left w:val="nil"/>
              <w:bottom w:val="single" w:color="auto" w:sz="4" w:space="0"/>
              <w:right w:val="single" w:color="auto" w:sz="4" w:space="0"/>
            </w:tcBorders>
            <w:noWrap w:val="0"/>
            <w:vAlign w:val="center"/>
          </w:tcPr>
          <w:p w14:paraId="4AADB5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当年末</w:t>
            </w:r>
          </w:p>
        </w:tc>
        <w:tc>
          <w:tcPr>
            <w:tcW w:w="1160" w:type="dxa"/>
            <w:vMerge w:val="continue"/>
            <w:tcBorders>
              <w:top w:val="single" w:color="auto" w:sz="4" w:space="0"/>
              <w:left w:val="single" w:color="auto" w:sz="4" w:space="0"/>
              <w:bottom w:val="single" w:color="auto" w:sz="4" w:space="0"/>
              <w:right w:val="single" w:color="auto" w:sz="4" w:space="0"/>
            </w:tcBorders>
            <w:noWrap w:val="0"/>
            <w:vAlign w:val="center"/>
          </w:tcPr>
          <w:p w14:paraId="229A37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20" w:type="dxa"/>
            <w:tcBorders>
              <w:top w:val="nil"/>
              <w:left w:val="nil"/>
              <w:bottom w:val="single" w:color="auto" w:sz="4" w:space="0"/>
              <w:right w:val="single" w:color="auto" w:sz="4" w:space="0"/>
            </w:tcBorders>
            <w:noWrap w:val="0"/>
            <w:vAlign w:val="center"/>
          </w:tcPr>
          <w:p w14:paraId="7EE86D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年蓄</w:t>
            </w:r>
          </w:p>
          <w:p w14:paraId="1AC1E1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水量</w:t>
            </w:r>
          </w:p>
        </w:tc>
        <w:tc>
          <w:tcPr>
            <w:tcW w:w="1260" w:type="dxa"/>
            <w:tcBorders>
              <w:top w:val="nil"/>
              <w:left w:val="nil"/>
              <w:bottom w:val="single" w:color="auto" w:sz="4" w:space="0"/>
              <w:right w:val="single" w:color="auto" w:sz="4" w:space="0"/>
            </w:tcBorders>
            <w:noWrap w:val="0"/>
            <w:vAlign w:val="center"/>
          </w:tcPr>
          <w:p w14:paraId="024873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年蓄水变量</w:t>
            </w:r>
          </w:p>
        </w:tc>
      </w:tr>
      <w:tr w14:paraId="430208D7">
        <w:tblPrEx>
          <w:tblCellMar>
            <w:top w:w="0" w:type="dxa"/>
            <w:left w:w="108" w:type="dxa"/>
            <w:bottom w:w="0" w:type="dxa"/>
            <w:right w:w="108" w:type="dxa"/>
          </w:tblCellMar>
        </w:tblPrEx>
        <w:trPr>
          <w:trHeight w:val="402" w:hRule="atLeast"/>
          <w:jc w:val="center"/>
        </w:trPr>
        <w:tc>
          <w:tcPr>
            <w:tcW w:w="1565" w:type="dxa"/>
            <w:tcBorders>
              <w:top w:val="nil"/>
              <w:left w:val="single" w:color="auto" w:sz="4" w:space="0"/>
              <w:bottom w:val="single" w:color="auto" w:sz="4" w:space="0"/>
              <w:right w:val="single" w:color="auto" w:sz="4" w:space="0"/>
            </w:tcBorders>
            <w:noWrap w:val="0"/>
            <w:vAlign w:val="center"/>
          </w:tcPr>
          <w:p w14:paraId="254EA9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2015</w:t>
            </w:r>
          </w:p>
        </w:tc>
        <w:tc>
          <w:tcPr>
            <w:tcW w:w="680" w:type="dxa"/>
            <w:tcBorders>
              <w:top w:val="nil"/>
              <w:left w:val="nil"/>
              <w:bottom w:val="single" w:color="auto" w:sz="4" w:space="0"/>
              <w:right w:val="single" w:color="auto" w:sz="4" w:space="0"/>
            </w:tcBorders>
            <w:noWrap w:val="0"/>
            <w:vAlign w:val="center"/>
          </w:tcPr>
          <w:p w14:paraId="6466C0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660" w:type="dxa"/>
            <w:tcBorders>
              <w:top w:val="nil"/>
              <w:left w:val="nil"/>
              <w:bottom w:val="single" w:color="auto" w:sz="4" w:space="0"/>
              <w:right w:val="single" w:color="auto" w:sz="4" w:space="0"/>
            </w:tcBorders>
            <w:noWrap w:val="0"/>
            <w:vAlign w:val="center"/>
          </w:tcPr>
          <w:p w14:paraId="17AD24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6</w:t>
            </w:r>
          </w:p>
        </w:tc>
        <w:tc>
          <w:tcPr>
            <w:tcW w:w="720" w:type="dxa"/>
            <w:tcBorders>
              <w:top w:val="nil"/>
              <w:left w:val="nil"/>
              <w:bottom w:val="single" w:color="auto" w:sz="4" w:space="0"/>
              <w:right w:val="single" w:color="auto" w:sz="4" w:space="0"/>
            </w:tcBorders>
            <w:noWrap w:val="0"/>
            <w:vAlign w:val="center"/>
          </w:tcPr>
          <w:p w14:paraId="3E9C8A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720" w:type="dxa"/>
            <w:tcBorders>
              <w:top w:val="nil"/>
              <w:left w:val="nil"/>
              <w:bottom w:val="single" w:color="auto" w:sz="4" w:space="0"/>
              <w:right w:val="single" w:color="auto" w:sz="4" w:space="0"/>
            </w:tcBorders>
            <w:noWrap w:val="0"/>
            <w:vAlign w:val="center"/>
          </w:tcPr>
          <w:p w14:paraId="4FB501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1120" w:type="dxa"/>
            <w:tcBorders>
              <w:top w:val="nil"/>
              <w:left w:val="nil"/>
              <w:bottom w:val="single" w:color="auto" w:sz="4" w:space="0"/>
              <w:right w:val="single" w:color="auto" w:sz="4" w:space="0"/>
            </w:tcBorders>
            <w:noWrap w:val="0"/>
            <w:vAlign w:val="center"/>
          </w:tcPr>
          <w:p w14:paraId="443650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p>
        </w:tc>
        <w:tc>
          <w:tcPr>
            <w:tcW w:w="920" w:type="dxa"/>
            <w:tcBorders>
              <w:top w:val="nil"/>
              <w:left w:val="nil"/>
              <w:bottom w:val="single" w:color="auto" w:sz="4" w:space="0"/>
              <w:right w:val="single" w:color="auto" w:sz="4" w:space="0"/>
            </w:tcBorders>
            <w:noWrap w:val="0"/>
            <w:vAlign w:val="center"/>
          </w:tcPr>
          <w:p w14:paraId="11CB32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6054</w:t>
            </w:r>
          </w:p>
        </w:tc>
        <w:tc>
          <w:tcPr>
            <w:tcW w:w="920" w:type="dxa"/>
            <w:tcBorders>
              <w:top w:val="nil"/>
              <w:left w:val="nil"/>
              <w:bottom w:val="single" w:color="auto" w:sz="4" w:space="0"/>
              <w:right w:val="single" w:color="auto" w:sz="4" w:space="0"/>
            </w:tcBorders>
            <w:noWrap w:val="0"/>
            <w:vAlign w:val="center"/>
          </w:tcPr>
          <w:p w14:paraId="667570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9180</w:t>
            </w:r>
          </w:p>
        </w:tc>
        <w:tc>
          <w:tcPr>
            <w:tcW w:w="1160" w:type="dxa"/>
            <w:tcBorders>
              <w:top w:val="nil"/>
              <w:left w:val="nil"/>
              <w:bottom w:val="single" w:color="auto" w:sz="4" w:space="0"/>
              <w:right w:val="single" w:color="auto" w:sz="4" w:space="0"/>
            </w:tcBorders>
            <w:noWrap w:val="0"/>
            <w:vAlign w:val="center"/>
          </w:tcPr>
          <w:p w14:paraId="2CA82F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3126</w:t>
            </w:r>
          </w:p>
        </w:tc>
        <w:tc>
          <w:tcPr>
            <w:tcW w:w="920" w:type="dxa"/>
            <w:tcBorders>
              <w:top w:val="nil"/>
              <w:left w:val="nil"/>
              <w:bottom w:val="single" w:color="auto" w:sz="4" w:space="0"/>
              <w:right w:val="single" w:color="auto" w:sz="4" w:space="0"/>
            </w:tcBorders>
            <w:noWrap w:val="0"/>
            <w:vAlign w:val="center"/>
          </w:tcPr>
          <w:p w14:paraId="57A90C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9180</w:t>
            </w:r>
          </w:p>
        </w:tc>
        <w:tc>
          <w:tcPr>
            <w:tcW w:w="1260" w:type="dxa"/>
            <w:tcBorders>
              <w:top w:val="nil"/>
              <w:left w:val="nil"/>
              <w:bottom w:val="single" w:color="auto" w:sz="4" w:space="0"/>
              <w:right w:val="single" w:color="auto" w:sz="4" w:space="0"/>
            </w:tcBorders>
            <w:noWrap w:val="0"/>
            <w:vAlign w:val="center"/>
          </w:tcPr>
          <w:p w14:paraId="76D9C1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3126</w:t>
            </w:r>
          </w:p>
        </w:tc>
      </w:tr>
    </w:tbl>
    <w:p w14:paraId="463898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韶关水文分局管辖的降水量站点一览表（南雄部分）</w:t>
      </w:r>
    </w:p>
    <w:tbl>
      <w:tblPr>
        <w:tblStyle w:val="7"/>
        <w:tblpPr w:leftFromText="180" w:rightFromText="180" w:vertAnchor="text" w:horzAnchor="page" w:tblpX="1730" w:tblpY="49"/>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583"/>
        <w:gridCol w:w="1330"/>
        <w:gridCol w:w="3264"/>
        <w:gridCol w:w="583"/>
        <w:gridCol w:w="1722"/>
      </w:tblGrid>
      <w:tr w14:paraId="2A906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134" w:type="dxa"/>
            <w:noWrap w:val="0"/>
            <w:vAlign w:val="center"/>
          </w:tcPr>
          <w:p w14:paraId="448B3D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水系</w:t>
            </w:r>
          </w:p>
        </w:tc>
        <w:tc>
          <w:tcPr>
            <w:tcW w:w="583" w:type="dxa"/>
            <w:noWrap w:val="0"/>
            <w:vAlign w:val="center"/>
          </w:tcPr>
          <w:p w14:paraId="187DF2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河名</w:t>
            </w:r>
          </w:p>
        </w:tc>
        <w:tc>
          <w:tcPr>
            <w:tcW w:w="1330" w:type="dxa"/>
            <w:noWrap w:val="0"/>
            <w:vAlign w:val="center"/>
          </w:tcPr>
          <w:p w14:paraId="29401B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流入何处</w:t>
            </w:r>
          </w:p>
        </w:tc>
        <w:tc>
          <w:tcPr>
            <w:tcW w:w="3264" w:type="dxa"/>
            <w:noWrap w:val="0"/>
            <w:vAlign w:val="center"/>
          </w:tcPr>
          <w:p w14:paraId="1910B7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站    名</w:t>
            </w:r>
          </w:p>
        </w:tc>
        <w:tc>
          <w:tcPr>
            <w:tcW w:w="583" w:type="dxa"/>
            <w:noWrap w:val="0"/>
            <w:vAlign w:val="center"/>
          </w:tcPr>
          <w:p w14:paraId="156A7C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站别</w:t>
            </w:r>
          </w:p>
        </w:tc>
        <w:tc>
          <w:tcPr>
            <w:tcW w:w="1722" w:type="dxa"/>
            <w:noWrap w:val="0"/>
            <w:vAlign w:val="center"/>
          </w:tcPr>
          <w:p w14:paraId="6FA4BB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备注</w:t>
            </w:r>
          </w:p>
        </w:tc>
      </w:tr>
      <w:tr w14:paraId="0E3FB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1134" w:type="dxa"/>
            <w:noWrap w:val="0"/>
            <w:vAlign w:val="center"/>
          </w:tcPr>
          <w:p w14:paraId="7BA8C1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583" w:type="dxa"/>
            <w:noWrap w:val="0"/>
            <w:vAlign w:val="center"/>
          </w:tcPr>
          <w:p w14:paraId="5C58E6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浈江</w:t>
            </w:r>
          </w:p>
        </w:tc>
        <w:tc>
          <w:tcPr>
            <w:tcW w:w="1330" w:type="dxa"/>
            <w:noWrap w:val="0"/>
            <w:vAlign w:val="center"/>
          </w:tcPr>
          <w:p w14:paraId="2E2DEC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珠江三角洲</w:t>
            </w:r>
          </w:p>
        </w:tc>
        <w:tc>
          <w:tcPr>
            <w:tcW w:w="3264" w:type="dxa"/>
            <w:noWrap w:val="0"/>
            <w:vAlign w:val="center"/>
          </w:tcPr>
          <w:p w14:paraId="2600EE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横江水库、乌迳、中坪水库、澜河、瀑布水库、百顺、水口、 雄州、孔江水库、大源水库、南埔</w:t>
            </w:r>
          </w:p>
        </w:tc>
        <w:tc>
          <w:tcPr>
            <w:tcW w:w="583" w:type="dxa"/>
            <w:noWrap w:val="0"/>
            <w:vAlign w:val="center"/>
          </w:tcPr>
          <w:p w14:paraId="1C5F1B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水文</w:t>
            </w:r>
          </w:p>
        </w:tc>
        <w:tc>
          <w:tcPr>
            <w:tcW w:w="1722" w:type="dxa"/>
            <w:noWrap w:val="0"/>
            <w:vAlign w:val="center"/>
          </w:tcPr>
          <w:p w14:paraId="765934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bl>
    <w:p w14:paraId="28F25DCA">
      <w:pPr>
        <w:bidi w:val="0"/>
        <w:rPr>
          <w:rFonts w:hint="eastAsia"/>
          <w:highlight w:val="none"/>
        </w:rPr>
      </w:pPr>
      <w:r>
        <w:rPr>
          <w:rFonts w:hint="eastAsia"/>
          <w:highlight w:val="none"/>
        </w:rPr>
        <w:t>表16</w:t>
      </w:r>
    </w:p>
    <w:p w14:paraId="0071F0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韶关市水环境监测水质监测站点一览表（南雄部分）</w:t>
      </w:r>
    </w:p>
    <w:p w14:paraId="24171BF9">
      <w:pPr>
        <w:bidi w:val="0"/>
        <w:rPr>
          <w:rFonts w:hint="eastAsia"/>
          <w:highlight w:val="none"/>
        </w:rPr>
      </w:pPr>
      <w:r>
        <w:rPr>
          <w:rFonts w:hint="eastAsia"/>
          <w:highlight w:val="none"/>
        </w:rPr>
        <w:t>表17</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693"/>
        <w:gridCol w:w="959"/>
        <w:gridCol w:w="959"/>
        <w:gridCol w:w="896"/>
        <w:gridCol w:w="3896"/>
      </w:tblGrid>
      <w:tr w14:paraId="39B20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213" w:type="dxa"/>
            <w:noWrap w:val="0"/>
            <w:vAlign w:val="center"/>
          </w:tcPr>
          <w:p w14:paraId="2CA0A0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水系</w:t>
            </w:r>
          </w:p>
        </w:tc>
        <w:tc>
          <w:tcPr>
            <w:tcW w:w="693" w:type="dxa"/>
            <w:noWrap w:val="0"/>
            <w:vAlign w:val="center"/>
          </w:tcPr>
          <w:p w14:paraId="123EF7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河名</w:t>
            </w:r>
          </w:p>
        </w:tc>
        <w:tc>
          <w:tcPr>
            <w:tcW w:w="959" w:type="dxa"/>
            <w:noWrap w:val="0"/>
            <w:vAlign w:val="center"/>
          </w:tcPr>
          <w:p w14:paraId="622745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流入何处</w:t>
            </w:r>
          </w:p>
        </w:tc>
        <w:tc>
          <w:tcPr>
            <w:tcW w:w="959" w:type="dxa"/>
            <w:noWrap w:val="0"/>
            <w:vAlign w:val="center"/>
          </w:tcPr>
          <w:p w14:paraId="4F43A3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站名</w:t>
            </w:r>
          </w:p>
        </w:tc>
        <w:tc>
          <w:tcPr>
            <w:tcW w:w="896" w:type="dxa"/>
            <w:noWrap w:val="0"/>
            <w:vAlign w:val="center"/>
          </w:tcPr>
          <w:p w14:paraId="37D2AB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站别</w:t>
            </w:r>
          </w:p>
        </w:tc>
        <w:tc>
          <w:tcPr>
            <w:tcW w:w="3896" w:type="dxa"/>
            <w:noWrap w:val="0"/>
            <w:vAlign w:val="center"/>
          </w:tcPr>
          <w:p w14:paraId="18757D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监测断面</w:t>
            </w:r>
          </w:p>
        </w:tc>
      </w:tr>
      <w:tr w14:paraId="76803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213" w:type="dxa"/>
            <w:noWrap w:val="0"/>
            <w:vAlign w:val="center"/>
          </w:tcPr>
          <w:p w14:paraId="143CBB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北江</w:t>
            </w:r>
          </w:p>
        </w:tc>
        <w:tc>
          <w:tcPr>
            <w:tcW w:w="693" w:type="dxa"/>
            <w:noWrap w:val="0"/>
            <w:vAlign w:val="center"/>
          </w:tcPr>
          <w:p w14:paraId="6CF550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浈江</w:t>
            </w:r>
          </w:p>
        </w:tc>
        <w:tc>
          <w:tcPr>
            <w:tcW w:w="959" w:type="dxa"/>
            <w:noWrap w:val="0"/>
            <w:vAlign w:val="center"/>
          </w:tcPr>
          <w:p w14:paraId="2ED173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珠江三角洲</w:t>
            </w:r>
          </w:p>
        </w:tc>
        <w:tc>
          <w:tcPr>
            <w:tcW w:w="959" w:type="dxa"/>
            <w:noWrap w:val="0"/>
            <w:vAlign w:val="center"/>
          </w:tcPr>
          <w:p w14:paraId="38FB7F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界址镇、瀑布水库</w:t>
            </w:r>
          </w:p>
        </w:tc>
        <w:tc>
          <w:tcPr>
            <w:tcW w:w="896" w:type="dxa"/>
            <w:noWrap w:val="0"/>
            <w:vAlign w:val="center"/>
          </w:tcPr>
          <w:p w14:paraId="365E23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水质监测</w:t>
            </w:r>
          </w:p>
        </w:tc>
        <w:tc>
          <w:tcPr>
            <w:tcW w:w="3896" w:type="dxa"/>
            <w:noWrap w:val="0"/>
            <w:vAlign w:val="center"/>
          </w:tcPr>
          <w:p w14:paraId="0465E2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河坪、判官塘、河南桥、凌江口、修仁、古市墟</w:t>
            </w:r>
          </w:p>
        </w:tc>
      </w:tr>
    </w:tbl>
    <w:p w14:paraId="19B1EE15">
      <w:pPr>
        <w:keepNext w:val="0"/>
        <w:keepLines w:val="0"/>
        <w:pageBreakBefore w:val="0"/>
        <w:widowControl w:val="0"/>
        <w:kinsoku/>
        <w:wordWrap/>
        <w:overflowPunct/>
        <w:topLinePunct w:val="0"/>
        <w:autoSpaceDE/>
        <w:autoSpaceDN/>
        <w:bidi w:val="0"/>
        <w:adjustRightInd/>
        <w:snapToGrid/>
        <w:ind w:firstLine="210" w:firstLineChars="100"/>
        <w:jc w:val="right"/>
        <w:textAlignment w:val="auto"/>
        <w:rPr>
          <w:rFonts w:hint="eastAsia" w:hAnsi="宋体" w:cs="宋体"/>
          <w:highlight w:val="none"/>
        </w:rPr>
      </w:pPr>
      <w:r>
        <w:rPr>
          <w:rFonts w:hint="eastAsia" w:hAnsi="宋体" w:cs="宋体"/>
          <w:highlight w:val="none"/>
        </w:rPr>
        <w:t>（李平）</w:t>
      </w:r>
    </w:p>
    <w:p w14:paraId="37CD9EDB">
      <w:pPr>
        <w:rPr>
          <w:rFonts w:hint="eastAsia" w:hAnsi="宋体" w:eastAsia="宋体" w:cs="宋体"/>
          <w:highlight w:val="none"/>
          <w:lang w:eastAsia="zh-CN"/>
        </w:rPr>
      </w:pPr>
      <w:r>
        <w:rPr>
          <w:rFonts w:hint="eastAsia" w:hAnsi="宋体" w:cs="宋体"/>
          <w:highlight w:val="none"/>
        </w:rPr>
        <w:t>附：2015年市水务局领导班子成员名单</w:t>
      </w:r>
    </w:p>
    <w:p w14:paraId="777A66C6">
      <w:pPr>
        <w:rPr>
          <w:rFonts w:hint="eastAsia" w:hAnsi="宋体" w:eastAsia="宋体" w:cs="宋体"/>
          <w:highlight w:val="none"/>
          <w:lang w:eastAsia="zh-CN"/>
        </w:rPr>
      </w:pPr>
      <w:r>
        <w:rPr>
          <w:rFonts w:hint="eastAsia" w:hAnsi="宋体" w:cs="宋体"/>
          <w:highlight w:val="none"/>
        </w:rPr>
        <w:t>党组书记、局长：严桂龙</w:t>
      </w:r>
    </w:p>
    <w:p w14:paraId="58B5E319">
      <w:pPr>
        <w:rPr>
          <w:rFonts w:hint="eastAsia" w:hAnsi="宋体" w:eastAsia="宋体" w:cs="宋体"/>
          <w:highlight w:val="none"/>
          <w:lang w:eastAsia="zh-CN"/>
        </w:rPr>
      </w:pPr>
      <w:r>
        <w:rPr>
          <w:rFonts w:hint="eastAsia" w:hAnsi="宋体" w:cs="宋体"/>
          <w:highlight w:val="none"/>
        </w:rPr>
        <w:t>副局长：巫钟晟何金生（任至8月）王绪育</w:t>
      </w:r>
    </w:p>
    <w:p w14:paraId="1F9034E9">
      <w:pPr>
        <w:rPr>
          <w:rFonts w:hint="eastAsia" w:hAnsi="宋体" w:cs="宋体"/>
          <w:highlight w:val="none"/>
        </w:rPr>
      </w:pPr>
      <w:r>
        <w:rPr>
          <w:rFonts w:hint="eastAsia" w:hAnsi="宋体" w:cs="宋体"/>
          <w:highlight w:val="none"/>
        </w:rPr>
        <w:t>纪检组长：龚甫团（任至8月）</w:t>
      </w:r>
    </w:p>
    <w:p w14:paraId="5336A064">
      <w:pPr>
        <w:rPr>
          <w:rFonts w:hint="eastAsia" w:hAnsi="宋体" w:cs="宋体"/>
          <w:highlight w:val="none"/>
        </w:rPr>
      </w:pPr>
      <w:r>
        <w:rPr>
          <w:rFonts w:hint="eastAsia" w:hAnsi="宋体" w:cs="宋体"/>
          <w:highlight w:val="none"/>
        </w:rPr>
        <w:t>邓德华（9月任至11月）</w:t>
      </w:r>
    </w:p>
    <w:p w14:paraId="2EC45509">
      <w:pPr>
        <w:rPr>
          <w:rFonts w:hint="eastAsia" w:hAnsi="宋体" w:eastAsia="宋体" w:cs="宋体"/>
          <w:highlight w:val="none"/>
          <w:lang w:eastAsia="zh-CN"/>
        </w:rPr>
      </w:pPr>
      <w:r>
        <w:rPr>
          <w:rFonts w:hint="eastAsia" w:hAnsi="宋体" w:cs="宋体"/>
          <w:highlight w:val="none"/>
        </w:rPr>
        <w:t>邓煜煜（12月任）</w:t>
      </w:r>
    </w:p>
    <w:p w14:paraId="0BC16DB7">
      <w:pPr>
        <w:rPr>
          <w:rFonts w:hint="eastAsia" w:hAnsi="宋体" w:eastAsia="宋体" w:cs="宋体"/>
          <w:highlight w:val="none"/>
          <w:lang w:eastAsia="zh-CN"/>
        </w:rPr>
      </w:pPr>
      <w:r>
        <w:rPr>
          <w:rFonts w:hint="eastAsia" w:hAnsi="宋体" w:cs="宋体"/>
          <w:highlight w:val="none"/>
        </w:rPr>
        <w:t>工委会主席：董圣水</w:t>
      </w:r>
    </w:p>
    <w:p w14:paraId="3084B6E9">
      <w:pPr>
        <w:pStyle w:val="3"/>
        <w:bidi w:val="0"/>
        <w:rPr>
          <w:rFonts w:hint="eastAsia"/>
          <w:highlight w:val="none"/>
        </w:rPr>
      </w:pPr>
      <w:r>
        <w:rPr>
          <w:rFonts w:hint="eastAsia"/>
          <w:highlight w:val="none"/>
        </w:rPr>
        <w:t>气象</w:t>
      </w:r>
    </w:p>
    <w:p w14:paraId="39D987DA">
      <w:pPr>
        <w:pStyle w:val="4"/>
        <w:bidi w:val="0"/>
        <w:rPr>
          <w:rFonts w:hint="eastAsia"/>
          <w:highlight w:val="none"/>
        </w:rPr>
      </w:pPr>
      <w:r>
        <w:rPr>
          <w:rFonts w:hint="eastAsia"/>
          <w:highlight w:val="none"/>
        </w:rPr>
        <w:t>【概况】</w:t>
      </w:r>
    </w:p>
    <w:p w14:paraId="6F9DA6B7">
      <w:pPr>
        <w:rPr>
          <w:rFonts w:hint="eastAsia" w:hAnsi="宋体" w:cs="宋体"/>
          <w:highlight w:val="none"/>
        </w:rPr>
      </w:pPr>
      <w:r>
        <w:rPr>
          <w:rFonts w:hint="eastAsia" w:hAnsi="宋体" w:cs="宋体"/>
          <w:highlight w:val="none"/>
        </w:rPr>
        <w:t>2015年平均气温20</w:t>
      </w:r>
      <w:r>
        <w:rPr>
          <w:rFonts w:hint="eastAsia" w:ascii="MingLiU_HKSCS" w:hAnsi="MingLiU_HKSCS" w:eastAsia="MingLiU_HKSCS" w:cs="MingLiU_HKSCS"/>
          <w:highlight w:val="none"/>
        </w:rPr>
        <w:t>.</w:t>
      </w:r>
      <w:r>
        <w:rPr>
          <w:rFonts w:hint="eastAsia" w:hAnsi="宋体" w:cs="宋体"/>
          <w:highlight w:val="none"/>
        </w:rPr>
        <w:t>6℃，比历年平均偏高0</w:t>
      </w:r>
      <w:r>
        <w:rPr>
          <w:rFonts w:hint="eastAsia" w:ascii="MingLiU_HKSCS" w:hAnsi="MingLiU_HKSCS" w:eastAsia="MingLiU_HKSCS" w:cs="MingLiU_HKSCS"/>
          <w:highlight w:val="none"/>
        </w:rPr>
        <w:t>.</w:t>
      </w:r>
      <w:r>
        <w:rPr>
          <w:rFonts w:hint="eastAsia" w:hAnsi="宋体" w:cs="宋体"/>
          <w:highlight w:val="none"/>
        </w:rPr>
        <w:t>7℃，最高气温37</w:t>
      </w:r>
      <w:r>
        <w:rPr>
          <w:rFonts w:hint="eastAsia" w:ascii="MingLiU_HKSCS" w:hAnsi="MingLiU_HKSCS" w:eastAsia="MingLiU_HKSCS" w:cs="MingLiU_HKSCS"/>
          <w:highlight w:val="none"/>
        </w:rPr>
        <w:t>.</w:t>
      </w:r>
      <w:r>
        <w:rPr>
          <w:rFonts w:hint="eastAsia" w:hAnsi="宋体" w:cs="宋体"/>
          <w:highlight w:val="none"/>
        </w:rPr>
        <w:t>4℃，出现在7月14日</w:t>
      </w:r>
      <w:r>
        <w:rPr>
          <w:rFonts w:hint="eastAsia" w:hAnsi="宋体" w:cs="宋体"/>
          <w:highlight w:val="none"/>
          <w:lang w:eastAsia="zh-CN"/>
        </w:rPr>
        <w:t>，</w:t>
      </w:r>
      <w:r>
        <w:rPr>
          <w:rFonts w:hint="eastAsia" w:hAnsi="宋体" w:cs="宋体"/>
          <w:highlight w:val="none"/>
        </w:rPr>
        <w:t>最低气温1</w:t>
      </w:r>
      <w:r>
        <w:rPr>
          <w:rFonts w:hint="eastAsia" w:ascii="MingLiU_HKSCS" w:hAnsi="MingLiU_HKSCS" w:eastAsia="MingLiU_HKSCS" w:cs="MingLiU_HKSCS"/>
          <w:highlight w:val="none"/>
        </w:rPr>
        <w:t>.</w:t>
      </w:r>
      <w:r>
        <w:rPr>
          <w:rFonts w:hint="eastAsia" w:hAnsi="宋体" w:cs="宋体"/>
          <w:highlight w:val="none"/>
        </w:rPr>
        <w:t>8℃，出现在12月18日；年降雨量1858</w:t>
      </w:r>
      <w:r>
        <w:rPr>
          <w:rFonts w:hint="eastAsia" w:ascii="MingLiU_HKSCS" w:hAnsi="MingLiU_HKSCS" w:eastAsia="MingLiU_HKSCS" w:cs="MingLiU_HKSCS"/>
          <w:highlight w:val="none"/>
        </w:rPr>
        <w:t>.</w:t>
      </w:r>
      <w:r>
        <w:rPr>
          <w:rFonts w:hint="eastAsia" w:hAnsi="宋体" w:cs="宋体"/>
          <w:highlight w:val="none"/>
        </w:rPr>
        <w:t>7毫米，与历年同期相比偏多360</w:t>
      </w:r>
      <w:r>
        <w:rPr>
          <w:rFonts w:hint="eastAsia" w:ascii="MingLiU_HKSCS" w:hAnsi="MingLiU_HKSCS" w:eastAsia="MingLiU_HKSCS" w:cs="MingLiU_HKSCS"/>
          <w:highlight w:val="none"/>
        </w:rPr>
        <w:t>.</w:t>
      </w:r>
      <w:r>
        <w:rPr>
          <w:rFonts w:hint="eastAsia" w:hAnsi="宋体" w:cs="宋体"/>
          <w:highlight w:val="none"/>
        </w:rPr>
        <w:t>6毫米；年日照时数1425</w:t>
      </w:r>
      <w:r>
        <w:rPr>
          <w:rFonts w:hint="eastAsia" w:ascii="MingLiU_HKSCS" w:hAnsi="MingLiU_HKSCS" w:eastAsia="MingLiU_HKSCS" w:cs="MingLiU_HKSCS"/>
          <w:highlight w:val="none"/>
        </w:rPr>
        <w:t>.</w:t>
      </w:r>
      <w:r>
        <w:rPr>
          <w:rFonts w:hint="eastAsia" w:hAnsi="宋体" w:cs="宋体"/>
          <w:highlight w:val="none"/>
        </w:rPr>
        <w:t>2小时，较常年同期偏少197</w:t>
      </w:r>
      <w:r>
        <w:rPr>
          <w:rFonts w:hint="eastAsia" w:ascii="MingLiU_HKSCS" w:hAnsi="MingLiU_HKSCS" w:eastAsia="MingLiU_HKSCS" w:cs="MingLiU_HKSCS"/>
          <w:highlight w:val="none"/>
        </w:rPr>
        <w:t>.</w:t>
      </w:r>
      <w:r>
        <w:rPr>
          <w:rFonts w:hint="eastAsia" w:hAnsi="宋体" w:cs="宋体"/>
          <w:highlight w:val="none"/>
        </w:rPr>
        <w:t>3小时。4月20日，受高空槽、切变线和冷空气共同影响，全市普降大到暴雨、局部地方出现雷雨大风和冰雹强对流天气，百顺镇、雄州上坪部分地方出现8级左右雷雨大风和直径1厘米左右冰雹强对流天气，致使上坪500亩左右黄烟轻度受灾，无人员伤亡。5月16日，受高空南支槽和强盛的暖湿西南气流影响，南雄普降大雨到暴雨，无直接经济损失；5月21日南雄普降大雨到暴雨，局部大暴雨，受灾人口565人，转移人口99人，房屋倒塌81间，直接经济损失381</w:t>
      </w:r>
      <w:r>
        <w:rPr>
          <w:rFonts w:hint="eastAsia" w:ascii="MingLiU_HKSCS" w:hAnsi="MingLiU_HKSCS" w:eastAsia="MingLiU_HKSCS" w:cs="MingLiU_HKSCS"/>
          <w:highlight w:val="none"/>
        </w:rPr>
        <w:t>.</w:t>
      </w:r>
      <w:r>
        <w:rPr>
          <w:rFonts w:hint="eastAsia" w:hAnsi="宋体" w:cs="宋体"/>
          <w:highlight w:val="none"/>
        </w:rPr>
        <w:t>0万元，其中水利设施直接经济损失59</w:t>
      </w:r>
      <w:r>
        <w:rPr>
          <w:rFonts w:hint="eastAsia" w:ascii="MingLiU_HKSCS" w:hAnsi="MingLiU_HKSCS" w:eastAsia="MingLiU_HKSCS" w:cs="MingLiU_HKSCS"/>
          <w:highlight w:val="none"/>
        </w:rPr>
        <w:t>.</w:t>
      </w:r>
      <w:r>
        <w:rPr>
          <w:rFonts w:hint="eastAsia" w:hAnsi="宋体" w:cs="宋体"/>
          <w:highlight w:val="none"/>
        </w:rPr>
        <w:t>9万元，无人员伤亡。全年没有出现重大气象灾害，属于一般年景。</w:t>
      </w:r>
    </w:p>
    <w:p w14:paraId="5D551AFC">
      <w:pPr>
        <w:pStyle w:val="4"/>
        <w:bidi w:val="0"/>
        <w:rPr>
          <w:rFonts w:hint="eastAsia"/>
          <w:highlight w:val="none"/>
        </w:rPr>
      </w:pPr>
      <w:r>
        <w:rPr>
          <w:rFonts w:hint="eastAsia"/>
          <w:highlight w:val="none"/>
        </w:rPr>
        <w:t>【气象设施建设】</w:t>
      </w:r>
    </w:p>
    <w:p w14:paraId="4D5C6D8A">
      <w:pPr>
        <w:rPr>
          <w:rFonts w:hint="eastAsia" w:hAnsi="宋体" w:cs="宋体"/>
          <w:highlight w:val="none"/>
        </w:rPr>
      </w:pPr>
      <w:r>
        <w:rPr>
          <w:rFonts w:hint="eastAsia" w:hAnsi="宋体" w:cs="宋体"/>
          <w:highlight w:val="none"/>
        </w:rPr>
        <w:t>2015年11月在古市探测基地安装雨滴谱仪，12月安装云高仪；完成古市人影作业示范点建设，编制南雄市烟草防雹作业基地建设方案；省气象局调拨X波段多普勒天气雷达已正式移交南雄市气象局；南雄市气象服务中心3名工作人员由地方全额拨款，另增加3名事业编制，暂未招聘入编。</w:t>
      </w:r>
    </w:p>
    <w:p w14:paraId="77AB873E">
      <w:pPr>
        <w:pStyle w:val="4"/>
        <w:bidi w:val="0"/>
        <w:rPr>
          <w:rFonts w:hint="eastAsia"/>
          <w:highlight w:val="none"/>
        </w:rPr>
      </w:pPr>
      <w:r>
        <w:rPr>
          <w:rFonts w:hint="eastAsia"/>
          <w:highlight w:val="none"/>
        </w:rPr>
        <w:t>【依法行政】</w:t>
      </w:r>
    </w:p>
    <w:p w14:paraId="4DD73A7A">
      <w:pPr>
        <w:rPr>
          <w:rFonts w:hint="eastAsia" w:hAnsi="宋体" w:cs="宋体"/>
          <w:highlight w:val="none"/>
        </w:rPr>
      </w:pPr>
      <w:r>
        <w:rPr>
          <w:rFonts w:hint="eastAsia" w:hAnsi="宋体" w:cs="宋体"/>
          <w:highlight w:val="none"/>
        </w:rPr>
        <w:t>2015年，完善“政府主导、部门联动、社会参与”灾害防御机制，推动应急预案与各相关部门预案的无缝对接</w:t>
      </w:r>
      <w:r>
        <w:rPr>
          <w:rFonts w:hint="eastAsia" w:hAnsi="宋体" w:cs="宋体"/>
          <w:highlight w:val="none"/>
          <w:lang w:eastAsia="zh-CN"/>
        </w:rPr>
        <w:t>，</w:t>
      </w:r>
      <w:r>
        <w:rPr>
          <w:rFonts w:hint="eastAsia" w:hAnsi="宋体" w:cs="宋体"/>
          <w:highlight w:val="none"/>
        </w:rPr>
        <w:t>与旅游局共同下发《关于做好旅游景区气象灾害防御工作的通知》；与教育局共同下发停课实施细则，落实台风、暴雨预警信号为先导的停课机制；完成南雄市预警信息发布平台建设并投入试运行。继续推进气象服务产品创新，开展农业病虫害防治、农业气象灾害防御、黄烟种植大户建立气象直通车等多种类型的气象服务。进一步规范防雷行政审批工作，有效引导防雷减灾工作规范化、法制化，切实落实园区企业防雷安全生产责任制，构建防雷安全生产有效监管机制。</w:t>
      </w:r>
    </w:p>
    <w:p w14:paraId="06E5F414">
      <w:pPr>
        <w:pStyle w:val="4"/>
        <w:bidi w:val="0"/>
        <w:rPr>
          <w:rFonts w:hint="eastAsia"/>
          <w:highlight w:val="none"/>
        </w:rPr>
      </w:pPr>
      <w:r>
        <w:rPr>
          <w:rFonts w:hint="eastAsia"/>
          <w:highlight w:val="none"/>
        </w:rPr>
        <w:t>【精神文明建设】</w:t>
      </w:r>
    </w:p>
    <w:p w14:paraId="72037461">
      <w:pPr>
        <w:rPr>
          <w:rFonts w:hint="eastAsia" w:hAnsi="宋体" w:cs="宋体"/>
          <w:highlight w:val="none"/>
        </w:rPr>
      </w:pPr>
      <w:r>
        <w:rPr>
          <w:rFonts w:hint="eastAsia" w:hAnsi="宋体" w:cs="宋体"/>
          <w:highlight w:val="none"/>
        </w:rPr>
        <w:t>获得“南雄市201５年上半年经济社会发展重大贡献奖”；为扶贫济困日捐款3850元，党员互助金捐款800元。发表技术论文3篇、通讯稿件23篇。（吴达鸿）</w:t>
      </w:r>
    </w:p>
    <w:p w14:paraId="34AA9B96">
      <w:pPr>
        <w:rPr>
          <w:rFonts w:hint="eastAsia" w:hAnsi="宋体" w:eastAsia="宋体" w:cs="宋体"/>
          <w:b w:val="0"/>
          <w:bCs w:val="0"/>
          <w:highlight w:val="none"/>
          <w:lang w:eastAsia="zh-CN"/>
        </w:rPr>
      </w:pPr>
      <w:r>
        <w:rPr>
          <w:rFonts w:hint="eastAsia" w:hAnsi="宋体" w:cs="宋体"/>
          <w:b w:val="0"/>
          <w:bCs w:val="0"/>
          <w:highlight w:val="none"/>
        </w:rPr>
        <w:t>附：2015年市气象局领导班子成员名单</w:t>
      </w:r>
    </w:p>
    <w:p w14:paraId="603DACFE">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长：徐小红</w:t>
      </w:r>
    </w:p>
    <w:p w14:paraId="42111C66">
      <w:pPr>
        <w:rPr>
          <w:rFonts w:hint="eastAsia" w:hAnsi="宋体" w:eastAsia="宋体" w:cs="宋体"/>
          <w:b w:val="0"/>
          <w:bCs w:val="0"/>
          <w:highlight w:val="none"/>
          <w:lang w:eastAsia="zh-CN"/>
        </w:rPr>
      </w:pPr>
      <w:r>
        <w:rPr>
          <w:rFonts w:hint="eastAsia" w:hAnsi="宋体" w:cs="宋体"/>
          <w:b w:val="0"/>
          <w:bCs w:val="0"/>
          <w:highlight w:val="none"/>
        </w:rPr>
        <w:t>副局长：刘铸飘</w:t>
      </w:r>
    </w:p>
    <w:p w14:paraId="1F6E25E2">
      <w:pPr>
        <w:rPr>
          <w:rFonts w:hint="eastAsia" w:hAnsi="宋体" w:eastAsia="宋体" w:cs="宋体"/>
          <w:highlight w:val="none"/>
          <w:lang w:eastAsia="zh-CN"/>
        </w:rPr>
      </w:pPr>
      <w:r>
        <w:rPr>
          <w:rFonts w:hint="eastAsia" w:hAnsi="宋体" w:cs="宋体"/>
          <w:highlight w:val="none"/>
        </w:rPr>
        <w:t>纪检副组长：吴达鸿</w:t>
      </w:r>
    </w:p>
    <w:p w14:paraId="10FA5E81">
      <w:pPr>
        <w:pStyle w:val="3"/>
        <w:bidi w:val="0"/>
        <w:rPr>
          <w:rFonts w:hint="eastAsia"/>
          <w:highlight w:val="none"/>
        </w:rPr>
      </w:pPr>
      <w:r>
        <w:rPr>
          <w:rFonts w:hint="eastAsia"/>
          <w:highlight w:val="none"/>
        </w:rPr>
        <w:t>水土保持</w:t>
      </w:r>
    </w:p>
    <w:p w14:paraId="5CE4BEB2">
      <w:pPr>
        <w:pStyle w:val="4"/>
        <w:bidi w:val="0"/>
        <w:rPr>
          <w:rFonts w:hint="eastAsia"/>
          <w:highlight w:val="none"/>
        </w:rPr>
      </w:pPr>
      <w:r>
        <w:rPr>
          <w:rFonts w:hint="eastAsia"/>
          <w:highlight w:val="none"/>
        </w:rPr>
        <w:t>【概况】</w:t>
      </w:r>
    </w:p>
    <w:p w14:paraId="3DEA22D7">
      <w:pPr>
        <w:rPr>
          <w:rFonts w:hint="eastAsia" w:hAnsi="宋体" w:cs="宋体"/>
          <w:highlight w:val="none"/>
        </w:rPr>
      </w:pPr>
      <w:r>
        <w:rPr>
          <w:rFonts w:hint="eastAsia" w:hAnsi="宋体" w:cs="宋体"/>
          <w:highlight w:val="none"/>
        </w:rPr>
        <w:t>南雄市水土保持委员会办公室</w:t>
      </w:r>
      <w:r>
        <w:rPr>
          <w:rFonts w:hint="eastAsia" w:hAnsi="宋体" w:cs="宋体"/>
          <w:highlight w:val="none"/>
          <w:lang w:eastAsia="zh-CN"/>
        </w:rPr>
        <w:t>（</w:t>
      </w:r>
      <w:r>
        <w:rPr>
          <w:rFonts w:hint="eastAsia" w:hAnsi="宋体" w:cs="宋体"/>
          <w:highlight w:val="none"/>
        </w:rPr>
        <w:t>简称：南雄市水保办</w:t>
      </w:r>
      <w:r>
        <w:rPr>
          <w:rFonts w:hint="eastAsia" w:hAnsi="宋体" w:cs="宋体"/>
          <w:highlight w:val="none"/>
          <w:lang w:eastAsia="zh-CN"/>
        </w:rPr>
        <w:t>）</w:t>
      </w:r>
      <w:r>
        <w:rPr>
          <w:rFonts w:hint="eastAsia" w:hAnsi="宋体" w:cs="宋体"/>
          <w:highlight w:val="none"/>
        </w:rPr>
        <w:t>，是经南雄市人民政府批准成立的市政府直属正科级单位。2001年县级机构改革确定为市政府直属参照公务员管理的正科级单位。南雄市机构编制委员会核定水保办编制16名，其中事业编制15名，工勤编制1名，现有人员14名。内设机构有人保财会股、水土保持方案审批股、生产技术股、执法监督股、水土保持设施验收股。主要职能：1</w:t>
      </w:r>
      <w:r>
        <w:rPr>
          <w:rFonts w:hint="eastAsia" w:ascii="MingLiU_HKSCS" w:hAnsi="MingLiU_HKSCS" w:eastAsia="MingLiU_HKSCS" w:cs="MingLiU_HKSCS"/>
          <w:highlight w:val="none"/>
        </w:rPr>
        <w:t>.</w:t>
      </w:r>
      <w:r>
        <w:rPr>
          <w:rFonts w:hint="eastAsia" w:hAnsi="宋体" w:cs="宋体"/>
          <w:highlight w:val="none"/>
        </w:rPr>
        <w:t>贯彻执行《中华人民共和国水土保持法》及法律法规；2</w:t>
      </w:r>
      <w:r>
        <w:rPr>
          <w:rFonts w:hint="eastAsia" w:ascii="MingLiU_HKSCS" w:hAnsi="MingLiU_HKSCS" w:eastAsia="MingLiU_HKSCS" w:cs="MingLiU_HKSCS"/>
          <w:highlight w:val="none"/>
        </w:rPr>
        <w:t>.</w:t>
      </w:r>
      <w:r>
        <w:rPr>
          <w:rFonts w:hint="eastAsia" w:hAnsi="宋体" w:cs="宋体"/>
          <w:highlight w:val="none"/>
        </w:rPr>
        <w:t>做好水保工作规划；3</w:t>
      </w:r>
      <w:r>
        <w:rPr>
          <w:rFonts w:hint="eastAsia" w:ascii="MingLiU_HKSCS" w:hAnsi="MingLiU_HKSCS" w:eastAsia="MingLiU_HKSCS" w:cs="MingLiU_HKSCS"/>
          <w:highlight w:val="none"/>
        </w:rPr>
        <w:t>.</w:t>
      </w:r>
      <w:r>
        <w:rPr>
          <w:rFonts w:hint="eastAsia" w:hAnsi="宋体" w:cs="宋体"/>
          <w:highlight w:val="none"/>
        </w:rPr>
        <w:t>负责南雄市水土流失预防、监督、执法等行政管理工作；依法征收水土保持补偿费并监督管理使用，查处水土流失案件；4</w:t>
      </w:r>
      <w:r>
        <w:rPr>
          <w:rFonts w:hint="eastAsia" w:ascii="MingLiU_HKSCS" w:hAnsi="MingLiU_HKSCS" w:eastAsia="MingLiU_HKSCS" w:cs="MingLiU_HKSCS"/>
          <w:highlight w:val="none"/>
        </w:rPr>
        <w:t>.</w:t>
      </w:r>
      <w:r>
        <w:rPr>
          <w:rFonts w:hint="eastAsia" w:hAnsi="宋体" w:cs="宋体"/>
          <w:highlight w:val="none"/>
        </w:rPr>
        <w:t>依法依规对全市开发建设项目的水土保持方案进行行政审批和检查验收开发建设项目水土保持设施；5</w:t>
      </w:r>
      <w:r>
        <w:rPr>
          <w:rFonts w:hint="eastAsia" w:ascii="MingLiU_HKSCS" w:hAnsi="MingLiU_HKSCS" w:eastAsia="MingLiU_HKSCS" w:cs="MingLiU_HKSCS"/>
          <w:highlight w:val="none"/>
        </w:rPr>
        <w:t>.</w:t>
      </w:r>
      <w:r>
        <w:rPr>
          <w:rFonts w:hint="eastAsia" w:hAnsi="宋体" w:cs="宋体"/>
          <w:highlight w:val="none"/>
        </w:rPr>
        <w:t>治理水土流失工作并对全市水土流失进行动态监测；6</w:t>
      </w:r>
      <w:r>
        <w:rPr>
          <w:rFonts w:hint="eastAsia" w:ascii="MingLiU_HKSCS" w:hAnsi="MingLiU_HKSCS" w:eastAsia="MingLiU_HKSCS" w:cs="MingLiU_HKSCS"/>
          <w:highlight w:val="none"/>
        </w:rPr>
        <w:t>.</w:t>
      </w:r>
      <w:r>
        <w:rPr>
          <w:rFonts w:hint="eastAsia" w:hAnsi="宋体" w:cs="宋体"/>
          <w:highlight w:val="none"/>
        </w:rPr>
        <w:t>完成上级业务部门和市委、市政府交办的其他工作。办公地址：南雄市新城浈江路7号。下属事业单位有：南雄市水土保持执法监督站（副科级）、南雄市水土保持站（股级）、南雄市水土保持监测站（股级）。</w:t>
      </w:r>
    </w:p>
    <w:p w14:paraId="779C7AFC">
      <w:pPr>
        <w:pStyle w:val="4"/>
        <w:bidi w:val="0"/>
        <w:rPr>
          <w:rFonts w:hint="eastAsia"/>
          <w:highlight w:val="none"/>
        </w:rPr>
      </w:pPr>
      <w:r>
        <w:rPr>
          <w:rFonts w:hint="eastAsia"/>
          <w:highlight w:val="none"/>
        </w:rPr>
        <w:t>【人员变动】</w:t>
      </w:r>
    </w:p>
    <w:p w14:paraId="5E113EB2">
      <w:pPr>
        <w:rPr>
          <w:rFonts w:hint="eastAsia" w:hAnsi="宋体" w:cs="宋体"/>
          <w:highlight w:val="none"/>
        </w:rPr>
      </w:pPr>
      <w:r>
        <w:rPr>
          <w:rFonts w:hint="eastAsia" w:hAnsi="宋体" w:cs="宋体"/>
          <w:highlight w:val="none"/>
        </w:rPr>
        <w:t>2015年4月王启发由南雄市委组织部调配从水务局调入水保办下属水土保持执法监督站任站长。</w:t>
      </w:r>
    </w:p>
    <w:p w14:paraId="35B1DB06">
      <w:pPr>
        <w:pStyle w:val="4"/>
        <w:bidi w:val="0"/>
        <w:rPr>
          <w:rFonts w:hint="eastAsia"/>
          <w:highlight w:val="none"/>
        </w:rPr>
      </w:pPr>
      <w:r>
        <w:rPr>
          <w:rFonts w:hint="eastAsia"/>
          <w:highlight w:val="none"/>
        </w:rPr>
        <w:t>【法律宣传】</w:t>
      </w:r>
    </w:p>
    <w:p w14:paraId="0B8B716C">
      <w:pPr>
        <w:rPr>
          <w:rFonts w:hint="eastAsia" w:hAnsi="宋体" w:cs="宋体"/>
          <w:highlight w:val="none"/>
        </w:rPr>
      </w:pPr>
      <w:r>
        <w:rPr>
          <w:rFonts w:hint="eastAsia" w:hAnsi="宋体" w:cs="宋体"/>
          <w:highlight w:val="none"/>
        </w:rPr>
        <w:t>南雄市水保办开展纪念23届“世界水日”、38届“中国水周”及《水土保持法》实施4周年活动，结合“双学双比”主题教育活动，组织开展水保法律知识下农村、进校园、到企业宣传《水土保持法》及相关水行政法规。出动执法人员30人次，车辆5台次，悬挂横额3幅，张贴图册32份，发放宣传资料1000份，进厂矿、建设单位及社区开展宣传活动32次。</w:t>
      </w:r>
    </w:p>
    <w:p w14:paraId="25124658">
      <w:pPr>
        <w:pStyle w:val="4"/>
        <w:bidi w:val="0"/>
        <w:rPr>
          <w:rFonts w:hint="eastAsia"/>
          <w:highlight w:val="none"/>
        </w:rPr>
      </w:pPr>
      <w:r>
        <w:rPr>
          <w:rFonts w:hint="eastAsia"/>
          <w:highlight w:val="none"/>
        </w:rPr>
        <w:t>【执法监督】</w:t>
      </w:r>
    </w:p>
    <w:p w14:paraId="49B06A29">
      <w:pPr>
        <w:rPr>
          <w:rFonts w:hint="eastAsia" w:hAnsi="宋体" w:cs="宋体"/>
          <w:highlight w:val="none"/>
        </w:rPr>
      </w:pPr>
      <w:r>
        <w:rPr>
          <w:rFonts w:hint="eastAsia" w:hAnsi="宋体" w:cs="宋体"/>
          <w:highlight w:val="none"/>
        </w:rPr>
        <w:t>2015年11月17日广东省水利厅刘涛副处长、耿海波科长、韶关市水政科王晓辉科长到南雄市验收省级水土保持监督管理能力建设县工作。水土保持执法监督工作。重点对新时代文化广场、珠玑旅游大道、建材五金大市场、中泰华府、金友大厦、雄州壹品、页岩砖厂改建等开发建设项目进行全面监督检查。2015年执法检查20次，检查项目单位15个，巡查56次，巡查单位25个。</w:t>
      </w:r>
    </w:p>
    <w:p w14:paraId="46152DDA">
      <w:pPr>
        <w:pStyle w:val="4"/>
        <w:bidi w:val="0"/>
        <w:rPr>
          <w:rFonts w:hint="eastAsia"/>
          <w:highlight w:val="none"/>
        </w:rPr>
      </w:pPr>
      <w:r>
        <w:rPr>
          <w:rFonts w:hint="eastAsia"/>
          <w:highlight w:val="none"/>
        </w:rPr>
        <w:t>【依法行政】</w:t>
      </w:r>
    </w:p>
    <w:p w14:paraId="460D25A7">
      <w:pPr>
        <w:rPr>
          <w:rFonts w:hint="eastAsia" w:hAnsi="宋体" w:cs="宋体"/>
          <w:highlight w:val="none"/>
        </w:rPr>
      </w:pPr>
      <w:r>
        <w:rPr>
          <w:rFonts w:hint="eastAsia" w:hAnsi="宋体" w:cs="宋体"/>
          <w:highlight w:val="none"/>
        </w:rPr>
        <w:t>2015年审批开发建设项目水土保持方案报告书12宗；验收开发建设项目水土保持设施5宗；查处破坏水保林案件1宗。</w:t>
      </w:r>
    </w:p>
    <w:p w14:paraId="7F5E272E">
      <w:pPr>
        <w:pStyle w:val="4"/>
        <w:bidi w:val="0"/>
        <w:rPr>
          <w:rFonts w:hint="eastAsia"/>
          <w:highlight w:val="none"/>
        </w:rPr>
      </w:pPr>
      <w:r>
        <w:rPr>
          <w:rFonts w:hint="eastAsia"/>
          <w:highlight w:val="none"/>
        </w:rPr>
        <w:t>【水土保持治理成果】</w:t>
      </w:r>
    </w:p>
    <w:p w14:paraId="0FEDAFF9">
      <w:pPr>
        <w:rPr>
          <w:rFonts w:hint="eastAsia" w:hAnsi="宋体" w:cs="宋体"/>
          <w:highlight w:val="none"/>
        </w:rPr>
      </w:pPr>
      <w:r>
        <w:rPr>
          <w:rFonts w:hint="eastAsia" w:hAnsi="宋体" w:cs="宋体"/>
          <w:highlight w:val="none"/>
        </w:rPr>
        <w:t>南雄市位于珠江流域北江水系上游，境内因紫色砂页岩分布广而水土流失严重，是广东省水土流失最重要的市、县之一。经过20年整治，已完成治理水土流失面积600多平方公里，基本消灭荒山，实现绿化达标。</w:t>
      </w:r>
    </w:p>
    <w:p w14:paraId="1B5D31E6">
      <w:pPr>
        <w:pStyle w:val="4"/>
        <w:bidi w:val="0"/>
        <w:rPr>
          <w:rFonts w:hint="eastAsia"/>
          <w:highlight w:val="none"/>
        </w:rPr>
      </w:pPr>
      <w:r>
        <w:rPr>
          <w:rFonts w:hint="eastAsia"/>
          <w:highlight w:val="none"/>
        </w:rPr>
        <w:t>【红砂岭治理】</w:t>
      </w:r>
    </w:p>
    <w:p w14:paraId="2A374D24">
      <w:pPr>
        <w:rPr>
          <w:rFonts w:hint="eastAsia" w:hAnsi="宋体" w:cs="宋体"/>
          <w:highlight w:val="none"/>
        </w:rPr>
      </w:pPr>
      <w:r>
        <w:rPr>
          <w:rFonts w:hint="eastAsia" w:hAnsi="宋体" w:cs="宋体"/>
          <w:highlight w:val="none"/>
        </w:rPr>
        <w:t>1月22日，水保办主任肖清志带领珠委专家组4人，到南雄市油山镇下惠村利用遥控无人飞机进行航拍实地测量红砂岭原貌。</w:t>
      </w:r>
    </w:p>
    <w:p w14:paraId="044655CC">
      <w:pPr>
        <w:pStyle w:val="4"/>
        <w:bidi w:val="0"/>
        <w:rPr>
          <w:rFonts w:hint="eastAsia"/>
          <w:highlight w:val="none"/>
        </w:rPr>
      </w:pPr>
      <w:r>
        <w:rPr>
          <w:rFonts w:hint="eastAsia"/>
          <w:highlight w:val="none"/>
        </w:rPr>
        <w:t>【水土流失监测】</w:t>
      </w:r>
    </w:p>
    <w:p w14:paraId="5E9FF621">
      <w:pPr>
        <w:rPr>
          <w:rFonts w:hint="eastAsia" w:hAnsi="宋体" w:eastAsia="宋体" w:cs="宋体"/>
          <w:highlight w:val="none"/>
          <w:lang w:eastAsia="zh-CN"/>
        </w:rPr>
      </w:pPr>
      <w:r>
        <w:rPr>
          <w:rFonts w:hint="eastAsia" w:hAnsi="宋体" w:cs="宋体"/>
          <w:highlight w:val="none"/>
        </w:rPr>
        <w:t>水保办全年完善坡面径流观测场基础设施建设，增加监测所需的仪器设备，完善自来水设施，向广东省水土保持监测总站和珠委上报监测数据18次，完成全年任务，南雄坡面径流观测场工作正常运行。</w:t>
      </w:r>
      <w:r>
        <w:rPr>
          <w:rFonts w:hint="eastAsia" w:hAnsi="宋体" w:cs="宋体"/>
          <w:highlight w:val="none"/>
          <w:lang w:eastAsia="zh-CN"/>
        </w:rPr>
        <w:t>（</w:t>
      </w:r>
      <w:r>
        <w:rPr>
          <w:rFonts w:hint="eastAsia" w:hAnsi="宋体" w:cs="宋体"/>
          <w:highlight w:val="none"/>
        </w:rPr>
        <w:t>吴志前</w:t>
      </w:r>
      <w:r>
        <w:rPr>
          <w:rFonts w:hint="eastAsia" w:hAnsi="宋体" w:cs="宋体"/>
          <w:highlight w:val="none"/>
          <w:lang w:eastAsia="zh-CN"/>
        </w:rPr>
        <w:t>）</w:t>
      </w:r>
    </w:p>
    <w:p w14:paraId="111BEF76">
      <w:pPr>
        <w:rPr>
          <w:rFonts w:hint="eastAsia" w:hAnsi="宋体" w:eastAsia="宋体" w:cs="宋体"/>
          <w:b w:val="0"/>
          <w:bCs w:val="0"/>
          <w:highlight w:val="none"/>
          <w:lang w:eastAsia="zh-CN"/>
        </w:rPr>
      </w:pPr>
      <w:r>
        <w:rPr>
          <w:rFonts w:hint="eastAsia" w:hAnsi="宋体" w:cs="宋体"/>
          <w:b w:val="0"/>
          <w:bCs w:val="0"/>
          <w:highlight w:val="none"/>
        </w:rPr>
        <w:t>附：2015年市水保办领导班子成员名单</w:t>
      </w:r>
    </w:p>
    <w:p w14:paraId="7B6975C4">
      <w:pPr>
        <w:rPr>
          <w:rFonts w:hint="eastAsia" w:hAnsi="宋体" w:eastAsia="宋体" w:cs="宋体"/>
          <w:b w:val="0"/>
          <w:bCs w:val="0"/>
          <w:highlight w:val="none"/>
          <w:lang w:eastAsia="zh-CN"/>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任：肖清志</w:t>
      </w:r>
    </w:p>
    <w:p w14:paraId="1D8D30E2">
      <w:pPr>
        <w:rPr>
          <w:rFonts w:hint="eastAsia" w:hAnsi="宋体" w:eastAsia="宋体" w:cs="宋体"/>
          <w:highlight w:val="none"/>
          <w:lang w:eastAsia="zh-CN"/>
        </w:rPr>
      </w:pPr>
      <w:r>
        <w:rPr>
          <w:rFonts w:hint="eastAsia" w:hAnsi="宋体" w:cs="宋体"/>
          <w:b w:val="0"/>
          <w:bCs w:val="0"/>
          <w:highlight w:val="none"/>
        </w:rPr>
        <w:t>副主任：林运明 吴秋</w:t>
      </w:r>
      <w:r>
        <w:rPr>
          <w:rFonts w:hint="eastAsia" w:hAnsi="宋体" w:cs="宋体"/>
          <w:highlight w:val="none"/>
        </w:rPr>
        <w:t>兰</w:t>
      </w:r>
    </w:p>
    <w:p w14:paraId="4EFC8F76">
      <w:pPr>
        <w:rPr>
          <w:rFonts w:hint="eastAsia" w:hAnsi="宋体" w:cs="宋体"/>
          <w:highlight w:val="none"/>
        </w:rPr>
      </w:pPr>
      <w:r>
        <w:rPr>
          <w:rFonts w:hint="eastAsia" w:hAnsi="宋体" w:cs="宋体"/>
          <w:highlight w:val="none"/>
        </w:rPr>
        <w:t>执法站站长：王启发</w:t>
      </w:r>
    </w:p>
    <w:p w14:paraId="4C5E1E6F">
      <w:pPr>
        <w:pStyle w:val="3"/>
        <w:bidi w:val="0"/>
        <w:rPr>
          <w:rFonts w:hint="eastAsia"/>
          <w:highlight w:val="none"/>
        </w:rPr>
      </w:pPr>
      <w:r>
        <w:rPr>
          <w:rFonts w:hint="eastAsia"/>
          <w:highlight w:val="none"/>
        </w:rPr>
        <w:t>烟叶生产收购与专卖</w:t>
      </w:r>
    </w:p>
    <w:p w14:paraId="00F16CC0">
      <w:pPr>
        <w:pStyle w:val="4"/>
        <w:bidi w:val="0"/>
        <w:rPr>
          <w:rFonts w:hint="eastAsia"/>
          <w:highlight w:val="none"/>
        </w:rPr>
      </w:pPr>
      <w:r>
        <w:rPr>
          <w:rFonts w:hint="eastAsia"/>
          <w:highlight w:val="none"/>
        </w:rPr>
        <w:t>【概况】</w:t>
      </w:r>
    </w:p>
    <w:p w14:paraId="5938D084">
      <w:pPr>
        <w:rPr>
          <w:rFonts w:hint="eastAsia" w:hAnsi="宋体" w:cs="宋体"/>
          <w:highlight w:val="none"/>
        </w:rPr>
      </w:pPr>
      <w:r>
        <w:rPr>
          <w:rFonts w:hint="eastAsia" w:hAnsi="宋体" w:cs="宋体"/>
          <w:highlight w:val="none"/>
        </w:rPr>
        <w:t>2015年，南雄市烟草专卖局（分公司）内设综合管理部、专卖监督管理办公室（内管派驻组、专卖稽查大队）、营销部、烟叶管理部、财务管理部、安全保卫部、烟叶物流部、监察审计派驻组8个部门和乌迳、珠玑、古市、黄坑、湖口、水口6个烟叶工作站，以及新龙、大塘、邓坊、长市、里和、河坪、南亩、里东、黎口、主田、丹布、小坑（临时点）、坪岗（临时点）、帽子峰（临时点）14个烟叶收购点（含3个临时收购点）。截至2015年底，有在岗人员462人、退养人员38人、退休人员140人。</w:t>
      </w:r>
    </w:p>
    <w:p w14:paraId="5E72D251">
      <w:pPr>
        <w:rPr>
          <w:rFonts w:hint="eastAsia" w:hAnsi="宋体" w:cs="宋体"/>
          <w:highlight w:val="none"/>
        </w:rPr>
      </w:pPr>
      <w:r>
        <w:rPr>
          <w:rFonts w:hint="eastAsia" w:hAnsi="宋体" w:cs="宋体"/>
          <w:highlight w:val="none"/>
        </w:rPr>
        <w:t>2015年，南雄市种植烟叶6109</w:t>
      </w:r>
      <w:r>
        <w:rPr>
          <w:rFonts w:hint="eastAsia" w:ascii="MingLiU_HKSCS" w:hAnsi="MingLiU_HKSCS" w:eastAsia="MingLiU_HKSCS" w:cs="MingLiU_HKSCS"/>
          <w:highlight w:val="none"/>
        </w:rPr>
        <w:t>.</w:t>
      </w:r>
      <w:r>
        <w:rPr>
          <w:rFonts w:hint="eastAsia" w:hAnsi="宋体" w:cs="宋体"/>
          <w:highlight w:val="none"/>
        </w:rPr>
        <w:t>2公顷，收购烟叶13172</w:t>
      </w:r>
      <w:r>
        <w:rPr>
          <w:rFonts w:hint="eastAsia" w:ascii="MingLiU_HKSCS" w:hAnsi="MingLiU_HKSCS" w:eastAsia="MingLiU_HKSCS" w:cs="MingLiU_HKSCS"/>
          <w:highlight w:val="none"/>
        </w:rPr>
        <w:t>.</w:t>
      </w:r>
      <w:r>
        <w:rPr>
          <w:rFonts w:hint="eastAsia" w:hAnsi="宋体" w:cs="宋体"/>
          <w:highlight w:val="none"/>
        </w:rPr>
        <w:t>63吨，收购资金3</w:t>
      </w:r>
      <w:r>
        <w:rPr>
          <w:rFonts w:hint="eastAsia" w:ascii="MingLiU_HKSCS" w:hAnsi="MingLiU_HKSCS" w:eastAsia="MingLiU_HKSCS" w:cs="MingLiU_HKSCS"/>
          <w:highlight w:val="none"/>
        </w:rPr>
        <w:t>.</w:t>
      </w:r>
      <w:r>
        <w:rPr>
          <w:rFonts w:hint="eastAsia" w:hAnsi="宋体" w:cs="宋体"/>
          <w:highlight w:val="none"/>
        </w:rPr>
        <w:t>25亿元；销售卷烟1</w:t>
      </w:r>
      <w:r>
        <w:rPr>
          <w:rFonts w:hint="eastAsia" w:ascii="MingLiU_HKSCS" w:hAnsi="MingLiU_HKSCS" w:eastAsia="MingLiU_HKSCS" w:cs="MingLiU_HKSCS"/>
          <w:highlight w:val="none"/>
        </w:rPr>
        <w:t>.</w:t>
      </w:r>
      <w:r>
        <w:rPr>
          <w:rFonts w:hint="eastAsia" w:hAnsi="宋体" w:cs="宋体"/>
          <w:highlight w:val="none"/>
        </w:rPr>
        <w:t>4342万箱，销售金额（含税）41731</w:t>
      </w:r>
      <w:r>
        <w:rPr>
          <w:rFonts w:hint="eastAsia" w:ascii="MingLiU_HKSCS" w:hAnsi="MingLiU_HKSCS" w:eastAsia="MingLiU_HKSCS" w:cs="MingLiU_HKSCS"/>
          <w:highlight w:val="none"/>
        </w:rPr>
        <w:t>.</w:t>
      </w:r>
      <w:r>
        <w:rPr>
          <w:rFonts w:hint="eastAsia" w:hAnsi="宋体" w:cs="宋体"/>
          <w:highlight w:val="none"/>
        </w:rPr>
        <w:t>57万元；查获涉烟案件272宗，总案值799</w:t>
      </w:r>
      <w:r>
        <w:rPr>
          <w:rFonts w:hint="eastAsia" w:ascii="MingLiU_HKSCS" w:hAnsi="MingLiU_HKSCS" w:eastAsia="MingLiU_HKSCS" w:cs="MingLiU_HKSCS"/>
          <w:highlight w:val="none"/>
        </w:rPr>
        <w:t>.</w:t>
      </w:r>
      <w:r>
        <w:rPr>
          <w:rFonts w:hint="eastAsia" w:hAnsi="宋体" w:cs="宋体"/>
          <w:highlight w:val="none"/>
        </w:rPr>
        <w:t>88万元。</w:t>
      </w:r>
    </w:p>
    <w:p w14:paraId="54DE880D">
      <w:pPr>
        <w:rPr>
          <w:rFonts w:hint="eastAsia" w:hAnsi="宋体" w:cs="宋体"/>
          <w:highlight w:val="none"/>
        </w:rPr>
      </w:pPr>
      <w:r>
        <w:rPr>
          <w:rFonts w:hint="eastAsia" w:hAnsi="宋体" w:cs="宋体"/>
          <w:highlight w:val="none"/>
        </w:rPr>
        <w:t>获得“韶关市烟草商业系统直属单位2015年度工作目标综合考核一等奖”“韶关市烟草商业系统2015年度烟叶目标考核一类区二等奖”，被评为“南雄市2015年度消防工作先进单位”。</w:t>
      </w:r>
    </w:p>
    <w:p w14:paraId="4774DBD6">
      <w:pPr>
        <w:pStyle w:val="4"/>
        <w:bidi w:val="0"/>
        <w:rPr>
          <w:rFonts w:hint="eastAsia"/>
          <w:highlight w:val="none"/>
        </w:rPr>
      </w:pPr>
      <w:r>
        <w:rPr>
          <w:rFonts w:hint="eastAsia"/>
          <w:highlight w:val="none"/>
        </w:rPr>
        <w:t>【黄烟生产收购】</w:t>
      </w:r>
    </w:p>
    <w:p w14:paraId="287A7B8D">
      <w:pPr>
        <w:rPr>
          <w:rFonts w:hint="eastAsia" w:hAnsi="宋体" w:cs="宋体"/>
          <w:highlight w:val="none"/>
        </w:rPr>
      </w:pPr>
      <w:r>
        <w:rPr>
          <w:rFonts w:hint="eastAsia" w:hAnsi="宋体" w:cs="宋体"/>
          <w:highlight w:val="none"/>
        </w:rPr>
        <w:t>2015年全市种植烟叶6109</w:t>
      </w:r>
      <w:r>
        <w:rPr>
          <w:rFonts w:hint="eastAsia" w:ascii="MingLiU_HKSCS" w:hAnsi="MingLiU_HKSCS" w:eastAsia="MingLiU_HKSCS" w:cs="MingLiU_HKSCS"/>
          <w:highlight w:val="none"/>
        </w:rPr>
        <w:t>.</w:t>
      </w:r>
      <w:r>
        <w:rPr>
          <w:rFonts w:hint="eastAsia" w:hAnsi="宋体" w:cs="宋体"/>
          <w:highlight w:val="none"/>
        </w:rPr>
        <w:t>2公顷，签订烟叶种植收购合同2653份，户均种植面积2</w:t>
      </w:r>
      <w:r>
        <w:rPr>
          <w:rFonts w:hint="eastAsia" w:ascii="MingLiU_HKSCS" w:hAnsi="MingLiU_HKSCS" w:eastAsia="MingLiU_HKSCS" w:cs="MingLiU_HKSCS"/>
          <w:highlight w:val="none"/>
        </w:rPr>
        <w:t>.</w:t>
      </w:r>
      <w:r>
        <w:rPr>
          <w:rFonts w:hint="eastAsia" w:hAnsi="宋体" w:cs="宋体"/>
          <w:highlight w:val="none"/>
        </w:rPr>
        <w:t>3公顷。对比2014年，烟叶种植面积递减193</w:t>
      </w:r>
      <w:r>
        <w:rPr>
          <w:rFonts w:hint="eastAsia" w:ascii="MingLiU_HKSCS" w:hAnsi="MingLiU_HKSCS" w:eastAsia="MingLiU_HKSCS" w:cs="MingLiU_HKSCS"/>
          <w:highlight w:val="none"/>
        </w:rPr>
        <w:t>.</w:t>
      </w:r>
      <w:r>
        <w:rPr>
          <w:rFonts w:hint="eastAsia" w:hAnsi="宋体" w:cs="宋体"/>
          <w:highlight w:val="none"/>
        </w:rPr>
        <w:t>33公顷，收购任务递减75吨，户均面积增加0</w:t>
      </w:r>
      <w:r>
        <w:rPr>
          <w:rFonts w:hint="eastAsia" w:ascii="MingLiU_HKSCS" w:hAnsi="MingLiU_HKSCS" w:eastAsia="MingLiU_HKSCS" w:cs="MingLiU_HKSCS"/>
          <w:highlight w:val="none"/>
        </w:rPr>
        <w:t>.</w:t>
      </w:r>
      <w:r>
        <w:rPr>
          <w:rFonts w:hint="eastAsia" w:hAnsi="宋体" w:cs="宋体"/>
          <w:highlight w:val="none"/>
        </w:rPr>
        <w:t>37公顷。全面覆盖烟叶标准化生产，提高机械化作业水平，加强综合服务专业合作社建设，实行规模化种植、集约化经营和专业化服务。落实优化结构措施，提高原料保障能力。按照“下2上2”的要求，落实下部不适用鲜烟叶田间处理8686吨，优化面积6109</w:t>
      </w:r>
      <w:r>
        <w:rPr>
          <w:rFonts w:hint="eastAsia" w:ascii="MingLiU_HKSCS" w:hAnsi="MingLiU_HKSCS" w:eastAsia="MingLiU_HKSCS" w:cs="MingLiU_HKSCS"/>
          <w:highlight w:val="none"/>
        </w:rPr>
        <w:t>.</w:t>
      </w:r>
      <w:r>
        <w:rPr>
          <w:rFonts w:hint="eastAsia" w:hAnsi="宋体" w:cs="宋体"/>
          <w:highlight w:val="none"/>
        </w:rPr>
        <w:t>2公顷。南雄市上部叶开片较好，不需进行优化。按要求落实烟叶优化结构扶持政策，保障烟农利益。</w:t>
      </w:r>
    </w:p>
    <w:p w14:paraId="1D508E8E">
      <w:pPr>
        <w:rPr>
          <w:rFonts w:hint="eastAsia" w:hAnsi="宋体" w:cs="宋体"/>
          <w:highlight w:val="none"/>
        </w:rPr>
      </w:pPr>
      <w:r>
        <w:rPr>
          <w:rFonts w:hint="eastAsia" w:hAnsi="宋体" w:cs="宋体"/>
          <w:highlight w:val="none"/>
        </w:rPr>
        <w:t>经广东省烟草专卖局（公司）批准，从7月13日起开磅收购，9月30日停磅收购，累计收购烟叶13172</w:t>
      </w:r>
      <w:r>
        <w:rPr>
          <w:rFonts w:hint="eastAsia" w:ascii="MingLiU_HKSCS" w:hAnsi="MingLiU_HKSCS" w:eastAsia="MingLiU_HKSCS" w:cs="MingLiU_HKSCS"/>
          <w:highlight w:val="none"/>
        </w:rPr>
        <w:t>.</w:t>
      </w:r>
      <w:r>
        <w:rPr>
          <w:rFonts w:hint="eastAsia" w:hAnsi="宋体" w:cs="宋体"/>
          <w:highlight w:val="none"/>
        </w:rPr>
        <w:t>63吨，完成收购计划的98</w:t>
      </w:r>
      <w:r>
        <w:rPr>
          <w:rFonts w:hint="eastAsia" w:ascii="MingLiU_HKSCS" w:hAnsi="MingLiU_HKSCS" w:eastAsia="MingLiU_HKSCS" w:cs="MingLiU_HKSCS"/>
          <w:highlight w:val="none"/>
        </w:rPr>
        <w:t>.</w:t>
      </w:r>
      <w:r>
        <w:rPr>
          <w:rFonts w:hint="eastAsia" w:hAnsi="宋体" w:cs="宋体"/>
          <w:highlight w:val="none"/>
        </w:rPr>
        <w:t>12%，其中上等烟比例47</w:t>
      </w:r>
      <w:r>
        <w:rPr>
          <w:rFonts w:hint="eastAsia" w:ascii="MingLiU_HKSCS" w:hAnsi="MingLiU_HKSCS" w:eastAsia="MingLiU_HKSCS" w:cs="MingLiU_HKSCS"/>
          <w:highlight w:val="none"/>
        </w:rPr>
        <w:t>.</w:t>
      </w:r>
      <w:r>
        <w:rPr>
          <w:rFonts w:hint="eastAsia" w:hAnsi="宋体" w:cs="宋体"/>
          <w:highlight w:val="none"/>
        </w:rPr>
        <w:t>02%、中等烟比例51</w:t>
      </w:r>
      <w:r>
        <w:rPr>
          <w:rFonts w:hint="eastAsia" w:ascii="MingLiU_HKSCS" w:hAnsi="MingLiU_HKSCS" w:eastAsia="MingLiU_HKSCS" w:cs="MingLiU_HKSCS"/>
          <w:highlight w:val="none"/>
        </w:rPr>
        <w:t>.</w:t>
      </w:r>
      <w:r>
        <w:rPr>
          <w:rFonts w:hint="eastAsia" w:hAnsi="宋体" w:cs="宋体"/>
          <w:highlight w:val="none"/>
        </w:rPr>
        <w:t>24%、低下次烟比例1</w:t>
      </w:r>
      <w:r>
        <w:rPr>
          <w:rFonts w:hint="eastAsia" w:ascii="MingLiU_HKSCS" w:hAnsi="MingLiU_HKSCS" w:eastAsia="MingLiU_HKSCS" w:cs="MingLiU_HKSCS"/>
          <w:highlight w:val="none"/>
        </w:rPr>
        <w:t>.</w:t>
      </w:r>
      <w:r>
        <w:rPr>
          <w:rFonts w:hint="eastAsia" w:hAnsi="宋体" w:cs="宋体"/>
          <w:highlight w:val="none"/>
        </w:rPr>
        <w:t>74%；上部叶比例36</w:t>
      </w:r>
      <w:r>
        <w:rPr>
          <w:rFonts w:hint="eastAsia" w:ascii="MingLiU_HKSCS" w:hAnsi="MingLiU_HKSCS" w:eastAsia="MingLiU_HKSCS" w:cs="MingLiU_HKSCS"/>
          <w:highlight w:val="none"/>
        </w:rPr>
        <w:t>.</w:t>
      </w:r>
      <w:r>
        <w:rPr>
          <w:rFonts w:hint="eastAsia" w:hAnsi="宋体" w:cs="宋体"/>
          <w:highlight w:val="none"/>
        </w:rPr>
        <w:t>54%、中部叶比例49</w:t>
      </w:r>
      <w:r>
        <w:rPr>
          <w:rFonts w:hint="eastAsia" w:ascii="MingLiU_HKSCS" w:hAnsi="MingLiU_HKSCS" w:eastAsia="MingLiU_HKSCS" w:cs="MingLiU_HKSCS"/>
          <w:highlight w:val="none"/>
        </w:rPr>
        <w:t>.</w:t>
      </w:r>
      <w:r>
        <w:rPr>
          <w:rFonts w:hint="eastAsia" w:hAnsi="宋体" w:cs="宋体"/>
          <w:highlight w:val="none"/>
        </w:rPr>
        <w:t>85%、下部叶比例12</w:t>
      </w:r>
      <w:r>
        <w:rPr>
          <w:rFonts w:hint="eastAsia" w:ascii="MingLiU_HKSCS" w:hAnsi="MingLiU_HKSCS" w:eastAsia="MingLiU_HKSCS" w:cs="MingLiU_HKSCS"/>
          <w:highlight w:val="none"/>
        </w:rPr>
        <w:t>.</w:t>
      </w:r>
      <w:r>
        <w:rPr>
          <w:rFonts w:hint="eastAsia" w:hAnsi="宋体" w:cs="宋体"/>
          <w:highlight w:val="none"/>
        </w:rPr>
        <w:t>87%；收购金额3</w:t>
      </w:r>
      <w:r>
        <w:rPr>
          <w:rFonts w:hint="eastAsia" w:ascii="MingLiU_HKSCS" w:hAnsi="MingLiU_HKSCS" w:eastAsia="MingLiU_HKSCS" w:cs="MingLiU_HKSCS"/>
          <w:highlight w:val="none"/>
        </w:rPr>
        <w:t>.</w:t>
      </w:r>
      <w:r>
        <w:rPr>
          <w:rFonts w:hint="eastAsia" w:hAnsi="宋体" w:cs="宋体"/>
          <w:highlight w:val="none"/>
        </w:rPr>
        <w:t>25亿元，均价12</w:t>
      </w:r>
      <w:r>
        <w:rPr>
          <w:rFonts w:hint="eastAsia" w:ascii="MingLiU_HKSCS" w:hAnsi="MingLiU_HKSCS" w:eastAsia="MingLiU_HKSCS" w:cs="MingLiU_HKSCS"/>
          <w:highlight w:val="none"/>
        </w:rPr>
        <w:t>.</w:t>
      </w:r>
      <w:r>
        <w:rPr>
          <w:rFonts w:hint="eastAsia" w:hAnsi="宋体" w:cs="宋体"/>
          <w:highlight w:val="none"/>
        </w:rPr>
        <w:t>33元/斤（其中散叶收购量6950吨，均价12</w:t>
      </w:r>
      <w:r>
        <w:rPr>
          <w:rFonts w:hint="eastAsia" w:ascii="MingLiU_HKSCS" w:hAnsi="MingLiU_HKSCS" w:eastAsia="MingLiU_HKSCS" w:cs="MingLiU_HKSCS"/>
          <w:highlight w:val="none"/>
        </w:rPr>
        <w:t>.</w:t>
      </w:r>
      <w:r>
        <w:rPr>
          <w:rFonts w:hint="eastAsia" w:hAnsi="宋体" w:cs="宋体"/>
          <w:highlight w:val="none"/>
        </w:rPr>
        <w:t>43元/斤）。</w:t>
      </w:r>
    </w:p>
    <w:p w14:paraId="426FDEDC">
      <w:pPr>
        <w:rPr>
          <w:rFonts w:hint="eastAsia" w:hAnsi="宋体" w:cs="宋体"/>
          <w:highlight w:val="none"/>
        </w:rPr>
      </w:pPr>
      <w:r>
        <w:rPr>
          <w:rFonts w:hint="eastAsia" w:hAnsi="宋体" w:cs="宋体"/>
          <w:highlight w:val="none"/>
        </w:rPr>
        <w:t>建设烟基项目2448项，包括：密集烤房建设650座、烤房设备维修更换298座、烟夹购置1500套。</w:t>
      </w:r>
    </w:p>
    <w:p w14:paraId="1D7D34B2">
      <w:pPr>
        <w:pStyle w:val="4"/>
        <w:bidi w:val="0"/>
        <w:rPr>
          <w:rFonts w:hint="eastAsia"/>
          <w:highlight w:val="none"/>
        </w:rPr>
      </w:pPr>
      <w:r>
        <w:rPr>
          <w:rFonts w:hint="eastAsia"/>
          <w:highlight w:val="none"/>
        </w:rPr>
        <w:t>【科技兴烟】</w:t>
      </w:r>
    </w:p>
    <w:p w14:paraId="6786A706">
      <w:pPr>
        <w:rPr>
          <w:rFonts w:hint="eastAsia" w:hAnsi="宋体" w:cs="宋体"/>
          <w:highlight w:val="none"/>
        </w:rPr>
      </w:pPr>
      <w:r>
        <w:rPr>
          <w:rFonts w:hint="eastAsia" w:hAnsi="宋体" w:cs="宋体"/>
          <w:highlight w:val="none"/>
        </w:rPr>
        <w:t>探索推进精益烟叶生产管理方式。抓专业化服务，帮助烟农减工降本；严管布局，优化种植，对部分不适宜种烟地区进行调整；依靠科技兴烟，积极推进试验示范工作。2015年，南雄市承担国家烟草专卖局项目1项，为特色优质烟叶开发重大专项；承担广东省烟草专卖局（公司）项目3项，为不适用烟叶的生物处理技术开发与示范、晾晒烟资源的挖掘评价和利用、广东浓香型特色优质烟叶开发。同时，在黄坑、湖口、水口、古市4个烟叶基地单元共建设1030亩示范区，主要集成培育壮苗、机耕起垄、前膜后草、土壤改良、测土配方施肥、病虫害综合防治、上部叶4—6片充分成熟一次性采收和密集烘烤等关键技术。其中，湖口洋汾为国家烟草专卖局特色优质烟叶开发核心示范区，面积400亩；黄坑许村为广东省特色优质烟叶开发核心示范区，面积350亩。</w:t>
      </w:r>
    </w:p>
    <w:p w14:paraId="29F3BE20">
      <w:pPr>
        <w:pStyle w:val="4"/>
        <w:bidi w:val="0"/>
        <w:rPr>
          <w:rFonts w:hint="eastAsia"/>
          <w:highlight w:val="none"/>
        </w:rPr>
      </w:pPr>
      <w:r>
        <w:rPr>
          <w:rFonts w:hint="eastAsia"/>
          <w:highlight w:val="none"/>
        </w:rPr>
        <w:t>【专卖管理】</w:t>
      </w:r>
    </w:p>
    <w:p w14:paraId="130456B2">
      <w:pPr>
        <w:rPr>
          <w:rFonts w:hint="eastAsia" w:hAnsi="宋体" w:cs="宋体"/>
          <w:highlight w:val="none"/>
        </w:rPr>
      </w:pPr>
      <w:r>
        <w:rPr>
          <w:rFonts w:hint="eastAsia" w:hAnsi="宋体" w:cs="宋体"/>
          <w:highlight w:val="none"/>
        </w:rPr>
        <w:t>2015年查获涉烟案件272宗（其中5宗为复合案件，有2个案由），总案值799</w:t>
      </w:r>
      <w:r>
        <w:rPr>
          <w:rFonts w:hint="eastAsia" w:ascii="MingLiU_HKSCS" w:hAnsi="MingLiU_HKSCS" w:eastAsia="MingLiU_HKSCS" w:cs="MingLiU_HKSCS"/>
          <w:highlight w:val="none"/>
        </w:rPr>
        <w:t>.</w:t>
      </w:r>
      <w:r>
        <w:rPr>
          <w:rFonts w:hint="eastAsia" w:hAnsi="宋体" w:cs="宋体"/>
          <w:highlight w:val="none"/>
        </w:rPr>
        <w:t>88万元。假、私、非烟查处方面：查处非烟案件233宗、非烟470</w:t>
      </w:r>
      <w:r>
        <w:rPr>
          <w:rFonts w:hint="eastAsia" w:ascii="MingLiU_HKSCS" w:hAnsi="MingLiU_HKSCS" w:eastAsia="MingLiU_HKSCS" w:cs="MingLiU_HKSCS"/>
          <w:highlight w:val="none"/>
        </w:rPr>
        <w:t>.</w:t>
      </w:r>
      <w:r>
        <w:rPr>
          <w:rFonts w:hint="eastAsia" w:hAnsi="宋体" w:cs="宋体"/>
          <w:highlight w:val="none"/>
        </w:rPr>
        <w:t>38万支、案值128</w:t>
      </w:r>
      <w:r>
        <w:rPr>
          <w:rFonts w:hint="eastAsia" w:ascii="MingLiU_HKSCS" w:hAnsi="MingLiU_HKSCS" w:eastAsia="MingLiU_HKSCS" w:cs="MingLiU_HKSCS"/>
          <w:highlight w:val="none"/>
        </w:rPr>
        <w:t>.</w:t>
      </w:r>
      <w:r>
        <w:rPr>
          <w:rFonts w:hint="eastAsia" w:hAnsi="宋体" w:cs="宋体"/>
          <w:highlight w:val="none"/>
        </w:rPr>
        <w:t>24万元；假烟案件20宗、假烟4</w:t>
      </w:r>
      <w:r>
        <w:rPr>
          <w:rFonts w:hint="eastAsia" w:ascii="MingLiU_HKSCS" w:hAnsi="MingLiU_HKSCS" w:eastAsia="MingLiU_HKSCS" w:cs="MingLiU_HKSCS"/>
          <w:highlight w:val="none"/>
        </w:rPr>
        <w:t>.</w:t>
      </w:r>
      <w:r>
        <w:rPr>
          <w:rFonts w:hint="eastAsia" w:hAnsi="宋体" w:cs="宋体"/>
          <w:highlight w:val="none"/>
        </w:rPr>
        <w:t>45万支、案值2</w:t>
      </w:r>
      <w:r>
        <w:rPr>
          <w:rFonts w:hint="eastAsia" w:ascii="MingLiU_HKSCS" w:hAnsi="MingLiU_HKSCS" w:eastAsia="MingLiU_HKSCS" w:cs="MingLiU_HKSCS"/>
          <w:highlight w:val="none"/>
        </w:rPr>
        <w:t>.</w:t>
      </w:r>
      <w:r>
        <w:rPr>
          <w:rFonts w:hint="eastAsia" w:hAnsi="宋体" w:cs="宋体"/>
          <w:highlight w:val="none"/>
        </w:rPr>
        <w:t>73万元；私烟案件21宗、私烟6</w:t>
      </w:r>
      <w:r>
        <w:rPr>
          <w:rFonts w:hint="eastAsia" w:ascii="MingLiU_HKSCS" w:hAnsi="MingLiU_HKSCS" w:eastAsia="MingLiU_HKSCS" w:cs="MingLiU_HKSCS"/>
          <w:highlight w:val="none"/>
        </w:rPr>
        <w:t>.</w:t>
      </w:r>
      <w:r>
        <w:rPr>
          <w:rFonts w:hint="eastAsia" w:hAnsi="宋体" w:cs="宋体"/>
          <w:highlight w:val="none"/>
        </w:rPr>
        <w:t>9万支、案值3</w:t>
      </w:r>
      <w:r>
        <w:rPr>
          <w:rFonts w:hint="eastAsia" w:ascii="MingLiU_HKSCS" w:hAnsi="MingLiU_HKSCS" w:eastAsia="MingLiU_HKSCS" w:cs="MingLiU_HKSCS"/>
          <w:highlight w:val="none"/>
        </w:rPr>
        <w:t>.</w:t>
      </w:r>
      <w:r>
        <w:rPr>
          <w:rFonts w:hint="eastAsia" w:hAnsi="宋体" w:cs="宋体"/>
          <w:highlight w:val="none"/>
        </w:rPr>
        <w:t>14万元。制假原辅材料查处方面：查处2宗卷烟制假窝点案件，以及1宗无证运输烟叶案件，共查获烟叶1769</w:t>
      </w:r>
      <w:r>
        <w:rPr>
          <w:rFonts w:hint="eastAsia" w:ascii="MingLiU_HKSCS" w:hAnsi="MingLiU_HKSCS" w:eastAsia="MingLiU_HKSCS" w:cs="MingLiU_HKSCS"/>
          <w:highlight w:val="none"/>
        </w:rPr>
        <w:t>.</w:t>
      </w:r>
      <w:r>
        <w:rPr>
          <w:rFonts w:hint="eastAsia" w:hAnsi="宋体" w:cs="宋体"/>
          <w:highlight w:val="none"/>
        </w:rPr>
        <w:t>25吨、烟丝2237吨、烟梗2991</w:t>
      </w:r>
      <w:r>
        <w:rPr>
          <w:rFonts w:hint="eastAsia" w:ascii="MingLiU_HKSCS" w:hAnsi="MingLiU_HKSCS" w:eastAsia="MingLiU_HKSCS" w:cs="MingLiU_HKSCS"/>
          <w:highlight w:val="none"/>
        </w:rPr>
        <w:t>.</w:t>
      </w:r>
      <w:r>
        <w:rPr>
          <w:rFonts w:hint="eastAsia" w:hAnsi="宋体" w:cs="宋体"/>
          <w:highlight w:val="none"/>
        </w:rPr>
        <w:t>45吨、制假烟草器械32台，案值665</w:t>
      </w:r>
      <w:r>
        <w:rPr>
          <w:rFonts w:hint="eastAsia" w:ascii="MingLiU_HKSCS" w:hAnsi="MingLiU_HKSCS" w:eastAsia="MingLiU_HKSCS" w:cs="MingLiU_HKSCS"/>
          <w:highlight w:val="none"/>
        </w:rPr>
        <w:t>.</w:t>
      </w:r>
      <w:r>
        <w:rPr>
          <w:rFonts w:hint="eastAsia" w:hAnsi="宋体" w:cs="宋体"/>
          <w:highlight w:val="none"/>
        </w:rPr>
        <w:t>78万元。</w:t>
      </w:r>
    </w:p>
    <w:p w14:paraId="594B4426">
      <w:pPr>
        <w:rPr>
          <w:rFonts w:hint="eastAsia" w:hAnsi="宋体" w:cs="宋体"/>
          <w:highlight w:val="none"/>
        </w:rPr>
      </w:pPr>
      <w:r>
        <w:rPr>
          <w:rFonts w:hint="eastAsia" w:hAnsi="宋体" w:cs="宋体"/>
          <w:highlight w:val="none"/>
        </w:rPr>
        <w:t>2015年新办理烟草专卖卷烟零售许可证141份，办理歇业121户，注销68户，截至年底全市有效持证1509户，完成合理布局规划数97</w:t>
      </w:r>
      <w:r>
        <w:rPr>
          <w:rFonts w:hint="eastAsia" w:ascii="MingLiU_HKSCS" w:hAnsi="MingLiU_HKSCS" w:eastAsia="MingLiU_HKSCS" w:cs="MingLiU_HKSCS"/>
          <w:highlight w:val="none"/>
        </w:rPr>
        <w:t>.</w:t>
      </w:r>
      <w:r>
        <w:rPr>
          <w:rFonts w:hint="eastAsia" w:hAnsi="宋体" w:cs="宋体"/>
          <w:highlight w:val="none"/>
        </w:rPr>
        <w:t>35%。</w:t>
      </w:r>
    </w:p>
    <w:p w14:paraId="56B980C0">
      <w:pPr>
        <w:pStyle w:val="4"/>
        <w:bidi w:val="0"/>
        <w:rPr>
          <w:rFonts w:hint="eastAsia"/>
          <w:highlight w:val="none"/>
        </w:rPr>
      </w:pPr>
      <w:r>
        <w:rPr>
          <w:rFonts w:hint="eastAsia"/>
          <w:highlight w:val="none"/>
        </w:rPr>
        <w:t>【卷烟经营】</w:t>
      </w:r>
    </w:p>
    <w:p w14:paraId="2E748758">
      <w:pPr>
        <w:rPr>
          <w:rFonts w:hint="eastAsia" w:hAnsi="宋体" w:cs="宋体"/>
          <w:highlight w:val="none"/>
        </w:rPr>
      </w:pPr>
      <w:r>
        <w:rPr>
          <w:rFonts w:hint="eastAsia" w:hAnsi="宋体" w:cs="宋体"/>
          <w:highlight w:val="none"/>
        </w:rPr>
        <w:t>2015年销售卷烟1</w:t>
      </w:r>
      <w:r>
        <w:rPr>
          <w:rFonts w:hint="eastAsia" w:ascii="MingLiU_HKSCS" w:hAnsi="MingLiU_HKSCS" w:eastAsia="MingLiU_HKSCS" w:cs="MingLiU_HKSCS"/>
          <w:highlight w:val="none"/>
        </w:rPr>
        <w:t>.</w:t>
      </w:r>
      <w:r>
        <w:rPr>
          <w:rFonts w:hint="eastAsia" w:hAnsi="宋体" w:cs="宋体"/>
          <w:highlight w:val="none"/>
        </w:rPr>
        <w:t>4342万箱，完成年度计划的100</w:t>
      </w:r>
      <w:r>
        <w:rPr>
          <w:rFonts w:hint="eastAsia" w:ascii="MingLiU_HKSCS" w:hAnsi="MingLiU_HKSCS" w:eastAsia="MingLiU_HKSCS" w:cs="MingLiU_HKSCS"/>
          <w:highlight w:val="none"/>
        </w:rPr>
        <w:t>.</w:t>
      </w:r>
      <w:r>
        <w:rPr>
          <w:rFonts w:hint="eastAsia" w:hAnsi="宋体" w:cs="宋体"/>
          <w:highlight w:val="none"/>
        </w:rPr>
        <w:t>30%；规划建成现代终端340户（其中功能店313户，形象店27户），占南雄市客户比重22</w:t>
      </w:r>
      <w:r>
        <w:rPr>
          <w:rFonts w:hint="eastAsia" w:ascii="MingLiU_HKSCS" w:hAnsi="MingLiU_HKSCS" w:eastAsia="MingLiU_HKSCS" w:cs="MingLiU_HKSCS"/>
          <w:highlight w:val="none"/>
        </w:rPr>
        <w:t>.</w:t>
      </w:r>
      <w:r>
        <w:rPr>
          <w:rFonts w:hint="eastAsia" w:hAnsi="宋体" w:cs="宋体"/>
          <w:highlight w:val="none"/>
        </w:rPr>
        <w:t>11%。实际建成零售终端354户（其中功能店330户，形象店24户），完成年度规划100</w:t>
      </w:r>
      <w:r>
        <w:rPr>
          <w:rFonts w:hint="eastAsia" w:ascii="MingLiU_HKSCS" w:hAnsi="MingLiU_HKSCS" w:eastAsia="MingLiU_HKSCS" w:cs="MingLiU_HKSCS"/>
          <w:highlight w:val="none"/>
        </w:rPr>
        <w:t>.</w:t>
      </w:r>
      <w:r>
        <w:rPr>
          <w:rFonts w:hint="eastAsia" w:hAnsi="宋体" w:cs="宋体"/>
          <w:highlight w:val="none"/>
        </w:rPr>
        <w:t>41%。截至2015年底，网上订货客户数1458户，占总客户数1501户97</w:t>
      </w:r>
      <w:r>
        <w:rPr>
          <w:rFonts w:hint="eastAsia" w:ascii="MingLiU_HKSCS" w:hAnsi="MingLiU_HKSCS" w:eastAsia="MingLiU_HKSCS" w:cs="MingLiU_HKSCS"/>
          <w:highlight w:val="none"/>
        </w:rPr>
        <w:t>.</w:t>
      </w:r>
      <w:r>
        <w:rPr>
          <w:rFonts w:hint="eastAsia" w:hAnsi="宋体" w:cs="宋体"/>
          <w:highlight w:val="none"/>
        </w:rPr>
        <w:t>14%，超额完成95%目标任务。</w:t>
      </w:r>
    </w:p>
    <w:p w14:paraId="430A8DC4">
      <w:pPr>
        <w:pStyle w:val="4"/>
        <w:bidi w:val="0"/>
        <w:rPr>
          <w:rFonts w:hint="eastAsia"/>
          <w:highlight w:val="none"/>
        </w:rPr>
      </w:pPr>
      <w:r>
        <w:rPr>
          <w:rFonts w:hint="eastAsia"/>
          <w:highlight w:val="none"/>
        </w:rPr>
        <w:t>【各烟站简介】</w:t>
      </w:r>
    </w:p>
    <w:p w14:paraId="4FF2EF08">
      <w:pPr>
        <w:rPr>
          <w:rFonts w:hint="eastAsia" w:hAnsi="宋体" w:cs="宋体"/>
          <w:highlight w:val="none"/>
        </w:rPr>
      </w:pPr>
      <w:r>
        <w:rPr>
          <w:rFonts w:hint="eastAsia" w:hAnsi="宋体" w:cs="宋体"/>
          <w:highlight w:val="none"/>
        </w:rPr>
        <w:t>水口烟叶工作站位于南雄市至水口镇县道旁，下设河坪、南亩、坪岗（临时点）3个烟叶收购点，负责水口镇和南亩镇烟叶种植、收购等业务，签订烟叶种植收购合同面积642</w:t>
      </w:r>
      <w:r>
        <w:rPr>
          <w:rFonts w:hint="eastAsia" w:ascii="MingLiU_HKSCS" w:hAnsi="MingLiU_HKSCS" w:eastAsia="MingLiU_HKSCS" w:cs="MingLiU_HKSCS"/>
          <w:highlight w:val="none"/>
        </w:rPr>
        <w:t>.</w:t>
      </w:r>
      <w:r>
        <w:rPr>
          <w:rFonts w:hint="eastAsia" w:hAnsi="宋体" w:cs="宋体"/>
          <w:highlight w:val="none"/>
        </w:rPr>
        <w:t>07公顷，收购烟叶1384</w:t>
      </w:r>
      <w:r>
        <w:rPr>
          <w:rFonts w:hint="eastAsia" w:ascii="MingLiU_HKSCS" w:hAnsi="MingLiU_HKSCS" w:eastAsia="MingLiU_HKSCS" w:cs="MingLiU_HKSCS"/>
          <w:highlight w:val="none"/>
        </w:rPr>
        <w:t>.</w:t>
      </w:r>
      <w:r>
        <w:rPr>
          <w:rFonts w:hint="eastAsia" w:hAnsi="宋体" w:cs="宋体"/>
          <w:highlight w:val="none"/>
        </w:rPr>
        <w:t>58吨，对口川渝中烟工业有限责任公司，对口卷烟品牌“娇子”。</w:t>
      </w:r>
    </w:p>
    <w:p w14:paraId="7865D803">
      <w:pPr>
        <w:rPr>
          <w:rFonts w:hint="eastAsia" w:hAnsi="宋体" w:cs="宋体"/>
          <w:highlight w:val="none"/>
        </w:rPr>
      </w:pPr>
      <w:r>
        <w:rPr>
          <w:rFonts w:hint="eastAsia" w:hAnsi="宋体" w:cs="宋体"/>
          <w:highlight w:val="none"/>
        </w:rPr>
        <w:t>湖口烟叶工作站位于南雄市湖口镇南雄至湖口镇国道旁，下设里和、长市2个烟叶收购点，负责湖口镇烟叶种植、收购等业务，签订烟叶种植收购合同面积840</w:t>
      </w:r>
      <w:r>
        <w:rPr>
          <w:rFonts w:hint="eastAsia" w:ascii="MingLiU_HKSCS" w:hAnsi="MingLiU_HKSCS" w:eastAsia="MingLiU_HKSCS" w:cs="MingLiU_HKSCS"/>
          <w:highlight w:val="none"/>
        </w:rPr>
        <w:t>.</w:t>
      </w:r>
      <w:r>
        <w:rPr>
          <w:rFonts w:hint="eastAsia" w:hAnsi="宋体" w:cs="宋体"/>
          <w:highlight w:val="none"/>
        </w:rPr>
        <w:t>07公顷，收购烟叶1762</w:t>
      </w:r>
      <w:r>
        <w:rPr>
          <w:rFonts w:hint="eastAsia" w:ascii="MingLiU_HKSCS" w:hAnsi="MingLiU_HKSCS" w:eastAsia="MingLiU_HKSCS" w:cs="MingLiU_HKSCS"/>
          <w:highlight w:val="none"/>
        </w:rPr>
        <w:t>.</w:t>
      </w:r>
      <w:r>
        <w:rPr>
          <w:rFonts w:hint="eastAsia" w:hAnsi="宋体" w:cs="宋体"/>
          <w:highlight w:val="none"/>
        </w:rPr>
        <w:t>81吨，对口深圳烟草工业有限责任公司，对口卷烟品牌“好日子”。</w:t>
      </w:r>
    </w:p>
    <w:p w14:paraId="69F4AAEC">
      <w:pPr>
        <w:rPr>
          <w:rFonts w:hint="eastAsia" w:hAnsi="宋体" w:cs="宋体"/>
          <w:highlight w:val="none"/>
        </w:rPr>
      </w:pPr>
      <w:r>
        <w:rPr>
          <w:rFonts w:hint="eastAsia" w:hAnsi="宋体" w:cs="宋体"/>
          <w:highlight w:val="none"/>
        </w:rPr>
        <w:t>黄坑烟叶工作站位于南雄市黄坑镇黄坑村委会上坑村，负责黄坑镇烟叶生产和收购等业务，签订烟叶种植收购合同面积780</w:t>
      </w:r>
      <w:r>
        <w:rPr>
          <w:rFonts w:hint="eastAsia" w:ascii="MingLiU_HKSCS" w:hAnsi="MingLiU_HKSCS" w:eastAsia="MingLiU_HKSCS" w:cs="MingLiU_HKSCS"/>
          <w:highlight w:val="none"/>
        </w:rPr>
        <w:t>.</w:t>
      </w:r>
      <w:r>
        <w:rPr>
          <w:rFonts w:hint="eastAsia" w:hAnsi="宋体" w:cs="宋体"/>
          <w:highlight w:val="none"/>
        </w:rPr>
        <w:t>4公顷，收购烟叶1715吨，对口广东中烟工业有限责任公司，对口卷烟品牌“双喜”。</w:t>
      </w:r>
    </w:p>
    <w:p w14:paraId="2870EE32">
      <w:pPr>
        <w:rPr>
          <w:rFonts w:hint="eastAsia" w:hAnsi="宋体" w:cs="宋体"/>
          <w:highlight w:val="none"/>
        </w:rPr>
      </w:pPr>
      <w:r>
        <w:rPr>
          <w:rFonts w:hint="eastAsia" w:hAnsi="宋体" w:cs="宋体"/>
          <w:highlight w:val="none"/>
        </w:rPr>
        <w:t>古市烟叶工作站位于南雄市古市镇G323国道旁，下设丹布、小坑（临时点）2个烟叶收购点，负责古市镇烟叶生产和收购等业务，签订烟叶种植收购合同面积693</w:t>
      </w:r>
      <w:r>
        <w:rPr>
          <w:rFonts w:hint="eastAsia" w:ascii="MingLiU_HKSCS" w:hAnsi="MingLiU_HKSCS" w:eastAsia="MingLiU_HKSCS" w:cs="MingLiU_HKSCS"/>
          <w:highlight w:val="none"/>
        </w:rPr>
        <w:t>.</w:t>
      </w:r>
      <w:r>
        <w:rPr>
          <w:rFonts w:hint="eastAsia" w:hAnsi="宋体" w:cs="宋体"/>
          <w:highlight w:val="none"/>
        </w:rPr>
        <w:t>33公顷，收购烟叶1478</w:t>
      </w:r>
      <w:r>
        <w:rPr>
          <w:rFonts w:hint="eastAsia" w:ascii="MingLiU_HKSCS" w:hAnsi="MingLiU_HKSCS" w:eastAsia="MingLiU_HKSCS" w:cs="MingLiU_HKSCS"/>
          <w:highlight w:val="none"/>
        </w:rPr>
        <w:t>.</w:t>
      </w:r>
      <w:r>
        <w:rPr>
          <w:rFonts w:hint="eastAsia" w:hAnsi="宋体" w:cs="宋体"/>
          <w:highlight w:val="none"/>
        </w:rPr>
        <w:t>11吨，对口湖北中烟工业有限责任公司，对口卷烟品牌“黄鹤楼”。</w:t>
      </w:r>
    </w:p>
    <w:p w14:paraId="16F0997F">
      <w:pPr>
        <w:rPr>
          <w:rFonts w:hint="eastAsia" w:hAnsi="宋体" w:cs="宋体"/>
          <w:highlight w:val="none"/>
        </w:rPr>
      </w:pPr>
      <w:r>
        <w:rPr>
          <w:rFonts w:hint="eastAsia" w:hAnsi="宋体" w:cs="宋体"/>
          <w:highlight w:val="none"/>
        </w:rPr>
        <w:t>乌迳烟叶工作站位于南雄市乌迳镇，处在广东与江西交界地段，负责乌迳镇黄烟种植和收购等业务，签订烟叶种植收购合同面积454</w:t>
      </w:r>
      <w:r>
        <w:rPr>
          <w:rFonts w:hint="eastAsia" w:ascii="MingLiU_HKSCS" w:hAnsi="MingLiU_HKSCS" w:eastAsia="MingLiU_HKSCS" w:cs="MingLiU_HKSCS"/>
          <w:highlight w:val="none"/>
        </w:rPr>
        <w:t>.</w:t>
      </w:r>
      <w:r>
        <w:rPr>
          <w:rFonts w:hint="eastAsia" w:hAnsi="宋体" w:cs="宋体"/>
          <w:highlight w:val="none"/>
        </w:rPr>
        <w:t>87公顷，收购烟叶999</w:t>
      </w:r>
      <w:r>
        <w:rPr>
          <w:rFonts w:hint="eastAsia" w:ascii="MingLiU_HKSCS" w:hAnsi="MingLiU_HKSCS" w:eastAsia="MingLiU_HKSCS" w:cs="MingLiU_HKSCS"/>
          <w:highlight w:val="none"/>
        </w:rPr>
        <w:t>.</w:t>
      </w:r>
      <w:r>
        <w:rPr>
          <w:rFonts w:hint="eastAsia" w:hAnsi="宋体" w:cs="宋体"/>
          <w:highlight w:val="none"/>
        </w:rPr>
        <w:t>5吨。</w:t>
      </w:r>
    </w:p>
    <w:p w14:paraId="1B1CFA2E">
      <w:pPr>
        <w:rPr>
          <w:rFonts w:hint="eastAsia" w:hAnsi="宋体" w:cs="宋体"/>
          <w:highlight w:val="none"/>
        </w:rPr>
      </w:pPr>
      <w:r>
        <w:rPr>
          <w:rFonts w:hint="eastAsia" w:hAnsi="宋体" w:cs="宋体"/>
          <w:highlight w:val="none"/>
        </w:rPr>
        <w:t>珠玑烟叶工作站位于南雄市雄东路雄信公路边，下设里东烟叶收购点，负责珠玑镇和雄州街道铺背村烟叶生产和收购等业务，签订烟叶种植收购合同面积414</w:t>
      </w:r>
      <w:r>
        <w:rPr>
          <w:rFonts w:hint="eastAsia" w:ascii="MingLiU_HKSCS" w:hAnsi="MingLiU_HKSCS" w:eastAsia="MingLiU_HKSCS" w:cs="MingLiU_HKSCS"/>
          <w:highlight w:val="none"/>
        </w:rPr>
        <w:t>.</w:t>
      </w:r>
      <w:r>
        <w:rPr>
          <w:rFonts w:hint="eastAsia" w:hAnsi="宋体" w:cs="宋体"/>
          <w:highlight w:val="none"/>
        </w:rPr>
        <w:t>8公顷，收购烟叶904</w:t>
      </w:r>
      <w:r>
        <w:rPr>
          <w:rFonts w:hint="eastAsia" w:ascii="MingLiU_HKSCS" w:hAnsi="MingLiU_HKSCS" w:eastAsia="MingLiU_HKSCS" w:cs="MingLiU_HKSCS"/>
          <w:highlight w:val="none"/>
        </w:rPr>
        <w:t>.</w:t>
      </w:r>
      <w:r>
        <w:rPr>
          <w:rFonts w:hint="eastAsia" w:hAnsi="宋体" w:cs="宋体"/>
          <w:highlight w:val="none"/>
        </w:rPr>
        <w:t>07吨。</w:t>
      </w:r>
    </w:p>
    <w:p w14:paraId="3FAE724C">
      <w:pPr>
        <w:rPr>
          <w:rFonts w:hint="eastAsia" w:hAnsi="宋体" w:cs="宋体"/>
          <w:highlight w:val="none"/>
        </w:rPr>
      </w:pPr>
      <w:r>
        <w:rPr>
          <w:rFonts w:hint="eastAsia" w:hAnsi="宋体" w:cs="宋体"/>
          <w:highlight w:val="none"/>
        </w:rPr>
        <w:t>黎口烟叶收购点位于南雄市雄州镇雄东路，下设帽子峰收购点（临时点），负责雄州街道、江头镇、全安镇和帽子峰镇烟叶生产和收购等业务，签订烟叶种植收购合同面积650</w:t>
      </w:r>
      <w:r>
        <w:rPr>
          <w:rFonts w:hint="eastAsia" w:ascii="MingLiU_HKSCS" w:hAnsi="MingLiU_HKSCS" w:eastAsia="MingLiU_HKSCS" w:cs="MingLiU_HKSCS"/>
          <w:highlight w:val="none"/>
        </w:rPr>
        <w:t>.</w:t>
      </w:r>
      <w:r>
        <w:rPr>
          <w:rFonts w:hint="eastAsia" w:hAnsi="宋体" w:cs="宋体"/>
          <w:highlight w:val="none"/>
        </w:rPr>
        <w:t>47公顷，收购烟叶1420</w:t>
      </w:r>
      <w:r>
        <w:rPr>
          <w:rFonts w:hint="eastAsia" w:ascii="MingLiU_HKSCS" w:hAnsi="MingLiU_HKSCS" w:eastAsia="MingLiU_HKSCS" w:cs="MingLiU_HKSCS"/>
          <w:highlight w:val="none"/>
        </w:rPr>
        <w:t>.</w:t>
      </w:r>
      <w:r>
        <w:rPr>
          <w:rFonts w:hint="eastAsia" w:hAnsi="宋体" w:cs="宋体"/>
          <w:highlight w:val="none"/>
        </w:rPr>
        <w:t>14吨。</w:t>
      </w:r>
    </w:p>
    <w:p w14:paraId="09960560">
      <w:pPr>
        <w:rPr>
          <w:rFonts w:hint="eastAsia" w:hAnsi="宋体" w:cs="宋体"/>
          <w:highlight w:val="none"/>
        </w:rPr>
      </w:pPr>
      <w:r>
        <w:rPr>
          <w:rFonts w:hint="eastAsia" w:hAnsi="宋体" w:cs="宋体"/>
          <w:highlight w:val="none"/>
        </w:rPr>
        <w:t>主田烟叶收购点位于南雄市雄州镇雄中路，负责主田镇以及雄州街道河南村烟叶生产和收购业务，签订烟叶种植收购合同面积595公顷，收购烟叶1246</w:t>
      </w:r>
      <w:r>
        <w:rPr>
          <w:rFonts w:hint="eastAsia" w:ascii="MingLiU_HKSCS" w:hAnsi="MingLiU_HKSCS" w:eastAsia="MingLiU_HKSCS" w:cs="MingLiU_HKSCS"/>
          <w:highlight w:val="none"/>
        </w:rPr>
        <w:t>.</w:t>
      </w:r>
      <w:r>
        <w:rPr>
          <w:rFonts w:hint="eastAsia" w:hAnsi="宋体" w:cs="宋体"/>
          <w:highlight w:val="none"/>
        </w:rPr>
        <w:t>64吨。</w:t>
      </w:r>
    </w:p>
    <w:p w14:paraId="20EA4580">
      <w:pPr>
        <w:rPr>
          <w:rFonts w:hint="eastAsia" w:hAnsi="宋体" w:cs="宋体"/>
          <w:highlight w:val="none"/>
        </w:rPr>
      </w:pPr>
      <w:r>
        <w:rPr>
          <w:rFonts w:hint="eastAsia" w:hAnsi="宋体" w:cs="宋体"/>
          <w:highlight w:val="none"/>
        </w:rPr>
        <w:t>大塘烟叶收购点位于南雄市油山镇大塘墟，负责油山镇烟叶生产和收购等业务，签订烟叶种植收购合同面积405公顷，收购烟叶871</w:t>
      </w:r>
      <w:r>
        <w:rPr>
          <w:rFonts w:hint="eastAsia" w:ascii="MingLiU_HKSCS" w:hAnsi="MingLiU_HKSCS" w:eastAsia="MingLiU_HKSCS" w:cs="MingLiU_HKSCS"/>
          <w:highlight w:val="none"/>
        </w:rPr>
        <w:t>.</w:t>
      </w:r>
      <w:r>
        <w:rPr>
          <w:rFonts w:hint="eastAsia" w:hAnsi="宋体" w:cs="宋体"/>
          <w:highlight w:val="none"/>
        </w:rPr>
        <w:t>28吨。</w:t>
      </w:r>
    </w:p>
    <w:p w14:paraId="389250FB">
      <w:pPr>
        <w:rPr>
          <w:rFonts w:hint="eastAsia" w:hAnsi="宋体" w:cs="宋体"/>
          <w:highlight w:val="none"/>
        </w:rPr>
      </w:pPr>
      <w:r>
        <w:rPr>
          <w:rFonts w:hint="eastAsia" w:hAnsi="宋体" w:cs="宋体"/>
          <w:highlight w:val="none"/>
        </w:rPr>
        <w:t>邓坊烟叶收购点位于南雄市邓坊镇新墟，负责邓坊镇烟叶生产和收购等业务，签订烟叶种植收购合同面积344</w:t>
      </w:r>
      <w:r>
        <w:rPr>
          <w:rFonts w:hint="eastAsia" w:ascii="MingLiU_HKSCS" w:hAnsi="MingLiU_HKSCS" w:eastAsia="MingLiU_HKSCS" w:cs="MingLiU_HKSCS"/>
          <w:highlight w:val="none"/>
        </w:rPr>
        <w:t>.</w:t>
      </w:r>
      <w:r>
        <w:rPr>
          <w:rFonts w:hint="eastAsia" w:hAnsi="宋体" w:cs="宋体"/>
          <w:highlight w:val="none"/>
        </w:rPr>
        <w:t>27公顷，收购烟叶755</w:t>
      </w:r>
      <w:r>
        <w:rPr>
          <w:rFonts w:hint="eastAsia" w:ascii="MingLiU_HKSCS" w:hAnsi="MingLiU_HKSCS" w:eastAsia="MingLiU_HKSCS" w:cs="MingLiU_HKSCS"/>
          <w:highlight w:val="none"/>
        </w:rPr>
        <w:t>.</w:t>
      </w:r>
      <w:r>
        <w:rPr>
          <w:rFonts w:hint="eastAsia" w:hAnsi="宋体" w:cs="宋体"/>
          <w:highlight w:val="none"/>
        </w:rPr>
        <w:t>5吨。</w:t>
      </w:r>
    </w:p>
    <w:p w14:paraId="13667306">
      <w:pPr>
        <w:rPr>
          <w:rFonts w:hint="eastAsia" w:hAnsi="宋体" w:cs="宋体"/>
          <w:highlight w:val="none"/>
        </w:rPr>
      </w:pPr>
      <w:r>
        <w:rPr>
          <w:rFonts w:hint="eastAsia" w:hAnsi="宋体" w:cs="宋体"/>
          <w:highlight w:val="none"/>
        </w:rPr>
        <w:t>新龙烟叶收购点位于南雄市新龙镇老龙墟，负责坪田镇烟叶生产和收购等业务，签订烟叶种植收购合同面积288</w:t>
      </w:r>
      <w:r>
        <w:rPr>
          <w:rFonts w:hint="eastAsia" w:ascii="MingLiU_HKSCS" w:hAnsi="MingLiU_HKSCS" w:eastAsia="MingLiU_HKSCS" w:cs="MingLiU_HKSCS"/>
          <w:highlight w:val="none"/>
        </w:rPr>
        <w:t>.</w:t>
      </w:r>
      <w:r>
        <w:rPr>
          <w:rFonts w:hint="eastAsia" w:hAnsi="宋体" w:cs="宋体"/>
          <w:highlight w:val="none"/>
        </w:rPr>
        <w:t>93公顷，收购烟叶635吨。</w:t>
      </w:r>
    </w:p>
    <w:p w14:paraId="4F56E2D8">
      <w:pPr>
        <w:pStyle w:val="4"/>
        <w:bidi w:val="0"/>
        <w:rPr>
          <w:rFonts w:hint="eastAsia"/>
          <w:highlight w:val="none"/>
        </w:rPr>
      </w:pPr>
      <w:r>
        <w:rPr>
          <w:rFonts w:hint="eastAsia"/>
          <w:highlight w:val="none"/>
        </w:rPr>
        <w:t>【企业内部管理】</w:t>
      </w:r>
    </w:p>
    <w:p w14:paraId="4D524C1A">
      <w:pPr>
        <w:rPr>
          <w:rFonts w:hint="eastAsia" w:hAnsi="宋体" w:cs="宋体"/>
          <w:highlight w:val="none"/>
        </w:rPr>
      </w:pPr>
      <w:r>
        <w:rPr>
          <w:rFonts w:hint="eastAsia" w:hAnsi="宋体" w:cs="宋体"/>
          <w:highlight w:val="none"/>
        </w:rPr>
        <w:t>贯彻落实中央八项规定，以“三严三实”教育活动为契机，严格执行中央、行业关于公务接待、公务用车、办公用房等各项规定及要求，开展“三严三实”教育活动。推进精益管理，成立精益管理工作领导小组，宣贯精益管理理念，成立QC小组，组织开展10个QC课题活动，结题9个，结题率90%，超额完成结题率达60%的考核目标。全年收到信访案件9件，均及时按流程妥善处理。</w:t>
      </w:r>
    </w:p>
    <w:p w14:paraId="62DCE83D">
      <w:pPr>
        <w:pStyle w:val="4"/>
        <w:bidi w:val="0"/>
        <w:rPr>
          <w:rFonts w:hint="eastAsia"/>
          <w:highlight w:val="none"/>
        </w:rPr>
      </w:pPr>
      <w:r>
        <w:rPr>
          <w:rFonts w:hint="eastAsia"/>
          <w:highlight w:val="none"/>
        </w:rPr>
        <w:t>【社会公益】</w:t>
      </w:r>
    </w:p>
    <w:p w14:paraId="3E749839">
      <w:pPr>
        <w:rPr>
          <w:rFonts w:hint="eastAsia" w:hAnsi="宋体" w:cs="宋体"/>
          <w:highlight w:val="none"/>
        </w:rPr>
      </w:pPr>
      <w:r>
        <w:rPr>
          <w:rFonts w:hint="eastAsia" w:hAnsi="宋体" w:cs="宋体"/>
          <w:highlight w:val="none"/>
        </w:rPr>
        <w:t>2015年，捐赠65</w:t>
      </w:r>
      <w:r>
        <w:rPr>
          <w:rFonts w:hint="eastAsia" w:ascii="MingLiU_HKSCS" w:hAnsi="MingLiU_HKSCS" w:eastAsia="MingLiU_HKSCS" w:cs="MingLiU_HKSCS"/>
          <w:highlight w:val="none"/>
        </w:rPr>
        <w:t>.</w:t>
      </w:r>
      <w:r>
        <w:rPr>
          <w:rFonts w:hint="eastAsia" w:hAnsi="宋体" w:cs="宋体"/>
          <w:highlight w:val="none"/>
        </w:rPr>
        <w:t>6万元用于各项社会公益活动，扶贫济困、支持乡村建设、支持科教文卫事业发展、爱心慈善、拥军慰问等。（胡燕）</w:t>
      </w:r>
    </w:p>
    <w:p w14:paraId="4C5BA840">
      <w:pPr>
        <w:rPr>
          <w:rFonts w:hint="eastAsia" w:hAnsi="宋体" w:eastAsia="宋体" w:cs="宋体"/>
          <w:b w:val="0"/>
          <w:bCs w:val="0"/>
          <w:highlight w:val="none"/>
          <w:lang w:eastAsia="zh-CN"/>
        </w:rPr>
      </w:pPr>
      <w:r>
        <w:rPr>
          <w:rFonts w:hint="eastAsia" w:hAnsi="宋体" w:cs="宋体"/>
          <w:b w:val="0"/>
          <w:bCs w:val="0"/>
          <w:highlight w:val="none"/>
        </w:rPr>
        <w:t>附：2015年市烟草专卖局（分公司）领导班子成员名单</w:t>
      </w:r>
    </w:p>
    <w:p w14:paraId="3E97B300">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长、总经理：肖少明（任至6月）</w:t>
      </w:r>
    </w:p>
    <w:p w14:paraId="68932AF2">
      <w:pPr>
        <w:rPr>
          <w:rFonts w:hint="eastAsia" w:hAnsi="宋体" w:eastAsia="宋体" w:cs="宋体"/>
          <w:highlight w:val="none"/>
          <w:lang w:eastAsia="zh-CN"/>
        </w:rPr>
      </w:pPr>
      <w:r>
        <w:rPr>
          <w:rFonts w:hint="eastAsia" w:hAnsi="宋体" w:cs="宋体"/>
          <w:b w:val="0"/>
          <w:bCs w:val="0"/>
          <w:highlight w:val="none"/>
        </w:rPr>
        <w:t>副局长、副经理、纪</w:t>
      </w:r>
      <w:r>
        <w:rPr>
          <w:rFonts w:hint="eastAsia" w:hAnsi="宋体" w:cs="宋体"/>
          <w:highlight w:val="none"/>
        </w:rPr>
        <w:t>检书记：肖国军</w:t>
      </w:r>
    </w:p>
    <w:p w14:paraId="2000365A">
      <w:pPr>
        <w:rPr>
          <w:rFonts w:hint="eastAsia" w:hAnsi="宋体" w:eastAsia="宋体" w:cs="宋体"/>
          <w:highlight w:val="none"/>
          <w:lang w:eastAsia="zh-CN"/>
        </w:rPr>
      </w:pPr>
      <w:r>
        <w:rPr>
          <w:rFonts w:hint="eastAsia" w:hAnsi="宋体" w:cs="宋体"/>
          <w:highlight w:val="none"/>
        </w:rPr>
        <w:t>副经理：柯油松 邓长虹（2月任）</w:t>
      </w:r>
    </w:p>
    <w:p w14:paraId="1E62A6BA">
      <w:pPr>
        <w:pStyle w:val="2"/>
        <w:rPr>
          <w:rFonts w:hint="eastAsia"/>
          <w:highlight w:val="none"/>
        </w:rPr>
      </w:pPr>
      <w:r>
        <w:rPr>
          <w:highlight w:val="none"/>
        </w:rPr>
        <w:br w:type="page"/>
      </w:r>
      <w:r>
        <w:rPr>
          <w:rFonts w:hint="eastAsia"/>
          <w:highlight w:val="none"/>
        </w:rPr>
        <w:t>交通·通信</w:t>
      </w:r>
    </w:p>
    <w:p w14:paraId="09CF4071">
      <w:pPr>
        <w:pStyle w:val="3"/>
        <w:bidi w:val="0"/>
        <w:rPr>
          <w:rFonts w:hint="eastAsia"/>
          <w:highlight w:val="none"/>
        </w:rPr>
      </w:pPr>
      <w:r>
        <w:rPr>
          <w:rFonts w:hint="eastAsia"/>
          <w:highlight w:val="none"/>
        </w:rPr>
        <w:t>交通运输</w:t>
      </w:r>
    </w:p>
    <w:p w14:paraId="0AD1FF52">
      <w:pPr>
        <w:pStyle w:val="4"/>
        <w:bidi w:val="0"/>
        <w:rPr>
          <w:rFonts w:hint="eastAsia"/>
          <w:highlight w:val="none"/>
        </w:rPr>
      </w:pPr>
      <w:r>
        <w:rPr>
          <w:rFonts w:hint="eastAsia"/>
          <w:highlight w:val="none"/>
        </w:rPr>
        <w:t>【概况】</w:t>
      </w:r>
    </w:p>
    <w:p w14:paraId="7879D840">
      <w:pPr>
        <w:rPr>
          <w:rFonts w:hint="eastAsia" w:hAnsi="宋体" w:eastAsia="宋体" w:cs="宋体"/>
          <w:highlight w:val="none"/>
          <w:lang w:eastAsia="zh-CN"/>
        </w:rPr>
      </w:pPr>
      <w:r>
        <w:rPr>
          <w:rFonts w:hint="eastAsia" w:hAnsi="宋体" w:cs="宋体"/>
          <w:highlight w:val="none"/>
        </w:rPr>
        <w:t>南雄市交通运输局于2010年9月将交通局更名为交通运输局，主要职责是负责全市（南雄）公路、水路和城市公共交通运输等交通运输行业工作。内设5个科</w:t>
      </w:r>
      <w:r>
        <w:rPr>
          <w:rFonts w:hint="eastAsia" w:hAnsi="宋体" w:cs="宋体"/>
          <w:highlight w:val="none"/>
          <w:lang w:eastAsia="zh-CN"/>
        </w:rPr>
        <w:t>（</w:t>
      </w:r>
      <w:r>
        <w:rPr>
          <w:rFonts w:hint="eastAsia" w:hAnsi="宋体" w:cs="宋体"/>
          <w:highlight w:val="none"/>
        </w:rPr>
        <w:t>股</w:t>
      </w:r>
      <w:r>
        <w:rPr>
          <w:rFonts w:hint="eastAsia" w:hAnsi="宋体" w:cs="宋体"/>
          <w:highlight w:val="none"/>
          <w:lang w:eastAsia="zh-CN"/>
        </w:rPr>
        <w:t>）</w:t>
      </w:r>
      <w:r>
        <w:rPr>
          <w:rFonts w:hint="eastAsia" w:hAnsi="宋体" w:cs="宋体"/>
          <w:highlight w:val="none"/>
        </w:rPr>
        <w:t>室，分别是办公室、人事法制股、业务安全股、计财股、综合行政执法局（副科）。下属事业单位2家，分别是地方公路管理站、交通管理总站；企业单位3家，分别是水运公司、搬运公司、运通汽车检测站。2015年，全市公路通车里程达到2275</w:t>
      </w:r>
      <w:r>
        <w:rPr>
          <w:rFonts w:hint="eastAsia" w:ascii="MingLiU_HKSCS" w:hAnsi="MingLiU_HKSCS" w:eastAsia="MingLiU_HKSCS" w:cs="MingLiU_HKSCS"/>
          <w:highlight w:val="none"/>
        </w:rPr>
        <w:t>.</w:t>
      </w:r>
      <w:r>
        <w:rPr>
          <w:rFonts w:hint="eastAsia" w:hAnsi="宋体" w:cs="宋体"/>
          <w:highlight w:val="none"/>
        </w:rPr>
        <w:t>28公里，其中国道42</w:t>
      </w:r>
      <w:r>
        <w:rPr>
          <w:rFonts w:hint="eastAsia" w:ascii="MingLiU_HKSCS" w:hAnsi="MingLiU_HKSCS" w:eastAsia="MingLiU_HKSCS" w:cs="MingLiU_HKSCS"/>
          <w:highlight w:val="none"/>
        </w:rPr>
        <w:t>.</w:t>
      </w:r>
      <w:r>
        <w:rPr>
          <w:rFonts w:hint="eastAsia" w:hAnsi="宋体" w:cs="宋体"/>
          <w:highlight w:val="none"/>
        </w:rPr>
        <w:t>13公里、省道170</w:t>
      </w:r>
      <w:r>
        <w:rPr>
          <w:rFonts w:hint="eastAsia" w:ascii="MingLiU_HKSCS" w:hAnsi="MingLiU_HKSCS" w:eastAsia="MingLiU_HKSCS" w:cs="MingLiU_HKSCS"/>
          <w:highlight w:val="none"/>
        </w:rPr>
        <w:t>.</w:t>
      </w:r>
      <w:r>
        <w:rPr>
          <w:rFonts w:hint="eastAsia" w:hAnsi="宋体" w:cs="宋体"/>
          <w:highlight w:val="none"/>
        </w:rPr>
        <w:t>51公里，高速公路52</w:t>
      </w:r>
      <w:r>
        <w:rPr>
          <w:rFonts w:hint="eastAsia" w:ascii="MingLiU_HKSCS" w:hAnsi="MingLiU_HKSCS" w:eastAsia="MingLiU_HKSCS" w:cs="MingLiU_HKSCS"/>
          <w:highlight w:val="none"/>
        </w:rPr>
        <w:t>.</w:t>
      </w:r>
      <w:r>
        <w:rPr>
          <w:rFonts w:hint="eastAsia" w:hAnsi="宋体" w:cs="宋体"/>
          <w:highlight w:val="none"/>
        </w:rPr>
        <w:t>94公里，县道272</w:t>
      </w:r>
      <w:r>
        <w:rPr>
          <w:rFonts w:hint="eastAsia" w:ascii="MingLiU_HKSCS" w:hAnsi="MingLiU_HKSCS" w:eastAsia="MingLiU_HKSCS" w:cs="MingLiU_HKSCS"/>
          <w:highlight w:val="none"/>
        </w:rPr>
        <w:t>.</w:t>
      </w:r>
      <w:r>
        <w:rPr>
          <w:rFonts w:hint="eastAsia" w:hAnsi="宋体" w:cs="宋体"/>
          <w:highlight w:val="none"/>
        </w:rPr>
        <w:t>7公里，乡道1051</w:t>
      </w:r>
      <w:r>
        <w:rPr>
          <w:rFonts w:hint="eastAsia" w:ascii="MingLiU_HKSCS" w:hAnsi="MingLiU_HKSCS" w:eastAsia="MingLiU_HKSCS" w:cs="MingLiU_HKSCS"/>
          <w:highlight w:val="none"/>
        </w:rPr>
        <w:t>.</w:t>
      </w:r>
      <w:r>
        <w:rPr>
          <w:rFonts w:hint="eastAsia" w:hAnsi="宋体" w:cs="宋体"/>
          <w:highlight w:val="none"/>
        </w:rPr>
        <w:t>42公里，村道685</w:t>
      </w:r>
      <w:r>
        <w:rPr>
          <w:rFonts w:hint="eastAsia" w:ascii="MingLiU_HKSCS" w:hAnsi="MingLiU_HKSCS" w:eastAsia="MingLiU_HKSCS" w:cs="MingLiU_HKSCS"/>
          <w:highlight w:val="none"/>
        </w:rPr>
        <w:t>.</w:t>
      </w:r>
      <w:r>
        <w:rPr>
          <w:rFonts w:hint="eastAsia" w:hAnsi="宋体" w:cs="宋体"/>
          <w:highlight w:val="none"/>
        </w:rPr>
        <w:t>58公里。公路密度96</w:t>
      </w:r>
      <w:r>
        <w:rPr>
          <w:rFonts w:hint="eastAsia" w:ascii="MingLiU_HKSCS" w:hAnsi="MingLiU_HKSCS" w:eastAsia="MingLiU_HKSCS" w:cs="MingLiU_HKSCS"/>
          <w:highlight w:val="none"/>
        </w:rPr>
        <w:t>.</w:t>
      </w:r>
      <w:r>
        <w:rPr>
          <w:rFonts w:hint="eastAsia" w:hAnsi="宋体" w:cs="宋体"/>
          <w:highlight w:val="none"/>
        </w:rPr>
        <w:t>4公里/百平方公里，公路通达率100%。同年，南雄市交通运输局被评为南雄市“人口与计划生育工作先进单位”；南雄市地方公路管理站被评为“全国农村公路养护管理先进集体”。</w:t>
      </w:r>
    </w:p>
    <w:p w14:paraId="1C1D21E1">
      <w:pPr>
        <w:pStyle w:val="4"/>
        <w:bidi w:val="0"/>
        <w:rPr>
          <w:rFonts w:hint="eastAsia"/>
          <w:highlight w:val="none"/>
        </w:rPr>
      </w:pPr>
      <w:r>
        <w:rPr>
          <w:rFonts w:hint="eastAsia"/>
          <w:highlight w:val="none"/>
        </w:rPr>
        <w:t>【交通规划】</w:t>
      </w:r>
    </w:p>
    <w:p w14:paraId="36F98B94">
      <w:pPr>
        <w:rPr>
          <w:rFonts w:hint="eastAsia" w:hAnsi="宋体" w:eastAsia="宋体" w:cs="宋体"/>
          <w:highlight w:val="none"/>
          <w:lang w:eastAsia="zh-CN"/>
        </w:rPr>
      </w:pPr>
      <w:r>
        <w:rPr>
          <w:rFonts w:hint="eastAsia" w:hAnsi="宋体" w:cs="宋体"/>
          <w:highlight w:val="none"/>
        </w:rPr>
        <w:t>2015年，由南雄市交通局编制、市政府审批《“十三五”南雄市交通规划》，规划以升级改建高等级道路和国省干道为主，增加对外通行能力，缓解对外交通压力；同时对部分重要的现有出口公路通道进行改造，打通出口公路的断头路段和瓶颈路段的总体规划思路，拟新建客运站5处、货运站2处，升级客运站2处。</w:t>
      </w:r>
    </w:p>
    <w:p w14:paraId="49588E8F">
      <w:pPr>
        <w:pStyle w:val="4"/>
        <w:bidi w:val="0"/>
        <w:rPr>
          <w:rFonts w:hint="eastAsia"/>
          <w:highlight w:val="none"/>
        </w:rPr>
      </w:pPr>
      <w:r>
        <w:rPr>
          <w:rFonts w:hint="eastAsia"/>
          <w:highlight w:val="none"/>
        </w:rPr>
        <w:t>【公路建设】</w:t>
      </w:r>
    </w:p>
    <w:p w14:paraId="2D3462D2">
      <w:pPr>
        <w:rPr>
          <w:rFonts w:hint="eastAsia" w:hAnsi="宋体" w:eastAsia="宋体" w:cs="宋体"/>
          <w:highlight w:val="none"/>
          <w:lang w:eastAsia="zh-CN"/>
        </w:rPr>
      </w:pPr>
      <w:r>
        <w:rPr>
          <w:rFonts w:hint="eastAsia" w:hAnsi="宋体" w:cs="宋体"/>
          <w:highlight w:val="none"/>
        </w:rPr>
        <w:t>2015年完成工程建设项目5个，新改建公路116</w:t>
      </w:r>
      <w:r>
        <w:rPr>
          <w:rFonts w:hint="eastAsia" w:ascii="MingLiU_HKSCS" w:hAnsi="MingLiU_HKSCS" w:eastAsia="MingLiU_HKSCS" w:cs="MingLiU_HKSCS"/>
          <w:highlight w:val="none"/>
        </w:rPr>
        <w:t>.</w:t>
      </w:r>
      <w:r>
        <w:rPr>
          <w:rFonts w:hint="eastAsia" w:hAnsi="宋体" w:cs="宋体"/>
          <w:highlight w:val="none"/>
        </w:rPr>
        <w:t>286公里，包括东厢铺至工业园区公路新建工程、水西小岛桥至G323线连接线公路新建工程、县道X338线江头至青嶂山公路改建工程、县道X342线界址至窑灶口公路改建工程和通自然村公路水泥硬底化工程。推进的工程建设项目有4个，县道X339线教育南路至大汾公路（主田旅游大道）改建工程，路线长4</w:t>
      </w:r>
      <w:r>
        <w:rPr>
          <w:rFonts w:hint="eastAsia" w:ascii="MingLiU_HKSCS" w:hAnsi="MingLiU_HKSCS" w:eastAsia="MingLiU_HKSCS" w:cs="MingLiU_HKSCS"/>
          <w:highlight w:val="none"/>
        </w:rPr>
        <w:t>.</w:t>
      </w:r>
      <w:r>
        <w:rPr>
          <w:rFonts w:hint="eastAsia" w:hAnsi="宋体" w:cs="宋体"/>
          <w:highlight w:val="none"/>
        </w:rPr>
        <w:t>871公里；南雄市富俚至中里洞公路工程建设项目，全长28</w:t>
      </w:r>
      <w:r>
        <w:rPr>
          <w:rFonts w:hint="eastAsia" w:ascii="MingLiU_HKSCS" w:hAnsi="MingLiU_HKSCS" w:eastAsia="MingLiU_HKSCS" w:cs="MingLiU_HKSCS"/>
          <w:highlight w:val="none"/>
        </w:rPr>
        <w:t>.</w:t>
      </w:r>
      <w:r>
        <w:rPr>
          <w:rFonts w:hint="eastAsia" w:hAnsi="宋体" w:cs="宋体"/>
          <w:highlight w:val="none"/>
        </w:rPr>
        <w:t>6公里（包含帽子峰中桥1桥，小桥7座），计划2017年4月完工；南雄市凌江大道路面工程，路线长1</w:t>
      </w:r>
      <w:r>
        <w:rPr>
          <w:rFonts w:hint="eastAsia" w:ascii="MingLiU_HKSCS" w:hAnsi="MingLiU_HKSCS" w:eastAsia="MingLiU_HKSCS" w:cs="MingLiU_HKSCS"/>
          <w:highlight w:val="none"/>
        </w:rPr>
        <w:t>.</w:t>
      </w:r>
      <w:r>
        <w:rPr>
          <w:rFonts w:hint="eastAsia" w:hAnsi="宋体" w:cs="宋体"/>
          <w:highlight w:val="none"/>
        </w:rPr>
        <w:t>11公里；Y524线坪田至迳洞公路改建工程，全长7</w:t>
      </w:r>
      <w:r>
        <w:rPr>
          <w:rFonts w:hint="eastAsia" w:ascii="MingLiU_HKSCS" w:hAnsi="MingLiU_HKSCS" w:eastAsia="MingLiU_HKSCS" w:cs="MingLiU_HKSCS"/>
          <w:highlight w:val="none"/>
        </w:rPr>
        <w:t>.</w:t>
      </w:r>
      <w:r>
        <w:rPr>
          <w:rFonts w:hint="eastAsia" w:hAnsi="宋体" w:cs="宋体"/>
          <w:highlight w:val="none"/>
        </w:rPr>
        <w:t>7公里，按要求完成2015年4</w:t>
      </w:r>
      <w:r>
        <w:rPr>
          <w:rFonts w:hint="eastAsia" w:ascii="MingLiU_HKSCS" w:hAnsi="MingLiU_HKSCS" w:eastAsia="MingLiU_HKSCS" w:cs="MingLiU_HKSCS"/>
          <w:highlight w:val="none"/>
        </w:rPr>
        <w:t>.</w:t>
      </w:r>
      <w:r>
        <w:rPr>
          <w:rFonts w:hint="eastAsia" w:hAnsi="宋体" w:cs="宋体"/>
          <w:highlight w:val="none"/>
        </w:rPr>
        <w:t>8公里的改建工程任务指标。</w:t>
      </w:r>
    </w:p>
    <w:p w14:paraId="35333D5F">
      <w:pPr>
        <w:pStyle w:val="4"/>
        <w:bidi w:val="0"/>
        <w:rPr>
          <w:rFonts w:hint="eastAsia"/>
          <w:highlight w:val="none"/>
        </w:rPr>
      </w:pPr>
      <w:r>
        <w:rPr>
          <w:rFonts w:hint="eastAsia"/>
          <w:highlight w:val="none"/>
        </w:rPr>
        <w:t>【危桥改建】</w:t>
      </w:r>
    </w:p>
    <w:p w14:paraId="078E3C6C">
      <w:pPr>
        <w:rPr>
          <w:rFonts w:hint="eastAsia" w:hAnsi="宋体" w:eastAsia="宋体" w:cs="宋体"/>
          <w:highlight w:val="none"/>
          <w:lang w:eastAsia="zh-CN"/>
        </w:rPr>
      </w:pPr>
      <w:r>
        <w:rPr>
          <w:rFonts w:hint="eastAsia" w:hAnsi="宋体" w:cs="宋体"/>
          <w:highlight w:val="none"/>
        </w:rPr>
        <w:t>2015年改建危桥3座，乌迳镇桥渡安桥重建工程已完成；县道X337线白龙桥重建工程完成70%工程；乌迳镇新田桥新建工程正在进行基础施工，预计2016年底完工。</w:t>
      </w:r>
    </w:p>
    <w:p w14:paraId="67629664">
      <w:pPr>
        <w:pStyle w:val="4"/>
        <w:bidi w:val="0"/>
        <w:rPr>
          <w:rFonts w:hint="eastAsia"/>
          <w:highlight w:val="none"/>
        </w:rPr>
      </w:pPr>
      <w:r>
        <w:rPr>
          <w:rFonts w:hint="eastAsia"/>
          <w:highlight w:val="none"/>
        </w:rPr>
        <w:t>【站场建设】</w:t>
      </w:r>
    </w:p>
    <w:p w14:paraId="19C2D623">
      <w:pPr>
        <w:rPr>
          <w:rFonts w:hint="eastAsia" w:hAnsi="宋体" w:eastAsia="宋体" w:cs="宋体"/>
          <w:highlight w:val="none"/>
          <w:lang w:eastAsia="zh-CN"/>
        </w:rPr>
      </w:pPr>
      <w:r>
        <w:rPr>
          <w:rFonts w:hint="eastAsia" w:hAnsi="宋体" w:cs="宋体"/>
          <w:highlight w:val="none"/>
        </w:rPr>
        <w:t>全市17个乡镇、1个街道在2015年已基本实现镇级有站，拥有二级客运站1个，即南雄汽车站；四级客运站2个，分别是珠玑客运站、水口客运站，其中珠玑客运站占地面积5000平方米、水口客运站占地面积1500平方米；五级客运站1个，即乌迳客运站；简易客运站9个，分别是油山、帽子峰、南亩、湖口、全安、界址、江头、主田、黄坑客运站。</w:t>
      </w:r>
    </w:p>
    <w:p w14:paraId="6092A32E">
      <w:pPr>
        <w:pStyle w:val="4"/>
        <w:bidi w:val="0"/>
        <w:rPr>
          <w:rFonts w:hint="eastAsia"/>
          <w:highlight w:val="none"/>
        </w:rPr>
      </w:pPr>
      <w:r>
        <w:rPr>
          <w:rFonts w:hint="eastAsia"/>
          <w:highlight w:val="none"/>
        </w:rPr>
        <w:t>【城乡客运】</w:t>
      </w:r>
    </w:p>
    <w:p w14:paraId="237731A2">
      <w:pPr>
        <w:rPr>
          <w:rFonts w:hint="eastAsia" w:hAnsi="宋体" w:eastAsia="宋体" w:cs="宋体"/>
          <w:highlight w:val="none"/>
          <w:lang w:eastAsia="zh-CN"/>
        </w:rPr>
      </w:pPr>
      <w:r>
        <w:rPr>
          <w:rFonts w:hint="eastAsia" w:hAnsi="宋体" w:cs="宋体"/>
          <w:highlight w:val="none"/>
        </w:rPr>
        <w:t>2015年根据南雄市公共交通发展实际情况，整合资源，更新12台新车投入公交运营，并于2月1日起统一公交车辆标识并升级安装智能公交系统。此外，为方便群众出行，汽车站出租车公司新增15台出租汽车，实行公车公营，严格守法经营。截至2015年底，全市拥有客运企业2户、公共汽车35辆。开通省际客运班线2条，市际客运班线10条，县际客运班线1条，农村客运班线13条，城区公交线路8条。其中，全市18个镇（街道）客运站建设率100%、客运通达率100%，141个行政村建有候车亭，具备通车条件的行政村客运通达率100%。</w:t>
      </w:r>
    </w:p>
    <w:p w14:paraId="63333EAB">
      <w:pPr>
        <w:pStyle w:val="4"/>
        <w:bidi w:val="0"/>
        <w:rPr>
          <w:rFonts w:hint="eastAsia"/>
          <w:highlight w:val="none"/>
        </w:rPr>
      </w:pPr>
      <w:r>
        <w:rPr>
          <w:rFonts w:hint="eastAsia"/>
          <w:highlight w:val="none"/>
        </w:rPr>
        <w:t>【公路货运】</w:t>
      </w:r>
    </w:p>
    <w:p w14:paraId="61FD2358">
      <w:pPr>
        <w:rPr>
          <w:rFonts w:hint="eastAsia" w:hAnsi="宋体" w:eastAsia="宋体" w:cs="宋体"/>
          <w:highlight w:val="none"/>
          <w:lang w:eastAsia="zh-CN"/>
        </w:rPr>
      </w:pPr>
      <w:r>
        <w:rPr>
          <w:rFonts w:hint="eastAsia" w:hAnsi="宋体" w:cs="宋体"/>
          <w:highlight w:val="none"/>
        </w:rPr>
        <w:t>截至2015年底，全市拥有道路货物运输户396户，其中运输企业7户、危险货物运输企业1户、个体运输户388户，全市有运输车辆538台。</w:t>
      </w:r>
    </w:p>
    <w:p w14:paraId="2B3FC770">
      <w:pPr>
        <w:pStyle w:val="4"/>
        <w:bidi w:val="0"/>
        <w:rPr>
          <w:rFonts w:hint="eastAsia"/>
          <w:highlight w:val="none"/>
        </w:rPr>
      </w:pPr>
      <w:r>
        <w:rPr>
          <w:rFonts w:hint="eastAsia"/>
          <w:highlight w:val="none"/>
        </w:rPr>
        <w:t>【公路养护】</w:t>
      </w:r>
    </w:p>
    <w:p w14:paraId="6E04E77E">
      <w:pPr>
        <w:ind w:firstLine="420"/>
        <w:rPr>
          <w:rFonts w:hint="eastAsia" w:hAnsi="宋体" w:eastAsia="宋体" w:cs="宋体"/>
          <w:highlight w:val="none"/>
          <w:lang w:eastAsia="zh-CN"/>
        </w:rPr>
      </w:pPr>
      <w:r>
        <w:rPr>
          <w:rFonts w:hint="eastAsia" w:hAnsi="宋体" w:cs="宋体"/>
          <w:highlight w:val="none"/>
        </w:rPr>
        <w:t>截至2015年底，南雄市交通运输局管养的农村公路总里程达2008</w:t>
      </w:r>
      <w:r>
        <w:rPr>
          <w:rFonts w:hint="eastAsia" w:ascii="MingLiU_HKSCS" w:hAnsi="MingLiU_HKSCS" w:eastAsia="MingLiU_HKSCS" w:cs="MingLiU_HKSCS"/>
          <w:highlight w:val="none"/>
        </w:rPr>
        <w:t>.</w:t>
      </w:r>
      <w:r>
        <w:rPr>
          <w:rFonts w:hint="eastAsia" w:hAnsi="宋体" w:cs="宋体"/>
          <w:highlight w:val="none"/>
        </w:rPr>
        <w:t>410公里。其中，县道272</w:t>
      </w:r>
      <w:r>
        <w:rPr>
          <w:rFonts w:hint="eastAsia" w:ascii="MingLiU_HKSCS" w:hAnsi="MingLiU_HKSCS" w:eastAsia="MingLiU_HKSCS" w:cs="MingLiU_HKSCS"/>
          <w:highlight w:val="none"/>
        </w:rPr>
        <w:t>.</w:t>
      </w:r>
      <w:r>
        <w:rPr>
          <w:rFonts w:hint="eastAsia" w:hAnsi="宋体" w:cs="宋体"/>
          <w:highlight w:val="none"/>
        </w:rPr>
        <w:t>780公里/9条线路，年平均的优良路面里程达到90%以上。乡村道1735</w:t>
      </w:r>
      <w:r>
        <w:rPr>
          <w:rFonts w:hint="eastAsia" w:ascii="MingLiU_HKSCS" w:hAnsi="MingLiU_HKSCS" w:eastAsia="MingLiU_HKSCS" w:cs="MingLiU_HKSCS"/>
          <w:highlight w:val="none"/>
        </w:rPr>
        <w:t>.</w:t>
      </w:r>
      <w:r>
        <w:rPr>
          <w:rFonts w:hint="eastAsia" w:hAnsi="宋体" w:cs="宋体"/>
          <w:highlight w:val="none"/>
        </w:rPr>
        <w:t>63公里（乡道1050</w:t>
      </w:r>
      <w:r>
        <w:rPr>
          <w:rFonts w:hint="eastAsia" w:ascii="MingLiU_HKSCS" w:hAnsi="MingLiU_HKSCS" w:eastAsia="MingLiU_HKSCS" w:cs="MingLiU_HKSCS"/>
          <w:highlight w:val="none"/>
        </w:rPr>
        <w:t>.</w:t>
      </w:r>
      <w:r>
        <w:rPr>
          <w:rFonts w:hint="eastAsia" w:hAnsi="宋体" w:cs="宋体"/>
          <w:highlight w:val="none"/>
        </w:rPr>
        <w:t>05公里，村道里程685</w:t>
      </w:r>
      <w:r>
        <w:rPr>
          <w:rFonts w:hint="eastAsia" w:ascii="MingLiU_HKSCS" w:hAnsi="MingLiU_HKSCS" w:eastAsia="MingLiU_HKSCS" w:cs="MingLiU_HKSCS"/>
          <w:highlight w:val="none"/>
        </w:rPr>
        <w:t>.</w:t>
      </w:r>
      <w:r>
        <w:rPr>
          <w:rFonts w:hint="eastAsia" w:hAnsi="宋体" w:cs="宋体"/>
          <w:highlight w:val="none"/>
        </w:rPr>
        <w:t>58公里）；养护率达到100%，年平均的良好路面里程达到81%以上。基本修复全市县、乡、村道的64条线路256处受损地段（注：截止到2015年10月20日的统计数据）。完成《公路安全生命防护工程》外业采集工作，对全市县道272</w:t>
      </w:r>
      <w:r>
        <w:rPr>
          <w:rFonts w:hint="eastAsia" w:ascii="MingLiU_HKSCS" w:hAnsi="MingLiU_HKSCS" w:eastAsia="MingLiU_HKSCS" w:cs="MingLiU_HKSCS"/>
          <w:highlight w:val="none"/>
        </w:rPr>
        <w:t>.</w:t>
      </w:r>
      <w:r>
        <w:rPr>
          <w:rFonts w:hint="eastAsia" w:hAnsi="宋体" w:cs="宋体"/>
          <w:highlight w:val="none"/>
        </w:rPr>
        <w:t>78公里、乡道1050</w:t>
      </w:r>
      <w:r>
        <w:rPr>
          <w:rFonts w:hint="eastAsia" w:ascii="MingLiU_HKSCS" w:hAnsi="MingLiU_HKSCS" w:eastAsia="MingLiU_HKSCS" w:cs="MingLiU_HKSCS"/>
          <w:highlight w:val="none"/>
        </w:rPr>
        <w:t>.</w:t>
      </w:r>
      <w:r>
        <w:rPr>
          <w:rFonts w:hint="eastAsia" w:hAnsi="宋体" w:cs="宋体"/>
          <w:highlight w:val="none"/>
        </w:rPr>
        <w:t>05公里公路摸清存在公路安全隐患路段数量和分布情况，建立并完善公路安全隐患基础数据库。</w:t>
      </w:r>
    </w:p>
    <w:p w14:paraId="74A980E0">
      <w:pPr>
        <w:pStyle w:val="4"/>
        <w:bidi w:val="0"/>
        <w:rPr>
          <w:rFonts w:hint="eastAsia"/>
          <w:highlight w:val="none"/>
        </w:rPr>
      </w:pPr>
      <w:r>
        <w:rPr>
          <w:rFonts w:hint="eastAsia"/>
          <w:highlight w:val="none"/>
        </w:rPr>
        <w:t>【路政管理】</w:t>
      </w:r>
    </w:p>
    <w:p w14:paraId="7C3B5989">
      <w:pPr>
        <w:rPr>
          <w:rFonts w:hint="eastAsia" w:hAnsi="宋体" w:eastAsia="宋体" w:cs="宋体"/>
          <w:highlight w:val="none"/>
          <w:lang w:eastAsia="zh-CN"/>
        </w:rPr>
      </w:pPr>
      <w:r>
        <w:rPr>
          <w:rFonts w:hint="eastAsia" w:hAnsi="宋体" w:cs="宋体"/>
          <w:highlight w:val="none"/>
        </w:rPr>
        <w:t>2015年路政管理人员及路政协管员上路巡查53050</w:t>
      </w:r>
      <w:r>
        <w:rPr>
          <w:rFonts w:hint="eastAsia" w:ascii="MingLiU_HKSCS" w:hAnsi="MingLiU_HKSCS" w:eastAsia="MingLiU_HKSCS" w:cs="MingLiU_HKSCS"/>
          <w:highlight w:val="none"/>
        </w:rPr>
        <w:t>.</w:t>
      </w:r>
      <w:r>
        <w:rPr>
          <w:rFonts w:hint="eastAsia" w:hAnsi="宋体" w:cs="宋体"/>
          <w:highlight w:val="none"/>
        </w:rPr>
        <w:t>65公里，巡查人次4195人次，巡查天数1912天，向群众派发路政宣传传单2750张。</w:t>
      </w:r>
    </w:p>
    <w:p w14:paraId="5AC1AA30">
      <w:pPr>
        <w:pStyle w:val="4"/>
        <w:bidi w:val="0"/>
        <w:rPr>
          <w:rFonts w:hint="eastAsia"/>
          <w:highlight w:val="none"/>
        </w:rPr>
      </w:pPr>
      <w:r>
        <w:rPr>
          <w:rFonts w:hint="eastAsia"/>
          <w:highlight w:val="none"/>
        </w:rPr>
        <w:t>【行政审批】</w:t>
      </w:r>
    </w:p>
    <w:p w14:paraId="781FEA4D">
      <w:pPr>
        <w:rPr>
          <w:rFonts w:hint="eastAsia" w:hAnsi="宋体" w:eastAsia="宋体" w:cs="宋体"/>
          <w:highlight w:val="none"/>
          <w:lang w:eastAsia="zh-CN"/>
        </w:rPr>
      </w:pPr>
      <w:r>
        <w:rPr>
          <w:rFonts w:hint="eastAsia" w:hAnsi="宋体" w:cs="宋体"/>
          <w:highlight w:val="none"/>
        </w:rPr>
        <w:t>2015年南雄市交通运输局行政审批农村客运车辆32台、出租车25台、货运车辆20台，年审客车61辆、货车95辆，出租车78辆，报考教练员55人。</w:t>
      </w:r>
    </w:p>
    <w:p w14:paraId="0DE481C5">
      <w:pPr>
        <w:pStyle w:val="4"/>
        <w:bidi w:val="0"/>
        <w:rPr>
          <w:rFonts w:hint="eastAsia"/>
          <w:highlight w:val="none"/>
        </w:rPr>
      </w:pPr>
      <w:r>
        <w:rPr>
          <w:rFonts w:hint="eastAsia"/>
          <w:highlight w:val="none"/>
        </w:rPr>
        <w:t>【行政执法】</w:t>
      </w:r>
    </w:p>
    <w:p w14:paraId="54A5B7BE">
      <w:pPr>
        <w:rPr>
          <w:rFonts w:hint="eastAsia" w:hAnsi="宋体" w:eastAsia="宋体" w:cs="宋体"/>
          <w:highlight w:val="none"/>
          <w:lang w:eastAsia="zh-CN"/>
        </w:rPr>
      </w:pPr>
      <w:r>
        <w:rPr>
          <w:rFonts w:hint="eastAsia" w:hAnsi="宋体" w:cs="宋体"/>
          <w:highlight w:val="none"/>
        </w:rPr>
        <w:t>2015年南雄市交通运输局交通综合行政执法局共出动执法车辆887辆次，出动执法人员4582人次，检查车辆5024辆次。查处违章案件数156宗。</w:t>
      </w:r>
    </w:p>
    <w:p w14:paraId="38165280">
      <w:pPr>
        <w:pStyle w:val="4"/>
        <w:bidi w:val="0"/>
        <w:rPr>
          <w:rFonts w:hint="eastAsia"/>
          <w:highlight w:val="none"/>
        </w:rPr>
      </w:pPr>
      <w:r>
        <w:rPr>
          <w:rFonts w:hint="eastAsia"/>
          <w:highlight w:val="none"/>
        </w:rPr>
        <w:t>【机动车维修与检测】</w:t>
      </w:r>
    </w:p>
    <w:p w14:paraId="566F84E5">
      <w:pPr>
        <w:rPr>
          <w:rFonts w:hint="eastAsia" w:hAnsi="宋体" w:eastAsia="宋体" w:cs="宋体"/>
          <w:highlight w:val="none"/>
          <w:lang w:eastAsia="zh-CN"/>
        </w:rPr>
      </w:pPr>
      <w:r>
        <w:rPr>
          <w:rFonts w:hint="eastAsia" w:hAnsi="宋体" w:cs="宋体"/>
          <w:highlight w:val="none"/>
        </w:rPr>
        <w:t>全市有机动车维修业户172户，其中一类机动车维修业户1户，二类机动车维修业户4户，三类机动车维修业户167户（含摩托车维修业户56户）；综合性能检测站1个，全年检测车辆约1319辆次。对货物运输、机动车维修户定期进行资质审核，对管理不规范、收费不合理、维修技术不合格的业主取消其经营资格，对维修业户进行宏观管理和引导。2015年检查维修企业、店铺54家，其中查处超越经营范围3家，立案3宗。</w:t>
      </w:r>
    </w:p>
    <w:p w14:paraId="76C85E0E">
      <w:pPr>
        <w:pStyle w:val="4"/>
        <w:bidi w:val="0"/>
        <w:rPr>
          <w:rFonts w:hint="eastAsia"/>
          <w:highlight w:val="none"/>
        </w:rPr>
      </w:pPr>
      <w:r>
        <w:rPr>
          <w:rFonts w:hint="eastAsia"/>
          <w:highlight w:val="none"/>
        </w:rPr>
        <w:t>【驾驶员培训】</w:t>
      </w:r>
    </w:p>
    <w:p w14:paraId="7F4B1293">
      <w:pPr>
        <w:rPr>
          <w:rFonts w:hint="eastAsia" w:hAnsi="宋体" w:cs="宋体"/>
          <w:highlight w:val="none"/>
        </w:rPr>
      </w:pPr>
      <w:r>
        <w:rPr>
          <w:rFonts w:hint="eastAsia" w:hAnsi="宋体" w:cs="宋体"/>
          <w:highlight w:val="none"/>
        </w:rPr>
        <w:t>有普通机动车驾驶员培训机构2户，分别是珠玑驾校和百顺驾校。珠玑驾校教学车辆47辆，2015年培训人员约2500人次；百顺驾校教学车辆35辆，年培训人员约1650人次。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C3AD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035DF5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40610"/>
                  <wp:effectExtent l="0" t="0" r="8890" b="2540"/>
                  <wp:docPr id="75" name="图片 230" descr="Y524线坪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0" descr="Y524线坪田"/>
                          <pic:cNvPicPr>
                            <a:picLocks noChangeAspect="1"/>
                          </pic:cNvPicPr>
                        </pic:nvPicPr>
                        <pic:blipFill>
                          <a:blip r:embed="rId80"/>
                          <a:stretch>
                            <a:fillRect/>
                          </a:stretch>
                        </pic:blipFill>
                        <pic:spPr>
                          <a:xfrm>
                            <a:off x="0" y="0"/>
                            <a:ext cx="3420110" cy="2340610"/>
                          </a:xfrm>
                          <a:prstGeom prst="rect">
                            <a:avLst/>
                          </a:prstGeom>
                          <a:noFill/>
                          <a:ln>
                            <a:noFill/>
                          </a:ln>
                        </pic:spPr>
                      </pic:pic>
                    </a:graphicData>
                  </a:graphic>
                </wp:inline>
              </w:drawing>
            </w:r>
          </w:p>
        </w:tc>
      </w:tr>
      <w:tr w14:paraId="64866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3F4F95A">
            <w:pPr>
              <w:jc w:val="center"/>
              <w:rPr>
                <w:rFonts w:hint="eastAsia" w:hAnsi="宋体" w:cs="宋体"/>
                <w:highlight w:val="none"/>
                <w:vertAlign w:val="baseline"/>
              </w:rPr>
            </w:pPr>
            <w:r>
              <w:rPr>
                <w:rFonts w:hint="eastAsia" w:hAnsi="宋体" w:cs="宋体"/>
                <w:highlight w:val="none"/>
                <w:vertAlign w:val="baseline"/>
              </w:rPr>
              <w:t>Y524线坪田至迳洞公路施工现场</w:t>
            </w:r>
          </w:p>
        </w:tc>
      </w:tr>
    </w:tbl>
    <w:p w14:paraId="1F00F611">
      <w:pPr>
        <w:pStyle w:val="4"/>
        <w:bidi w:val="0"/>
        <w:rPr>
          <w:rFonts w:hint="eastAsia"/>
          <w:highlight w:val="none"/>
        </w:rPr>
      </w:pPr>
      <w:r>
        <w:rPr>
          <w:rFonts w:hint="eastAsia"/>
          <w:highlight w:val="none"/>
        </w:rPr>
        <w:t>【安全生产管理】</w:t>
      </w:r>
    </w:p>
    <w:p w14:paraId="447FBE7A">
      <w:pPr>
        <w:rPr>
          <w:rFonts w:hint="eastAsia" w:hAnsi="宋体" w:eastAsia="宋体" w:cs="宋体"/>
          <w:highlight w:val="none"/>
          <w:lang w:eastAsia="zh-CN"/>
        </w:rPr>
      </w:pPr>
      <w:r>
        <w:rPr>
          <w:rFonts w:hint="eastAsia" w:hAnsi="宋体" w:cs="宋体"/>
          <w:highlight w:val="none"/>
        </w:rPr>
        <w:t>2015年，全市交通运输安全形势平稳，工程建设未发生安全事故；各企、事业单位未发生各类火灾和伤亡事故。</w:t>
      </w:r>
    </w:p>
    <w:p w14:paraId="5464DF86">
      <w:pPr>
        <w:pStyle w:val="4"/>
        <w:bidi w:val="0"/>
        <w:rPr>
          <w:rFonts w:hint="eastAsia"/>
          <w:highlight w:val="none"/>
        </w:rPr>
      </w:pPr>
      <w:r>
        <w:rPr>
          <w:rFonts w:hint="eastAsia"/>
          <w:highlight w:val="none"/>
        </w:rPr>
        <w:t>【信访维稳】</w:t>
      </w:r>
    </w:p>
    <w:p w14:paraId="6FA84C9B">
      <w:pPr>
        <w:rPr>
          <w:rFonts w:hint="eastAsia" w:hAnsi="宋体" w:cs="宋体"/>
          <w:b w:val="0"/>
          <w:bCs w:val="0"/>
          <w:highlight w:val="none"/>
        </w:rPr>
      </w:pPr>
      <w:r>
        <w:rPr>
          <w:rFonts w:hint="eastAsia" w:hAnsi="宋体" w:cs="宋体"/>
          <w:b w:val="0"/>
          <w:bCs w:val="0"/>
          <w:highlight w:val="none"/>
        </w:rPr>
        <w:t>2015年处理群众来访2件，网络问政150件，均得到解决。（张小清 肖燕俊）</w:t>
      </w:r>
    </w:p>
    <w:p w14:paraId="1D82D8AF">
      <w:pPr>
        <w:rPr>
          <w:rFonts w:hint="eastAsia" w:hAnsi="宋体" w:eastAsia="宋体" w:cs="宋体"/>
          <w:b w:val="0"/>
          <w:bCs w:val="0"/>
          <w:highlight w:val="none"/>
          <w:lang w:eastAsia="zh-CN"/>
        </w:rPr>
      </w:pPr>
      <w:r>
        <w:rPr>
          <w:rFonts w:hint="eastAsia" w:hAnsi="宋体" w:cs="宋体"/>
          <w:b w:val="0"/>
          <w:bCs w:val="0"/>
          <w:highlight w:val="none"/>
        </w:rPr>
        <w:t>附：2015年市交通局领导班子成员名单</w:t>
      </w:r>
    </w:p>
    <w:p w14:paraId="5C19E186">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长：林绍发</w:t>
      </w:r>
    </w:p>
    <w:p w14:paraId="0E8D223B">
      <w:pPr>
        <w:rPr>
          <w:rFonts w:hint="eastAsia" w:hAnsi="宋体" w:eastAsia="宋体" w:cs="宋体"/>
          <w:b w:val="0"/>
          <w:bCs w:val="0"/>
          <w:highlight w:val="none"/>
          <w:lang w:eastAsia="zh-CN"/>
        </w:rPr>
      </w:pPr>
      <w:r>
        <w:rPr>
          <w:rFonts w:hint="eastAsia" w:hAnsi="宋体" w:cs="宋体"/>
          <w:b w:val="0"/>
          <w:bCs w:val="0"/>
          <w:highlight w:val="none"/>
        </w:rPr>
        <w:t>党组书记、副局长：李新明</w:t>
      </w:r>
    </w:p>
    <w:p w14:paraId="5DE31654">
      <w:pPr>
        <w:rPr>
          <w:rFonts w:hint="eastAsia" w:hAnsi="宋体" w:eastAsia="宋体" w:cs="宋体"/>
          <w:b w:val="0"/>
          <w:bCs w:val="0"/>
          <w:highlight w:val="none"/>
          <w:lang w:eastAsia="zh-CN"/>
        </w:rPr>
      </w:pPr>
      <w:r>
        <w:rPr>
          <w:rFonts w:hint="eastAsia" w:hAnsi="宋体" w:cs="宋体"/>
          <w:b w:val="0"/>
          <w:bCs w:val="0"/>
          <w:highlight w:val="none"/>
        </w:rPr>
        <w:t>副局长：沈</w:t>
      </w:r>
      <w:r>
        <w:rPr>
          <w:rFonts w:hint="eastAsia" w:hAnsi="宋体" w:cs="宋体"/>
          <w:b w:val="0"/>
          <w:bCs w:val="0"/>
          <w:highlight w:val="none"/>
          <w:lang w:val="en-US" w:eastAsia="zh-CN"/>
        </w:rPr>
        <w:t xml:space="preserve">  </w:t>
      </w:r>
      <w:r>
        <w:rPr>
          <w:rFonts w:hint="eastAsia" w:hAnsi="宋体" w:cs="宋体"/>
          <w:b w:val="0"/>
          <w:bCs w:val="0"/>
          <w:highlight w:val="none"/>
        </w:rPr>
        <w:t>辉</w:t>
      </w:r>
      <w:r>
        <w:rPr>
          <w:rFonts w:hint="eastAsia" w:hAnsi="宋体" w:cs="宋体"/>
          <w:b w:val="0"/>
          <w:bCs w:val="0"/>
          <w:highlight w:val="none"/>
          <w:lang w:val="en-US" w:eastAsia="zh-CN"/>
        </w:rPr>
        <w:t xml:space="preserve">   </w:t>
      </w:r>
      <w:r>
        <w:rPr>
          <w:rFonts w:hint="eastAsia" w:hAnsi="宋体" w:cs="宋体"/>
          <w:b w:val="0"/>
          <w:bCs w:val="0"/>
          <w:highlight w:val="none"/>
        </w:rPr>
        <w:t>陈</w:t>
      </w:r>
      <w:r>
        <w:rPr>
          <w:rFonts w:hint="eastAsia" w:hAnsi="宋体" w:cs="宋体"/>
          <w:b w:val="0"/>
          <w:bCs w:val="0"/>
          <w:highlight w:val="none"/>
          <w:lang w:val="en-US" w:eastAsia="zh-CN"/>
        </w:rPr>
        <w:t xml:space="preserve">  </w:t>
      </w:r>
      <w:r>
        <w:rPr>
          <w:rFonts w:hint="eastAsia" w:hAnsi="宋体" w:cs="宋体"/>
          <w:b w:val="0"/>
          <w:bCs w:val="0"/>
          <w:highlight w:val="none"/>
        </w:rPr>
        <w:t>洁</w:t>
      </w:r>
    </w:p>
    <w:p w14:paraId="0EE8C542">
      <w:pPr>
        <w:rPr>
          <w:rFonts w:hint="eastAsia" w:hAnsi="宋体" w:eastAsia="宋体" w:cs="宋体"/>
          <w:b w:val="0"/>
          <w:bCs w:val="0"/>
          <w:highlight w:val="none"/>
          <w:lang w:eastAsia="zh-CN"/>
        </w:rPr>
      </w:pPr>
      <w:r>
        <w:rPr>
          <w:rFonts w:hint="eastAsia" w:hAnsi="宋体" w:cs="宋体"/>
          <w:b w:val="0"/>
          <w:bCs w:val="0"/>
          <w:highlight w:val="none"/>
        </w:rPr>
        <w:t>纪检组长：谢加华</w:t>
      </w:r>
    </w:p>
    <w:p w14:paraId="3FFBDED6">
      <w:pPr>
        <w:rPr>
          <w:rFonts w:hint="eastAsia" w:hAnsi="宋体" w:eastAsia="宋体" w:cs="宋体"/>
          <w:b w:val="0"/>
          <w:bCs w:val="0"/>
          <w:highlight w:val="none"/>
          <w:lang w:eastAsia="zh-CN"/>
        </w:rPr>
      </w:pPr>
      <w:r>
        <w:rPr>
          <w:rFonts w:hint="eastAsia" w:hAnsi="宋体" w:cs="宋体"/>
          <w:b w:val="0"/>
          <w:bCs w:val="0"/>
          <w:highlight w:val="none"/>
        </w:rPr>
        <w:t>工会主席：赖应光</w:t>
      </w:r>
    </w:p>
    <w:p w14:paraId="0BEBE54B">
      <w:pPr>
        <w:rPr>
          <w:rFonts w:hint="eastAsia" w:hAnsi="宋体" w:eastAsia="宋体" w:cs="宋体"/>
          <w:highlight w:val="none"/>
          <w:lang w:eastAsia="zh-CN"/>
        </w:rPr>
      </w:pPr>
      <w:r>
        <w:rPr>
          <w:rFonts w:hint="eastAsia" w:hAnsi="宋体" w:cs="宋体"/>
          <w:highlight w:val="none"/>
        </w:rPr>
        <w:t>执法局局长：钟行军</w:t>
      </w:r>
    </w:p>
    <w:p w14:paraId="5B2DCE15">
      <w:pPr>
        <w:pStyle w:val="3"/>
        <w:bidi w:val="0"/>
        <w:rPr>
          <w:rFonts w:hint="eastAsia"/>
          <w:highlight w:val="none"/>
        </w:rPr>
      </w:pPr>
      <w:r>
        <w:rPr>
          <w:rFonts w:hint="eastAsia"/>
          <w:highlight w:val="none"/>
        </w:rPr>
        <w:t>国省道路建设与管理</w:t>
      </w:r>
    </w:p>
    <w:p w14:paraId="546A41F5">
      <w:pPr>
        <w:pStyle w:val="4"/>
        <w:bidi w:val="0"/>
        <w:rPr>
          <w:rFonts w:hint="eastAsia"/>
          <w:highlight w:val="none"/>
        </w:rPr>
      </w:pPr>
      <w:r>
        <w:rPr>
          <w:rFonts w:hint="eastAsia"/>
          <w:highlight w:val="none"/>
        </w:rPr>
        <w:t>【概况】</w:t>
      </w:r>
    </w:p>
    <w:p w14:paraId="564B60CB">
      <w:pPr>
        <w:rPr>
          <w:rFonts w:hint="eastAsia" w:hAnsi="宋体" w:eastAsia="宋体" w:cs="宋体"/>
          <w:highlight w:val="none"/>
          <w:lang w:eastAsia="zh-CN"/>
        </w:rPr>
      </w:pPr>
      <w:r>
        <w:rPr>
          <w:rFonts w:hint="eastAsia" w:hAnsi="宋体" w:cs="宋体"/>
          <w:highlight w:val="none"/>
        </w:rPr>
        <w:t>根据韶关市公路局《转发韶关市编委〈关于县级公路局更名的批复〉》（韶市人字〔2009〕29号）文件精神，南雄市公路局更名为韶关市南雄公路局。韶关市南雄公路局为韶关市公路局垂直管理的正科级事业单位，机关内设七个正股级机构，分别为办公室、生产技术股、人事监察股、路政管理所、收费管理所、财务股、安全生产股。下辖珠玑养护中心、湖口养护中心、澜河养护中心。韶关市南雄公路局依据《中华人民共和国公路法》《广东省公路条例》负责南雄市境内国省道共172</w:t>
      </w:r>
      <w:r>
        <w:rPr>
          <w:rFonts w:hint="eastAsia" w:ascii="MingLiU_HKSCS" w:hAnsi="MingLiU_HKSCS" w:eastAsia="MingLiU_HKSCS" w:cs="MingLiU_HKSCS"/>
          <w:highlight w:val="none"/>
        </w:rPr>
        <w:t>.</w:t>
      </w:r>
      <w:r>
        <w:rPr>
          <w:rFonts w:hint="eastAsia" w:hAnsi="宋体" w:cs="宋体"/>
          <w:highlight w:val="none"/>
        </w:rPr>
        <w:t>63公里、36座桥梁的管理、养护。</w:t>
      </w:r>
    </w:p>
    <w:p w14:paraId="204B8D52">
      <w:pPr>
        <w:pStyle w:val="4"/>
        <w:bidi w:val="0"/>
        <w:rPr>
          <w:rFonts w:hint="eastAsia"/>
          <w:highlight w:val="none"/>
        </w:rPr>
      </w:pPr>
      <w:r>
        <w:rPr>
          <w:rFonts w:hint="eastAsia"/>
          <w:highlight w:val="none"/>
        </w:rPr>
        <w:t>【养护管理】</w:t>
      </w:r>
    </w:p>
    <w:p w14:paraId="058612DD">
      <w:pPr>
        <w:rPr>
          <w:rFonts w:hint="eastAsia" w:hAnsi="宋体" w:eastAsia="宋体" w:cs="宋体"/>
          <w:highlight w:val="none"/>
          <w:lang w:eastAsia="zh-CN"/>
        </w:rPr>
      </w:pPr>
      <w:r>
        <w:rPr>
          <w:rFonts w:hint="eastAsia" w:hAnsi="宋体" w:cs="宋体"/>
          <w:highlight w:val="none"/>
        </w:rPr>
        <w:t>投资8439万元完成国道G323线南雄小梅关至头塘铺段路面改造工程、投资1655万元完成省道S244线南雄塘面至始兴马市段（南雄段）路面改造工程、投资152万元完成G323线K271+000—K280+000灾毁路面修复工程和1</w:t>
      </w:r>
      <w:r>
        <w:rPr>
          <w:rFonts w:hint="eastAsia" w:ascii="MingLiU_HKSCS" w:hAnsi="MingLiU_HKSCS" w:eastAsia="MingLiU_HKSCS" w:cs="MingLiU_HKSCS"/>
          <w:highlight w:val="none"/>
        </w:rPr>
        <w:t>.</w:t>
      </w:r>
      <w:r>
        <w:rPr>
          <w:rFonts w:hint="eastAsia" w:hAnsi="宋体" w:cs="宋体"/>
          <w:highlight w:val="none"/>
        </w:rPr>
        <w:t>73公里的应急中修工程。在小修保养方面，加强月度检查工作</w:t>
      </w:r>
      <w:r>
        <w:rPr>
          <w:rFonts w:hint="eastAsia" w:hAnsi="宋体" w:cs="宋体"/>
          <w:highlight w:val="none"/>
          <w:lang w:eastAsia="zh-CN"/>
        </w:rPr>
        <w:t>，</w:t>
      </w:r>
      <w:r>
        <w:rPr>
          <w:rFonts w:hint="eastAsia" w:hAnsi="宋体" w:cs="宋体"/>
          <w:highlight w:val="none"/>
        </w:rPr>
        <w:t>提高以路面养护质量为中心，全面提升公路服务水平</w:t>
      </w:r>
      <w:r>
        <w:rPr>
          <w:rFonts w:hint="eastAsia" w:hAnsi="宋体" w:cs="宋体"/>
          <w:highlight w:val="none"/>
          <w:lang w:eastAsia="zh-CN"/>
        </w:rPr>
        <w:t>，</w:t>
      </w:r>
      <w:r>
        <w:rPr>
          <w:rFonts w:hint="eastAsia" w:hAnsi="宋体" w:cs="宋体"/>
          <w:highlight w:val="none"/>
        </w:rPr>
        <w:t>整治管养路段路容、路貌、排水设施。对路面坑槽、破碎板、桥头跳车、接缝养护差等病害作重点处治。做好水毁预防及抢修复工作，投入资金31</w:t>
      </w:r>
      <w:r>
        <w:rPr>
          <w:rFonts w:hint="eastAsia" w:ascii="MingLiU_HKSCS" w:hAnsi="MingLiU_HKSCS" w:eastAsia="MingLiU_HKSCS" w:cs="MingLiU_HKSCS"/>
          <w:highlight w:val="none"/>
        </w:rPr>
        <w:t>.</w:t>
      </w:r>
      <w:r>
        <w:rPr>
          <w:rFonts w:hint="eastAsia" w:hAnsi="宋体" w:cs="宋体"/>
          <w:highlight w:val="none"/>
        </w:rPr>
        <w:t>5万元完成路面水泥板修复约650平方米、涵洞4座、盖板水沟159米、挡土墙40米，确保公路安全畅通。加强桥梁养护管理，特别是四、五类桥梁管理。做好桥梁外业检查、内业资料规范填报等工作，投入12万元及时处治古录桥的基础水毁病害。争取省、市资金支持，采取局补助及养护中心自筹方式购置和购买5辆养护车、1台压路机、1台挖掘机、1台装载机。机械完好率95</w:t>
      </w:r>
      <w:r>
        <w:rPr>
          <w:rFonts w:hint="eastAsia" w:ascii="MingLiU_HKSCS" w:hAnsi="MingLiU_HKSCS" w:eastAsia="MingLiU_HKSCS" w:cs="MingLiU_HKSCS"/>
          <w:highlight w:val="none"/>
        </w:rPr>
        <w:t>.</w:t>
      </w:r>
      <w:r>
        <w:rPr>
          <w:rFonts w:hint="eastAsia" w:hAnsi="宋体" w:cs="宋体"/>
          <w:highlight w:val="none"/>
        </w:rPr>
        <w:t>2%、利用率82%。</w:t>
      </w:r>
    </w:p>
    <w:p w14:paraId="319CAC52">
      <w:pPr>
        <w:pStyle w:val="4"/>
        <w:bidi w:val="0"/>
        <w:rPr>
          <w:rFonts w:hint="eastAsia"/>
          <w:highlight w:val="none"/>
        </w:rPr>
      </w:pPr>
      <w:r>
        <w:rPr>
          <w:rFonts w:hint="eastAsia"/>
          <w:highlight w:val="none"/>
        </w:rPr>
        <w:t>【路政管理】</w:t>
      </w:r>
    </w:p>
    <w:p w14:paraId="7F03D19E">
      <w:pPr>
        <w:rPr>
          <w:rFonts w:hint="eastAsia" w:hAnsi="宋体" w:cs="宋体"/>
          <w:highlight w:val="none"/>
        </w:rPr>
      </w:pPr>
      <w:r>
        <w:rPr>
          <w:rFonts w:hint="eastAsia" w:hAnsi="宋体" w:cs="宋体"/>
          <w:highlight w:val="none"/>
        </w:rPr>
        <w:t>加强路政管理。加强路政巡查力度，做好违法源头管理和违法当场劝止及违法案件及时报送机制，贯彻落实《广东省交通综合行政执法机构与公路管理机构业务协作办法》（粤交执〔2010〕316号）文件要求，加强与交通综合行政执法机构业务协作，向南雄市交通综合行政执法局报送（邮寄）公路违章案件66宗，其中有反馈信息处理3宗，未立案处理有63宗。依法查处交通肇事案件，维护路权，有效索赔受损路产。2015年查处赔偿案7宗，收取赔补偿费36983元。规范行政审批许可工作。加强涉路施工管理，开展“爱路护路、保障畅通”宣传月活动，监督指导施工单位做好涉路施工路段两端设置明显的施工标志和安防设施。开展公路路域环境综合整治，与南雄市交通运输局开展联合排查、整治违章搭建、乱堆乱放、违法广告标牌等违法行为，清理违规广告牌190块。</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F39F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4B8A8F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76" name="图片 231" descr="国道G323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31" descr="国道G323线"/>
                          <pic:cNvPicPr>
                            <a:picLocks noChangeAspect="1"/>
                          </pic:cNvPicPr>
                        </pic:nvPicPr>
                        <pic:blipFill>
                          <a:blip r:embed="rId81"/>
                          <a:stretch>
                            <a:fillRect/>
                          </a:stretch>
                        </pic:blipFill>
                        <pic:spPr>
                          <a:xfrm>
                            <a:off x="0" y="0"/>
                            <a:ext cx="3420110" cy="2279650"/>
                          </a:xfrm>
                          <a:prstGeom prst="rect">
                            <a:avLst/>
                          </a:prstGeom>
                          <a:noFill/>
                          <a:ln>
                            <a:noFill/>
                          </a:ln>
                        </pic:spPr>
                      </pic:pic>
                    </a:graphicData>
                  </a:graphic>
                </wp:inline>
              </w:drawing>
            </w:r>
          </w:p>
        </w:tc>
      </w:tr>
      <w:tr w14:paraId="08341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21B0707">
            <w:pPr>
              <w:jc w:val="center"/>
              <w:rPr>
                <w:rFonts w:hint="eastAsia" w:hAnsi="宋体" w:cs="宋体"/>
                <w:highlight w:val="none"/>
                <w:vertAlign w:val="baseline"/>
              </w:rPr>
            </w:pPr>
            <w:r>
              <w:rPr>
                <w:rFonts w:hint="eastAsia" w:hAnsi="宋体" w:cs="宋体"/>
                <w:highlight w:val="none"/>
                <w:vertAlign w:val="baseline"/>
              </w:rPr>
              <w:t>改造后的国道G323线南雄小梅关至头塘铺段路面</w:t>
            </w:r>
          </w:p>
        </w:tc>
      </w:tr>
    </w:tbl>
    <w:p w14:paraId="7A41461D">
      <w:pPr>
        <w:pStyle w:val="4"/>
        <w:bidi w:val="0"/>
        <w:rPr>
          <w:rFonts w:hint="eastAsia"/>
          <w:highlight w:val="none"/>
        </w:rPr>
      </w:pPr>
      <w:r>
        <w:rPr>
          <w:rFonts w:hint="eastAsia"/>
          <w:highlight w:val="none"/>
        </w:rPr>
        <w:t>【安全生产】</w:t>
      </w:r>
    </w:p>
    <w:p w14:paraId="41F73B68">
      <w:pPr>
        <w:rPr>
          <w:rFonts w:hint="eastAsia" w:hAnsi="宋体" w:cs="宋体"/>
          <w:highlight w:val="none"/>
        </w:rPr>
      </w:pPr>
      <w:r>
        <w:rPr>
          <w:rFonts w:hint="eastAsia" w:hAnsi="宋体" w:cs="宋体"/>
          <w:highlight w:val="none"/>
        </w:rPr>
        <w:t>落实“一岗双责”制度和安全生产监管责任，层层签订《安全责任书》，明确各级安全管理职责，做到安全工作与生产同布置、同立项、同检查、同总结验收，做到人人有责任，事事有责任人；开展“安全生产月”活动，发放安全生产法律法规、安全知识宣传册，举办安全生产消防演练活动；注重公路巡查督查和隐患排查治理。2015年未发生安全生产责任事故，安全生产形势稳定。</w:t>
      </w:r>
    </w:p>
    <w:p w14:paraId="176DAD9D">
      <w:pPr>
        <w:pStyle w:val="4"/>
        <w:bidi w:val="0"/>
        <w:rPr>
          <w:rFonts w:hint="eastAsia"/>
          <w:highlight w:val="none"/>
        </w:rPr>
      </w:pPr>
      <w:r>
        <w:rPr>
          <w:rFonts w:hint="eastAsia"/>
          <w:highlight w:val="none"/>
        </w:rPr>
        <w:t>【行业文明创建】</w:t>
      </w:r>
    </w:p>
    <w:p w14:paraId="27EB1194">
      <w:pPr>
        <w:rPr>
          <w:rFonts w:hint="eastAsia" w:hAnsi="宋体" w:cs="宋体"/>
          <w:highlight w:val="none"/>
        </w:rPr>
      </w:pPr>
      <w:r>
        <w:rPr>
          <w:rFonts w:hint="eastAsia" w:hAnsi="宋体" w:cs="宋体"/>
          <w:highlight w:val="none"/>
        </w:rPr>
        <w:t>抓干部职工队伍思想素质和工作能力，扎实开展“三严三实”“双学双比”等主题实践活动等，转变机关管理人员及养护人员工作作风。</w:t>
      </w:r>
    </w:p>
    <w:p w14:paraId="606F01A7">
      <w:pPr>
        <w:rPr>
          <w:rFonts w:hint="eastAsia" w:hAnsi="宋体" w:cs="宋体"/>
          <w:highlight w:val="none"/>
        </w:rPr>
      </w:pPr>
      <w:r>
        <w:rPr>
          <w:rFonts w:hint="eastAsia" w:hAnsi="宋体" w:cs="宋体"/>
          <w:highlight w:val="none"/>
        </w:rPr>
        <w:t>继续推进具有公路行业特色教育、制度、监督并重的惩治和预防腐败体系建设，贯彻落实党风廉政</w:t>
      </w:r>
      <w:r>
        <w:rPr>
          <w:rFonts w:hint="eastAsia" w:cs="宋体"/>
          <w:highlight w:val="none"/>
          <w:lang w:val="en-US" w:eastAsia="zh-CN"/>
        </w:rPr>
        <w:t>建设</w:t>
      </w:r>
      <w:r>
        <w:rPr>
          <w:rFonts w:hint="eastAsia" w:hAnsi="宋体" w:cs="宋体"/>
          <w:highlight w:val="none"/>
        </w:rPr>
        <w:t>责任制，开展“纪律教育学习月”活动，签订《党风廉政建设责任书》、继续深入开展工程建设领域突出问题的专项治理，建立和完善防控“小金库”滋生长效机制。</w:t>
      </w:r>
    </w:p>
    <w:p w14:paraId="62C1FA82">
      <w:pPr>
        <w:rPr>
          <w:rFonts w:hint="eastAsia" w:hAnsi="宋体" w:cs="宋体"/>
          <w:highlight w:val="none"/>
        </w:rPr>
      </w:pPr>
      <w:r>
        <w:rPr>
          <w:rFonts w:hint="eastAsia" w:hAnsi="宋体" w:cs="宋体"/>
          <w:highlight w:val="none"/>
        </w:rPr>
        <w:t>推进公路文化建设，加大文明养护中心创建力度，做好社会治安综合治理工作，做好乌迳镇庙前村的扶贫“双到”工作，提升行业文明建设水平。财务管理工作运转良好。顺利完成向财政申请拨付到公路养护生产资金工作，资金申请与资金到位率达到100%。</w:t>
      </w:r>
    </w:p>
    <w:p w14:paraId="7C323B3C">
      <w:pPr>
        <w:rPr>
          <w:rFonts w:hint="eastAsia" w:hAnsi="宋体" w:cs="宋体"/>
          <w:highlight w:val="none"/>
        </w:rPr>
      </w:pPr>
      <w:r>
        <w:rPr>
          <w:rFonts w:hint="eastAsia" w:hAnsi="宋体" w:cs="宋体"/>
          <w:highlight w:val="none"/>
        </w:rPr>
        <w:t>有效保障职工的合法权益，按照《劳动法》和《劳动合同法》赋予职工的合法权益，在职代会上通过集体合同条款，签订集体合同，并到劳动部门办理合同签订备案手续。（骆颖晓）</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D47E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2957F0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24710"/>
                  <wp:effectExtent l="0" t="0" r="8890" b="8890"/>
                  <wp:docPr id="77" name="图片 232" descr="南雄公路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2" descr="南雄公路局"/>
                          <pic:cNvPicPr>
                            <a:picLocks noChangeAspect="1"/>
                          </pic:cNvPicPr>
                        </pic:nvPicPr>
                        <pic:blipFill>
                          <a:blip r:embed="rId82"/>
                          <a:stretch>
                            <a:fillRect/>
                          </a:stretch>
                        </pic:blipFill>
                        <pic:spPr>
                          <a:xfrm>
                            <a:off x="0" y="0"/>
                            <a:ext cx="3420110" cy="2124710"/>
                          </a:xfrm>
                          <a:prstGeom prst="rect">
                            <a:avLst/>
                          </a:prstGeom>
                          <a:noFill/>
                          <a:ln>
                            <a:noFill/>
                          </a:ln>
                        </pic:spPr>
                      </pic:pic>
                    </a:graphicData>
                  </a:graphic>
                </wp:inline>
              </w:drawing>
            </w:r>
          </w:p>
        </w:tc>
      </w:tr>
      <w:tr w14:paraId="1A5BD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589ADEF">
            <w:pPr>
              <w:jc w:val="center"/>
              <w:rPr>
                <w:rFonts w:hint="eastAsia" w:hAnsi="宋体" w:cs="宋体"/>
                <w:highlight w:val="none"/>
                <w:vertAlign w:val="baseline"/>
              </w:rPr>
            </w:pPr>
            <w:r>
              <w:rPr>
                <w:rFonts w:hint="eastAsia" w:hAnsi="宋体" w:cs="宋体"/>
                <w:highlight w:val="none"/>
              </w:rPr>
              <w:t>南雄公路局党风廉政建设工作会议</w:t>
            </w:r>
          </w:p>
        </w:tc>
      </w:tr>
    </w:tbl>
    <w:p w14:paraId="60E3B912">
      <w:pPr>
        <w:rPr>
          <w:rFonts w:hint="eastAsia" w:hAnsi="宋体" w:eastAsia="宋体" w:cs="宋体"/>
          <w:highlight w:val="none"/>
          <w:lang w:eastAsia="zh-CN"/>
        </w:rPr>
      </w:pPr>
      <w:r>
        <w:rPr>
          <w:rFonts w:hint="eastAsia" w:hAnsi="宋体" w:cs="宋体"/>
          <w:highlight w:val="none"/>
        </w:rPr>
        <w:t>附：2015年韶关市南雄公路局领导班子成员名单</w:t>
      </w:r>
    </w:p>
    <w:p w14:paraId="04C365B9">
      <w:pPr>
        <w:rPr>
          <w:rFonts w:hint="eastAsia" w:hAnsi="宋体" w:eastAsia="宋体" w:cs="宋体"/>
          <w:highlight w:val="none"/>
          <w:lang w:eastAsia="zh-CN"/>
        </w:rPr>
      </w:pPr>
      <w:r>
        <w:rPr>
          <w:rFonts w:hint="eastAsia" w:hAnsi="宋体" w:cs="宋体"/>
          <w:highlight w:val="none"/>
        </w:rPr>
        <w:t>局长：张福明</w:t>
      </w:r>
    </w:p>
    <w:p w14:paraId="30B154CF">
      <w:pPr>
        <w:rPr>
          <w:rFonts w:hint="eastAsia" w:hAnsi="宋体" w:cs="宋体"/>
          <w:highlight w:val="none"/>
        </w:rPr>
      </w:pPr>
      <w:r>
        <w:rPr>
          <w:rFonts w:hint="eastAsia" w:hAnsi="宋体" w:cs="宋体"/>
          <w:highlight w:val="none"/>
        </w:rPr>
        <w:t>副局长：邹国山 徐先昌 梁乃祥（9月任）</w:t>
      </w:r>
    </w:p>
    <w:p w14:paraId="378C71E6">
      <w:pPr>
        <w:pStyle w:val="3"/>
        <w:bidi w:val="0"/>
        <w:rPr>
          <w:rFonts w:hint="eastAsia"/>
          <w:highlight w:val="none"/>
        </w:rPr>
      </w:pPr>
      <w:r>
        <w:rPr>
          <w:rFonts w:hint="eastAsia"/>
          <w:highlight w:val="none"/>
        </w:rPr>
        <w:t>南雄汽车站</w:t>
      </w:r>
    </w:p>
    <w:p w14:paraId="763D1431">
      <w:pPr>
        <w:pStyle w:val="4"/>
        <w:bidi w:val="0"/>
        <w:rPr>
          <w:rFonts w:hint="eastAsia"/>
          <w:highlight w:val="none"/>
        </w:rPr>
      </w:pPr>
      <w:r>
        <w:rPr>
          <w:rFonts w:hint="eastAsia"/>
          <w:highlight w:val="none"/>
        </w:rPr>
        <w:t>【概况】</w:t>
      </w:r>
    </w:p>
    <w:p w14:paraId="1A2BCE11">
      <w:pPr>
        <w:rPr>
          <w:rFonts w:hint="eastAsia" w:hAnsi="宋体" w:cs="宋体"/>
          <w:highlight w:val="none"/>
        </w:rPr>
      </w:pPr>
      <w:r>
        <w:rPr>
          <w:rFonts w:hint="eastAsia" w:hAnsi="宋体" w:cs="宋体"/>
          <w:highlight w:val="none"/>
        </w:rPr>
        <w:t>韶关市粤运汽车运输有限公司有限公司南雄汽车站，负责人李应海。其前身为韶关市汽运集团有限公司南雄汽车站。2014年9月19日，广东省交通集团与韶关市政府签署交通合作项目，组建混合所有制企业：韶关市粤运汽车运输有限公司，其上级主管部门为广东粤运交通股份有限公司，韶关市汽运集团有限公司南雄汽车站正式更名为韶关市粤运汽车运输有限公司南雄汽车站。南雄汽车站担负南雄市客运运输职能，现行机构设置为综合事务办、财务管理办、经营办、安技办、保修车间等5个部门。代管韶关市粤运汽车运输有限公司南雄出租小汽车分公司1个分公司，拥有南雄市公共汽车有限公司及南雄市陆通客运有限公司2家子公司。</w:t>
      </w:r>
    </w:p>
    <w:p w14:paraId="2C67934A">
      <w:pPr>
        <w:rPr>
          <w:rFonts w:hint="eastAsia" w:hAnsi="宋体" w:cs="宋体"/>
          <w:highlight w:val="none"/>
        </w:rPr>
      </w:pPr>
      <w:r>
        <w:rPr>
          <w:rFonts w:hint="eastAsia" w:hAnsi="宋体" w:cs="宋体"/>
          <w:highlight w:val="none"/>
        </w:rPr>
        <w:t>2015年，韶关市粤运汽车运输有限公司南雄汽车站对承包经营车辆逐步进行回收自营。同时，拓展农村客运业务，进行车辆更新、开通新线路、投放新车辆进入农村客运市场。</w:t>
      </w:r>
    </w:p>
    <w:p w14:paraId="3ED0A4C5">
      <w:pPr>
        <w:rPr>
          <w:rFonts w:hint="eastAsia" w:hAnsi="宋体" w:eastAsia="宋体" w:cs="宋体"/>
          <w:highlight w:val="none"/>
          <w:lang w:eastAsia="zh-CN"/>
        </w:rPr>
      </w:pPr>
      <w:r>
        <w:rPr>
          <w:rFonts w:hint="eastAsia" w:hAnsi="宋体" w:cs="宋体"/>
          <w:highlight w:val="none"/>
        </w:rPr>
        <w:t>2015年3月，广东省总工会授予南雄汽车站“工会女职工工作先进集体”称号。</w:t>
      </w:r>
    </w:p>
    <w:p w14:paraId="59DAD497">
      <w:pPr>
        <w:pStyle w:val="4"/>
        <w:bidi w:val="0"/>
        <w:rPr>
          <w:rFonts w:hint="eastAsia"/>
          <w:highlight w:val="none"/>
        </w:rPr>
      </w:pPr>
      <w:r>
        <w:rPr>
          <w:rFonts w:hint="eastAsia"/>
          <w:highlight w:val="none"/>
        </w:rPr>
        <w:t>【出租车实行“公车公营”模式】</w:t>
      </w:r>
    </w:p>
    <w:p w14:paraId="0DB1ACC4">
      <w:pPr>
        <w:rPr>
          <w:rFonts w:hint="eastAsia" w:hAnsi="宋体" w:eastAsia="宋体" w:cs="宋体"/>
          <w:highlight w:val="none"/>
          <w:lang w:eastAsia="zh-CN"/>
        </w:rPr>
      </w:pPr>
      <w:r>
        <w:rPr>
          <w:rFonts w:hint="eastAsia" w:hAnsi="宋体" w:cs="宋体"/>
          <w:highlight w:val="none"/>
        </w:rPr>
        <w:t>2015年1月1日，韶关市粤运汽车运输有限公司南雄出租小汽车分公司对第2批出租车（30台）实行“公车公营、打表计费”管理模式，公车公营出租车不允许运营韶关线，只准在市区搭客，有效地缓解市民“打车难”这一问题。</w:t>
      </w:r>
    </w:p>
    <w:p w14:paraId="47379F46">
      <w:pPr>
        <w:pStyle w:val="4"/>
        <w:bidi w:val="0"/>
        <w:rPr>
          <w:rFonts w:hint="eastAsia"/>
          <w:highlight w:val="none"/>
        </w:rPr>
      </w:pPr>
      <w:r>
        <w:rPr>
          <w:rFonts w:hint="eastAsia"/>
          <w:highlight w:val="none"/>
        </w:rPr>
        <w:t>【江头镇公交线路延伸至市区】</w:t>
      </w:r>
    </w:p>
    <w:p w14:paraId="547B6D7B">
      <w:pPr>
        <w:rPr>
          <w:rFonts w:hint="eastAsia" w:hAnsi="宋体" w:eastAsia="宋体" w:cs="宋体"/>
          <w:highlight w:val="none"/>
          <w:lang w:eastAsia="zh-CN"/>
        </w:rPr>
      </w:pPr>
      <w:r>
        <w:rPr>
          <w:rFonts w:hint="eastAsia" w:hAnsi="宋体" w:cs="宋体"/>
          <w:highlight w:val="none"/>
        </w:rPr>
        <w:t>为响应市人大代表在南雄市第十五届人民代表大会第六次会议上提出的《关于江头线公交车进市区的建议》，经决定：2015年5月1日起，江头镇公交车线路延伸到市区三影塔。</w:t>
      </w:r>
    </w:p>
    <w:p w14:paraId="40933EF8">
      <w:pPr>
        <w:pStyle w:val="4"/>
        <w:bidi w:val="0"/>
        <w:rPr>
          <w:rFonts w:hint="eastAsia"/>
          <w:highlight w:val="none"/>
        </w:rPr>
      </w:pPr>
      <w:r>
        <w:rPr>
          <w:rFonts w:hint="eastAsia"/>
          <w:highlight w:val="none"/>
        </w:rPr>
        <w:t>【班线车辆开始实行自营经营】</w:t>
      </w:r>
    </w:p>
    <w:p w14:paraId="2E306D26">
      <w:pPr>
        <w:rPr>
          <w:rFonts w:hint="eastAsia" w:hAnsi="宋体" w:cs="宋体"/>
          <w:highlight w:val="none"/>
        </w:rPr>
      </w:pPr>
      <w:r>
        <w:rPr>
          <w:rFonts w:hint="eastAsia" w:hAnsi="宋体" w:cs="宋体"/>
          <w:highlight w:val="none"/>
        </w:rPr>
        <w:t>2015年6月1日，南雄汽车站对承包经营期限到期南雄至大余省际班线，南雄至深圳市际班线以及南雄至大塘乡镇班线（农客）等班线车辆进行车辆更新，并实行自营经营。</w:t>
      </w:r>
    </w:p>
    <w:p w14:paraId="18EDCA14">
      <w:pPr>
        <w:pStyle w:val="4"/>
        <w:bidi w:val="0"/>
        <w:rPr>
          <w:rFonts w:hint="eastAsia"/>
          <w:highlight w:val="none"/>
        </w:rPr>
      </w:pPr>
      <w:r>
        <w:rPr>
          <w:rFonts w:hint="eastAsia"/>
          <w:highlight w:val="none"/>
        </w:rPr>
        <w:t>【保修车间结束承包经营】</w:t>
      </w:r>
    </w:p>
    <w:p w14:paraId="69C6130F">
      <w:pPr>
        <w:rPr>
          <w:rFonts w:hint="eastAsia" w:hAnsi="宋体" w:eastAsia="宋体" w:cs="宋体"/>
          <w:highlight w:val="none"/>
          <w:lang w:eastAsia="zh-CN"/>
        </w:rPr>
      </w:pPr>
      <w:r>
        <w:rPr>
          <w:rFonts w:hint="eastAsia" w:hAnsi="宋体" w:cs="宋体"/>
          <w:highlight w:val="none"/>
        </w:rPr>
        <w:t>2015年7月1日，经过与南雄汽车站保修车间原承包经营者商议后，南雄汽车站与承包经营方达成协议：保修车间自2015年7月起实行自营经营，原承包协议期满，双方不再续订合约。</w:t>
      </w:r>
    </w:p>
    <w:p w14:paraId="28DBA62E">
      <w:pPr>
        <w:pStyle w:val="4"/>
        <w:bidi w:val="0"/>
        <w:rPr>
          <w:rFonts w:hint="eastAsia"/>
          <w:highlight w:val="none"/>
        </w:rPr>
      </w:pPr>
      <w:r>
        <w:rPr>
          <w:rFonts w:hint="eastAsia"/>
          <w:highlight w:val="none"/>
        </w:rPr>
        <w:t>【农村客运班线车辆更新】</w:t>
      </w:r>
    </w:p>
    <w:p w14:paraId="68767B6D">
      <w:pPr>
        <w:rPr>
          <w:rFonts w:hint="eastAsia" w:hAnsi="宋体" w:cs="宋体"/>
          <w:highlight w:val="none"/>
        </w:rPr>
      </w:pPr>
      <w:r>
        <w:rPr>
          <w:rFonts w:hint="eastAsia" w:hAnsi="宋体" w:cs="宋体"/>
          <w:highlight w:val="none"/>
        </w:rPr>
        <w:t>2015年9月26日，南雄市陆通汽车客运有限公司将经营期限到期的承包经营车辆承包经营权收回。并新增22台中巴车，对收回自营的车辆进行更新。该次更新涉及的农客线路包括南雄—大塘、南雄—珠玑、南雄—南亩等线路。</w:t>
      </w:r>
    </w:p>
    <w:p w14:paraId="3DE031AF">
      <w:pPr>
        <w:pStyle w:val="4"/>
        <w:bidi w:val="0"/>
        <w:rPr>
          <w:rFonts w:hint="eastAsia"/>
          <w:highlight w:val="none"/>
        </w:rPr>
      </w:pPr>
      <w:r>
        <w:rPr>
          <w:rFonts w:hint="eastAsia"/>
          <w:highlight w:val="none"/>
        </w:rPr>
        <w:t>【市公共汽车有限公司2015年亏损】</w:t>
      </w:r>
    </w:p>
    <w:p w14:paraId="76B9EFFB">
      <w:pPr>
        <w:rPr>
          <w:rFonts w:hint="eastAsia" w:hAnsi="宋体" w:cs="宋体"/>
          <w:highlight w:val="none"/>
        </w:rPr>
      </w:pPr>
      <w:r>
        <w:rPr>
          <w:rFonts w:hint="eastAsia" w:hAnsi="宋体" w:cs="宋体"/>
          <w:highlight w:val="none"/>
        </w:rPr>
        <w:t>因南雄市市区范围较小、公共汽车并非民众出行首选等因素影响。南雄市公共汽车有限公司2015年营业利润为-152.55万元，净利润为-5388万元。（叶平）</w:t>
      </w:r>
    </w:p>
    <w:p w14:paraId="03E4039F">
      <w:pPr>
        <w:rPr>
          <w:rFonts w:hint="eastAsia" w:hAnsi="宋体" w:eastAsia="宋体" w:cs="宋体"/>
          <w:b w:val="0"/>
          <w:bCs w:val="0"/>
          <w:highlight w:val="none"/>
          <w:lang w:eastAsia="zh-CN"/>
        </w:rPr>
      </w:pPr>
      <w:r>
        <w:rPr>
          <w:rFonts w:hint="eastAsia" w:hAnsi="宋体" w:cs="宋体"/>
          <w:b w:val="0"/>
          <w:bCs w:val="0"/>
          <w:highlight w:val="none"/>
        </w:rPr>
        <w:t>附：2015年市汽车站领导班子成员名单</w:t>
      </w:r>
    </w:p>
    <w:p w14:paraId="180BC3E8">
      <w:pPr>
        <w:rPr>
          <w:rFonts w:hint="eastAsia" w:hAnsi="宋体" w:eastAsia="宋体" w:cs="宋体"/>
          <w:b w:val="0"/>
          <w:bCs w:val="0"/>
          <w:highlight w:val="none"/>
          <w:lang w:eastAsia="zh-CN"/>
        </w:rPr>
      </w:pPr>
      <w:r>
        <w:rPr>
          <w:rFonts w:hint="eastAsia" w:hAnsi="宋体" w:cs="宋体"/>
          <w:b w:val="0"/>
          <w:bCs w:val="0"/>
          <w:highlight w:val="none"/>
        </w:rPr>
        <w:t>站</w:t>
      </w:r>
      <w:r>
        <w:rPr>
          <w:rFonts w:hint="eastAsia" w:hAnsi="宋体" w:cs="宋体"/>
          <w:b w:val="0"/>
          <w:bCs w:val="0"/>
          <w:highlight w:val="none"/>
          <w:lang w:val="en-US" w:eastAsia="zh-CN"/>
        </w:rPr>
        <w:t xml:space="preserve">  </w:t>
      </w:r>
      <w:r>
        <w:rPr>
          <w:rFonts w:hint="eastAsia" w:hAnsi="宋体" w:cs="宋体"/>
          <w:b w:val="0"/>
          <w:bCs w:val="0"/>
          <w:highlight w:val="none"/>
        </w:rPr>
        <w:t>长：李应海</w:t>
      </w:r>
    </w:p>
    <w:p w14:paraId="69ED9F1F">
      <w:pPr>
        <w:rPr>
          <w:rFonts w:hint="eastAsia" w:hAnsi="宋体" w:eastAsia="宋体" w:cs="宋体"/>
          <w:b w:val="0"/>
          <w:bCs w:val="0"/>
          <w:highlight w:val="none"/>
          <w:lang w:eastAsia="zh-CN"/>
        </w:rPr>
      </w:pPr>
      <w:r>
        <w:rPr>
          <w:rFonts w:hint="eastAsia" w:hAnsi="宋体" w:cs="宋体"/>
          <w:b w:val="0"/>
          <w:bCs w:val="0"/>
          <w:highlight w:val="none"/>
        </w:rPr>
        <w:t>副站长：叶平 严先庆</w:t>
      </w:r>
    </w:p>
    <w:p w14:paraId="69EC389C">
      <w:pPr>
        <w:jc w:val="center"/>
        <w:rPr>
          <w:rFonts w:hint="eastAsia" w:hAnsi="宋体" w:cs="宋体"/>
          <w:highlight w:val="none"/>
        </w:rPr>
      </w:pPr>
      <w:r>
        <w:rPr>
          <w:rFonts w:hint="eastAsia" w:hAnsi="宋体" w:cs="宋体"/>
          <w:highlight w:val="none"/>
        </w:rPr>
        <w:t>南雄汽车站发送至各地时间表</w:t>
      </w:r>
    </w:p>
    <w:p w14:paraId="13235CA8">
      <w:pPr>
        <w:rPr>
          <w:rFonts w:hint="eastAsia" w:hAnsi="宋体" w:cs="宋体"/>
          <w:highlight w:val="none"/>
        </w:rPr>
      </w:pPr>
      <w:r>
        <w:rPr>
          <w:rFonts w:hint="eastAsia" w:hAnsi="宋体" w:cs="宋体"/>
          <w:highlight w:val="none"/>
        </w:rPr>
        <w:t>表18</w:t>
      </w:r>
    </w:p>
    <w:tbl>
      <w:tblPr>
        <w:tblStyle w:val="7"/>
        <w:tblW w:w="83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672"/>
        <w:gridCol w:w="959"/>
        <w:gridCol w:w="4482"/>
        <w:gridCol w:w="1009"/>
        <w:gridCol w:w="1214"/>
      </w:tblGrid>
      <w:tr w14:paraId="79E7F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90" w:hRule="atLeast"/>
          <w:jc w:val="center"/>
        </w:trPr>
        <w:tc>
          <w:tcPr>
            <w:tcW w:w="672" w:type="dxa"/>
            <w:noWrap w:val="0"/>
            <w:vAlign w:val="bottom"/>
          </w:tcPr>
          <w:p w14:paraId="64A1ED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序号</w:t>
            </w:r>
          </w:p>
        </w:tc>
        <w:tc>
          <w:tcPr>
            <w:tcW w:w="959" w:type="dxa"/>
            <w:noWrap w:val="0"/>
            <w:vAlign w:val="bottom"/>
          </w:tcPr>
          <w:p w14:paraId="39A796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线路名称</w:t>
            </w:r>
          </w:p>
        </w:tc>
        <w:tc>
          <w:tcPr>
            <w:tcW w:w="4482" w:type="dxa"/>
            <w:noWrap w:val="0"/>
            <w:vAlign w:val="bottom"/>
          </w:tcPr>
          <w:p w14:paraId="23017F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南雄汽车站发车时间</w:t>
            </w:r>
          </w:p>
        </w:tc>
        <w:tc>
          <w:tcPr>
            <w:tcW w:w="1009" w:type="dxa"/>
            <w:noWrap w:val="0"/>
            <w:vAlign w:val="bottom"/>
          </w:tcPr>
          <w:p w14:paraId="32D12A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日发班次（趟）</w:t>
            </w:r>
          </w:p>
        </w:tc>
        <w:tc>
          <w:tcPr>
            <w:tcW w:w="1214" w:type="dxa"/>
            <w:noWrap w:val="0"/>
            <w:vAlign w:val="bottom"/>
          </w:tcPr>
          <w:p w14:paraId="4C9ED8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终点站</w:t>
            </w:r>
          </w:p>
        </w:tc>
      </w:tr>
      <w:tr w14:paraId="5AF08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750" w:hRule="atLeast"/>
          <w:jc w:val="center"/>
        </w:trPr>
        <w:tc>
          <w:tcPr>
            <w:tcW w:w="672" w:type="dxa"/>
            <w:vMerge w:val="restart"/>
            <w:noWrap w:val="0"/>
            <w:vAlign w:val="center"/>
          </w:tcPr>
          <w:p w14:paraId="4EB304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959" w:type="dxa"/>
            <w:noWrap w:val="0"/>
            <w:vAlign w:val="center"/>
          </w:tcPr>
          <w:p w14:paraId="5EC564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韶关国道班</w:t>
            </w:r>
          </w:p>
        </w:tc>
        <w:tc>
          <w:tcPr>
            <w:tcW w:w="4482" w:type="dxa"/>
            <w:noWrap w:val="0"/>
            <w:vAlign w:val="center"/>
          </w:tcPr>
          <w:p w14:paraId="6F28A7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早上6</w:t>
            </w:r>
            <w:r>
              <w:rPr>
                <w:rFonts w:hint="eastAsia"/>
                <w:highlight w:val="none"/>
                <w:lang w:eastAsia="zh-CN"/>
              </w:rPr>
              <w:t>：</w:t>
            </w:r>
            <w:r>
              <w:rPr>
                <w:rFonts w:hint="eastAsia"/>
                <w:highlight w:val="none"/>
              </w:rPr>
              <w:t>40——下午18</w:t>
            </w:r>
            <w:r>
              <w:rPr>
                <w:rFonts w:hint="eastAsia"/>
                <w:highlight w:val="none"/>
                <w:lang w:eastAsia="zh-CN"/>
              </w:rPr>
              <w:t>：</w:t>
            </w:r>
            <w:r>
              <w:rPr>
                <w:rFonts w:hint="eastAsia"/>
                <w:highlight w:val="none"/>
              </w:rPr>
              <w:t>40</w:t>
            </w:r>
            <w:r>
              <w:rPr>
                <w:rFonts w:hint="eastAsia"/>
                <w:highlight w:val="none"/>
                <w:lang w:eastAsia="zh-CN"/>
              </w:rPr>
              <w:t>（</w:t>
            </w:r>
            <w:r>
              <w:rPr>
                <w:rFonts w:hint="eastAsia"/>
                <w:highlight w:val="none"/>
              </w:rPr>
              <w:t>每隔约20分钟一趟）</w:t>
            </w:r>
          </w:p>
        </w:tc>
        <w:tc>
          <w:tcPr>
            <w:tcW w:w="1009" w:type="dxa"/>
            <w:noWrap w:val="0"/>
            <w:vAlign w:val="center"/>
          </w:tcPr>
          <w:p w14:paraId="77067C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w:t>
            </w:r>
          </w:p>
        </w:tc>
        <w:tc>
          <w:tcPr>
            <w:tcW w:w="1214" w:type="dxa"/>
            <w:noWrap w:val="0"/>
            <w:vAlign w:val="center"/>
          </w:tcPr>
          <w:p w14:paraId="5D9F61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韶关客运东站</w:t>
            </w:r>
          </w:p>
        </w:tc>
      </w:tr>
      <w:tr w14:paraId="45D04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30" w:hRule="atLeast"/>
          <w:jc w:val="center"/>
        </w:trPr>
        <w:tc>
          <w:tcPr>
            <w:tcW w:w="672" w:type="dxa"/>
            <w:vMerge w:val="continue"/>
            <w:noWrap w:val="0"/>
            <w:vAlign w:val="center"/>
          </w:tcPr>
          <w:p w14:paraId="6155FE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noWrap w:val="0"/>
            <w:vAlign w:val="center"/>
          </w:tcPr>
          <w:p w14:paraId="7631DA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韶关高速班</w:t>
            </w:r>
          </w:p>
        </w:tc>
        <w:tc>
          <w:tcPr>
            <w:tcW w:w="4482" w:type="dxa"/>
            <w:noWrap w:val="0"/>
            <w:vAlign w:val="center"/>
          </w:tcPr>
          <w:p w14:paraId="285E0F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r>
              <w:rPr>
                <w:rFonts w:hint="eastAsia"/>
                <w:highlight w:val="none"/>
                <w:lang w:eastAsia="zh-CN"/>
              </w:rPr>
              <w:t>：</w:t>
            </w:r>
            <w:r>
              <w:rPr>
                <w:rFonts w:hint="eastAsia"/>
                <w:highlight w:val="none"/>
              </w:rPr>
              <w:t>20、7</w:t>
            </w:r>
            <w:r>
              <w:rPr>
                <w:rFonts w:hint="eastAsia"/>
                <w:highlight w:val="none"/>
                <w:lang w:eastAsia="zh-CN"/>
              </w:rPr>
              <w:t>：</w:t>
            </w:r>
            <w:r>
              <w:rPr>
                <w:rFonts w:hint="eastAsia"/>
                <w:highlight w:val="none"/>
              </w:rPr>
              <w:t>00、8</w:t>
            </w:r>
            <w:r>
              <w:rPr>
                <w:rFonts w:hint="eastAsia"/>
                <w:highlight w:val="none"/>
                <w:lang w:eastAsia="zh-CN"/>
              </w:rPr>
              <w:t>：</w:t>
            </w:r>
            <w:r>
              <w:rPr>
                <w:rFonts w:hint="eastAsia"/>
                <w:highlight w:val="none"/>
              </w:rPr>
              <w:t>00、9</w:t>
            </w:r>
            <w:r>
              <w:rPr>
                <w:rFonts w:hint="eastAsia"/>
                <w:highlight w:val="none"/>
                <w:lang w:eastAsia="zh-CN"/>
              </w:rPr>
              <w:t>：</w:t>
            </w:r>
            <w:r>
              <w:rPr>
                <w:rFonts w:hint="eastAsia"/>
                <w:highlight w:val="none"/>
              </w:rPr>
              <w:t>00、10</w:t>
            </w:r>
            <w:r>
              <w:rPr>
                <w:rFonts w:hint="eastAsia"/>
                <w:highlight w:val="none"/>
                <w:lang w:eastAsia="zh-CN"/>
              </w:rPr>
              <w:t>：</w:t>
            </w:r>
            <w:r>
              <w:rPr>
                <w:rFonts w:hint="eastAsia"/>
                <w:highlight w:val="none"/>
              </w:rPr>
              <w:t>00、13</w:t>
            </w:r>
            <w:r>
              <w:rPr>
                <w:rFonts w:hint="eastAsia"/>
                <w:highlight w:val="none"/>
                <w:lang w:eastAsia="zh-CN"/>
              </w:rPr>
              <w:t>：</w:t>
            </w:r>
            <w:r>
              <w:rPr>
                <w:rFonts w:hint="eastAsia"/>
                <w:highlight w:val="none"/>
              </w:rPr>
              <w:t>00、14</w:t>
            </w:r>
            <w:r>
              <w:rPr>
                <w:rFonts w:hint="eastAsia"/>
                <w:highlight w:val="none"/>
                <w:lang w:eastAsia="zh-CN"/>
              </w:rPr>
              <w:t>：</w:t>
            </w:r>
            <w:r>
              <w:rPr>
                <w:rFonts w:hint="eastAsia"/>
                <w:highlight w:val="none"/>
              </w:rPr>
              <w:t>00、15</w:t>
            </w:r>
            <w:r>
              <w:rPr>
                <w:rFonts w:hint="eastAsia"/>
                <w:highlight w:val="none"/>
                <w:lang w:eastAsia="zh-CN"/>
              </w:rPr>
              <w:t>：</w:t>
            </w:r>
            <w:r>
              <w:rPr>
                <w:rFonts w:hint="eastAsia"/>
                <w:highlight w:val="none"/>
              </w:rPr>
              <w:t>00、15</w:t>
            </w:r>
            <w:r>
              <w:rPr>
                <w:rFonts w:hint="eastAsia"/>
                <w:highlight w:val="none"/>
                <w:lang w:eastAsia="zh-CN"/>
              </w:rPr>
              <w:t>：</w:t>
            </w:r>
            <w:r>
              <w:rPr>
                <w:rFonts w:hint="eastAsia"/>
                <w:highlight w:val="none"/>
              </w:rPr>
              <w:t>40</w:t>
            </w:r>
          </w:p>
        </w:tc>
        <w:tc>
          <w:tcPr>
            <w:tcW w:w="1009" w:type="dxa"/>
            <w:noWrap w:val="0"/>
            <w:vAlign w:val="center"/>
          </w:tcPr>
          <w:p w14:paraId="78A959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214" w:type="dxa"/>
            <w:noWrap w:val="0"/>
            <w:vAlign w:val="center"/>
          </w:tcPr>
          <w:p w14:paraId="39D277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韶关客运东站</w:t>
            </w:r>
          </w:p>
        </w:tc>
      </w:tr>
      <w:tr w14:paraId="7DA89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0" w:hRule="atLeast"/>
          <w:jc w:val="center"/>
        </w:trPr>
        <w:tc>
          <w:tcPr>
            <w:tcW w:w="672" w:type="dxa"/>
            <w:vMerge w:val="continue"/>
            <w:noWrap w:val="0"/>
            <w:vAlign w:val="center"/>
          </w:tcPr>
          <w:p w14:paraId="2E276C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noWrap w:val="0"/>
            <w:vAlign w:val="center"/>
          </w:tcPr>
          <w:p w14:paraId="27ABDA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韶关高铁站</w:t>
            </w:r>
          </w:p>
        </w:tc>
        <w:tc>
          <w:tcPr>
            <w:tcW w:w="4482" w:type="dxa"/>
            <w:noWrap w:val="0"/>
            <w:vAlign w:val="center"/>
          </w:tcPr>
          <w:p w14:paraId="13A832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r>
              <w:rPr>
                <w:rFonts w:hint="eastAsia"/>
                <w:highlight w:val="none"/>
                <w:lang w:eastAsia="zh-CN"/>
              </w:rPr>
              <w:t>：</w:t>
            </w:r>
            <w:r>
              <w:rPr>
                <w:rFonts w:hint="eastAsia"/>
                <w:highlight w:val="none"/>
              </w:rPr>
              <w:t>20、7</w:t>
            </w:r>
            <w:r>
              <w:rPr>
                <w:rFonts w:hint="eastAsia"/>
                <w:highlight w:val="none"/>
                <w:lang w:eastAsia="zh-CN"/>
              </w:rPr>
              <w:t>：</w:t>
            </w:r>
            <w:r>
              <w:rPr>
                <w:rFonts w:hint="eastAsia"/>
                <w:highlight w:val="none"/>
              </w:rPr>
              <w:t>00、8</w:t>
            </w:r>
            <w:r>
              <w:rPr>
                <w:rFonts w:hint="eastAsia"/>
                <w:highlight w:val="none"/>
                <w:lang w:eastAsia="zh-CN"/>
              </w:rPr>
              <w:t>：</w:t>
            </w:r>
            <w:r>
              <w:rPr>
                <w:rFonts w:hint="eastAsia"/>
                <w:highlight w:val="none"/>
              </w:rPr>
              <w:t>00、9</w:t>
            </w:r>
            <w:r>
              <w:rPr>
                <w:rFonts w:hint="eastAsia"/>
                <w:highlight w:val="none"/>
                <w:lang w:eastAsia="zh-CN"/>
              </w:rPr>
              <w:t>：</w:t>
            </w:r>
            <w:r>
              <w:rPr>
                <w:rFonts w:hint="eastAsia"/>
                <w:highlight w:val="none"/>
              </w:rPr>
              <w:t>00、10</w:t>
            </w:r>
            <w:r>
              <w:rPr>
                <w:rFonts w:hint="eastAsia"/>
                <w:highlight w:val="none"/>
                <w:lang w:eastAsia="zh-CN"/>
              </w:rPr>
              <w:t>：</w:t>
            </w:r>
            <w:r>
              <w:rPr>
                <w:rFonts w:hint="eastAsia"/>
                <w:highlight w:val="none"/>
              </w:rPr>
              <w:t>00、10</w:t>
            </w:r>
            <w:r>
              <w:rPr>
                <w:rFonts w:hint="eastAsia"/>
                <w:highlight w:val="none"/>
                <w:lang w:eastAsia="zh-CN"/>
              </w:rPr>
              <w:t>：</w:t>
            </w:r>
            <w:r>
              <w:rPr>
                <w:rFonts w:hint="eastAsia"/>
                <w:highlight w:val="none"/>
              </w:rPr>
              <w:t>40（国道）、11</w:t>
            </w:r>
            <w:r>
              <w:rPr>
                <w:rFonts w:hint="eastAsia"/>
                <w:highlight w:val="none"/>
                <w:lang w:eastAsia="zh-CN"/>
              </w:rPr>
              <w:t>：</w:t>
            </w:r>
            <w:r>
              <w:rPr>
                <w:rFonts w:hint="eastAsia"/>
                <w:highlight w:val="none"/>
              </w:rPr>
              <w:t>40（国道）、13</w:t>
            </w:r>
            <w:r>
              <w:rPr>
                <w:rFonts w:hint="eastAsia"/>
                <w:highlight w:val="none"/>
                <w:lang w:eastAsia="zh-CN"/>
              </w:rPr>
              <w:t>：</w:t>
            </w:r>
            <w:r>
              <w:rPr>
                <w:rFonts w:hint="eastAsia"/>
                <w:highlight w:val="none"/>
              </w:rPr>
              <w:t>00、14</w:t>
            </w:r>
            <w:r>
              <w:rPr>
                <w:rFonts w:hint="eastAsia"/>
                <w:highlight w:val="none"/>
                <w:lang w:eastAsia="zh-CN"/>
              </w:rPr>
              <w:t>：</w:t>
            </w:r>
            <w:r>
              <w:rPr>
                <w:rFonts w:hint="eastAsia"/>
                <w:highlight w:val="none"/>
              </w:rPr>
              <w:t>00、15</w:t>
            </w:r>
            <w:r>
              <w:rPr>
                <w:rFonts w:hint="eastAsia"/>
                <w:highlight w:val="none"/>
                <w:lang w:eastAsia="zh-CN"/>
              </w:rPr>
              <w:t>：</w:t>
            </w:r>
            <w:r>
              <w:rPr>
                <w:rFonts w:hint="eastAsia"/>
                <w:highlight w:val="none"/>
              </w:rPr>
              <w:t>00、15</w:t>
            </w:r>
            <w:r>
              <w:rPr>
                <w:rFonts w:hint="eastAsia"/>
                <w:highlight w:val="none"/>
                <w:lang w:eastAsia="zh-CN"/>
              </w:rPr>
              <w:t>：</w:t>
            </w:r>
            <w:r>
              <w:rPr>
                <w:rFonts w:hint="eastAsia"/>
                <w:highlight w:val="none"/>
              </w:rPr>
              <w:t>40</w:t>
            </w:r>
          </w:p>
        </w:tc>
        <w:tc>
          <w:tcPr>
            <w:tcW w:w="1009" w:type="dxa"/>
            <w:noWrap w:val="0"/>
            <w:vAlign w:val="center"/>
          </w:tcPr>
          <w:p w14:paraId="3C8DCF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1214" w:type="dxa"/>
            <w:noWrap w:val="0"/>
            <w:vAlign w:val="center"/>
          </w:tcPr>
          <w:p w14:paraId="630204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韶关高铁站</w:t>
            </w:r>
          </w:p>
        </w:tc>
      </w:tr>
      <w:tr w14:paraId="5DFAE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restart"/>
            <w:noWrap w:val="0"/>
            <w:vAlign w:val="center"/>
          </w:tcPr>
          <w:p w14:paraId="7DB2CD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959" w:type="dxa"/>
            <w:noWrap w:val="0"/>
            <w:vAlign w:val="center"/>
          </w:tcPr>
          <w:p w14:paraId="684719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佛山</w:t>
            </w:r>
          </w:p>
        </w:tc>
        <w:tc>
          <w:tcPr>
            <w:tcW w:w="4482" w:type="dxa"/>
            <w:noWrap w:val="0"/>
            <w:vAlign w:val="center"/>
          </w:tcPr>
          <w:p w14:paraId="7E98B1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10</w:t>
            </w:r>
          </w:p>
        </w:tc>
        <w:tc>
          <w:tcPr>
            <w:tcW w:w="1009" w:type="dxa"/>
            <w:noWrap w:val="0"/>
            <w:vAlign w:val="center"/>
          </w:tcPr>
          <w:p w14:paraId="4E4D2D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534CF0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佛山鸿运汽车站</w:t>
            </w:r>
          </w:p>
        </w:tc>
      </w:tr>
      <w:tr w14:paraId="6EA77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450EA9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noWrap w:val="0"/>
            <w:vAlign w:val="center"/>
          </w:tcPr>
          <w:p w14:paraId="1F66B8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佛山</w:t>
            </w:r>
          </w:p>
        </w:tc>
        <w:tc>
          <w:tcPr>
            <w:tcW w:w="4482" w:type="dxa"/>
            <w:noWrap w:val="0"/>
            <w:vAlign w:val="center"/>
          </w:tcPr>
          <w:p w14:paraId="382148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r>
              <w:rPr>
                <w:rFonts w:hint="eastAsia"/>
                <w:highlight w:val="none"/>
                <w:lang w:eastAsia="zh-CN"/>
              </w:rPr>
              <w:t>：</w:t>
            </w:r>
            <w:r>
              <w:rPr>
                <w:rFonts w:hint="eastAsia"/>
                <w:highlight w:val="none"/>
              </w:rPr>
              <w:t>30</w:t>
            </w:r>
          </w:p>
        </w:tc>
        <w:tc>
          <w:tcPr>
            <w:tcW w:w="1009" w:type="dxa"/>
            <w:noWrap w:val="0"/>
            <w:vAlign w:val="center"/>
          </w:tcPr>
          <w:p w14:paraId="7C5C6F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73DC17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佛山鸿运汽车站</w:t>
            </w:r>
          </w:p>
        </w:tc>
      </w:tr>
      <w:tr w14:paraId="3BC4A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restart"/>
            <w:noWrap w:val="0"/>
            <w:vAlign w:val="center"/>
          </w:tcPr>
          <w:p w14:paraId="3B13CD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959" w:type="dxa"/>
            <w:vMerge w:val="restart"/>
            <w:noWrap w:val="0"/>
            <w:vAlign w:val="center"/>
          </w:tcPr>
          <w:p w14:paraId="32EECA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珠海</w:t>
            </w:r>
          </w:p>
        </w:tc>
        <w:tc>
          <w:tcPr>
            <w:tcW w:w="4482" w:type="dxa"/>
            <w:noWrap w:val="0"/>
            <w:vAlign w:val="center"/>
          </w:tcPr>
          <w:p w14:paraId="3039AF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20</w:t>
            </w:r>
          </w:p>
        </w:tc>
        <w:tc>
          <w:tcPr>
            <w:tcW w:w="1009" w:type="dxa"/>
            <w:noWrap w:val="0"/>
            <w:vAlign w:val="center"/>
          </w:tcPr>
          <w:p w14:paraId="169DB5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04C302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香洲汽车站</w:t>
            </w:r>
          </w:p>
        </w:tc>
      </w:tr>
      <w:tr w14:paraId="5D60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527330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3DFD12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07B92F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r>
              <w:rPr>
                <w:rFonts w:hint="eastAsia"/>
                <w:highlight w:val="none"/>
                <w:lang w:eastAsia="zh-CN"/>
              </w:rPr>
              <w:t>：</w:t>
            </w:r>
            <w:r>
              <w:rPr>
                <w:rFonts w:hint="eastAsia"/>
                <w:highlight w:val="none"/>
              </w:rPr>
              <w:t>20</w:t>
            </w:r>
          </w:p>
        </w:tc>
        <w:tc>
          <w:tcPr>
            <w:tcW w:w="1009" w:type="dxa"/>
            <w:noWrap w:val="0"/>
            <w:vAlign w:val="center"/>
          </w:tcPr>
          <w:p w14:paraId="67550C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5BE841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香洲汽车站</w:t>
            </w:r>
          </w:p>
        </w:tc>
      </w:tr>
      <w:tr w14:paraId="74B42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noWrap w:val="0"/>
            <w:vAlign w:val="center"/>
          </w:tcPr>
          <w:p w14:paraId="21F42A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959" w:type="dxa"/>
            <w:noWrap w:val="0"/>
            <w:vAlign w:val="center"/>
          </w:tcPr>
          <w:p w14:paraId="15AE1A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小榄</w:t>
            </w:r>
          </w:p>
        </w:tc>
        <w:tc>
          <w:tcPr>
            <w:tcW w:w="4482" w:type="dxa"/>
            <w:noWrap w:val="0"/>
            <w:vAlign w:val="center"/>
          </w:tcPr>
          <w:p w14:paraId="0D5175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r>
              <w:rPr>
                <w:rFonts w:hint="eastAsia"/>
                <w:highlight w:val="none"/>
                <w:lang w:eastAsia="zh-CN"/>
              </w:rPr>
              <w:t>：</w:t>
            </w:r>
            <w:r>
              <w:rPr>
                <w:rFonts w:hint="eastAsia"/>
                <w:highlight w:val="none"/>
              </w:rPr>
              <w:t>20</w:t>
            </w:r>
          </w:p>
        </w:tc>
        <w:tc>
          <w:tcPr>
            <w:tcW w:w="1009" w:type="dxa"/>
            <w:noWrap w:val="0"/>
            <w:vAlign w:val="center"/>
          </w:tcPr>
          <w:p w14:paraId="439DF1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逢节假日开班</w:t>
            </w:r>
          </w:p>
        </w:tc>
        <w:tc>
          <w:tcPr>
            <w:tcW w:w="1214" w:type="dxa"/>
            <w:noWrap w:val="0"/>
            <w:vAlign w:val="center"/>
          </w:tcPr>
          <w:p w14:paraId="156F89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中山小榄汽车站</w:t>
            </w:r>
          </w:p>
        </w:tc>
      </w:tr>
      <w:tr w14:paraId="415CF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restart"/>
            <w:noWrap w:val="0"/>
            <w:vAlign w:val="center"/>
          </w:tcPr>
          <w:p w14:paraId="3B5229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959" w:type="dxa"/>
            <w:vMerge w:val="restart"/>
            <w:noWrap w:val="0"/>
            <w:vAlign w:val="center"/>
          </w:tcPr>
          <w:p w14:paraId="2A53B0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广州</w:t>
            </w:r>
          </w:p>
        </w:tc>
        <w:tc>
          <w:tcPr>
            <w:tcW w:w="4482" w:type="dxa"/>
            <w:noWrap w:val="0"/>
            <w:vAlign w:val="center"/>
          </w:tcPr>
          <w:p w14:paraId="2768D2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r>
              <w:rPr>
                <w:rFonts w:hint="eastAsia"/>
                <w:highlight w:val="none"/>
                <w:lang w:eastAsia="zh-CN"/>
              </w:rPr>
              <w:t>：</w:t>
            </w:r>
            <w:r>
              <w:rPr>
                <w:rFonts w:hint="eastAsia"/>
                <w:highlight w:val="none"/>
              </w:rPr>
              <w:t>40</w:t>
            </w:r>
          </w:p>
        </w:tc>
        <w:tc>
          <w:tcPr>
            <w:tcW w:w="1009" w:type="dxa"/>
            <w:noWrap w:val="0"/>
            <w:vAlign w:val="center"/>
          </w:tcPr>
          <w:p w14:paraId="68A7CF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7A71DE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窖口客运站</w:t>
            </w:r>
          </w:p>
        </w:tc>
      </w:tr>
      <w:tr w14:paraId="25DA6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0451A2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04D7F9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2498C7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00</w:t>
            </w:r>
          </w:p>
        </w:tc>
        <w:tc>
          <w:tcPr>
            <w:tcW w:w="1009" w:type="dxa"/>
            <w:noWrap w:val="0"/>
            <w:vAlign w:val="center"/>
          </w:tcPr>
          <w:p w14:paraId="29DEAD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507B2E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省汽车站</w:t>
            </w:r>
          </w:p>
        </w:tc>
      </w:tr>
      <w:tr w14:paraId="4000B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70CDC4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5C3EE5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2AC641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30</w:t>
            </w:r>
          </w:p>
        </w:tc>
        <w:tc>
          <w:tcPr>
            <w:tcW w:w="1009" w:type="dxa"/>
            <w:noWrap w:val="0"/>
            <w:vAlign w:val="center"/>
          </w:tcPr>
          <w:p w14:paraId="264017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40ABB3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东圃客运站</w:t>
            </w:r>
          </w:p>
        </w:tc>
      </w:tr>
      <w:tr w14:paraId="553F5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51EF92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70C2A5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251D39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r>
              <w:rPr>
                <w:rFonts w:hint="eastAsia"/>
                <w:highlight w:val="none"/>
                <w:lang w:eastAsia="zh-CN"/>
              </w:rPr>
              <w:t>：</w:t>
            </w:r>
            <w:r>
              <w:rPr>
                <w:rFonts w:hint="eastAsia"/>
                <w:highlight w:val="none"/>
              </w:rPr>
              <w:t>10</w:t>
            </w:r>
          </w:p>
        </w:tc>
        <w:tc>
          <w:tcPr>
            <w:tcW w:w="1009" w:type="dxa"/>
            <w:noWrap w:val="0"/>
            <w:vAlign w:val="center"/>
          </w:tcPr>
          <w:p w14:paraId="39D05E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43048F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广州市站</w:t>
            </w:r>
          </w:p>
        </w:tc>
      </w:tr>
      <w:tr w14:paraId="0C56C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1F75DB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268120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060AA4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r>
              <w:rPr>
                <w:rFonts w:hint="eastAsia"/>
                <w:highlight w:val="none"/>
                <w:lang w:eastAsia="zh-CN"/>
              </w:rPr>
              <w:t>：</w:t>
            </w:r>
            <w:r>
              <w:rPr>
                <w:rFonts w:hint="eastAsia"/>
                <w:highlight w:val="none"/>
              </w:rPr>
              <w:t>40</w:t>
            </w:r>
          </w:p>
        </w:tc>
        <w:tc>
          <w:tcPr>
            <w:tcW w:w="1009" w:type="dxa"/>
            <w:noWrap w:val="0"/>
            <w:vAlign w:val="center"/>
          </w:tcPr>
          <w:p w14:paraId="31DB76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77E59D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黄埔客运站</w:t>
            </w:r>
          </w:p>
        </w:tc>
      </w:tr>
      <w:tr w14:paraId="0BA06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63CEF1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5709F4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63A2A4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r>
              <w:rPr>
                <w:rFonts w:hint="eastAsia"/>
                <w:highlight w:val="none"/>
                <w:lang w:eastAsia="zh-CN"/>
              </w:rPr>
              <w:t>：</w:t>
            </w:r>
            <w:r>
              <w:rPr>
                <w:rFonts w:hint="eastAsia"/>
                <w:highlight w:val="none"/>
              </w:rPr>
              <w:t>10</w:t>
            </w:r>
          </w:p>
        </w:tc>
        <w:tc>
          <w:tcPr>
            <w:tcW w:w="1009" w:type="dxa"/>
            <w:noWrap w:val="0"/>
            <w:vAlign w:val="center"/>
          </w:tcPr>
          <w:p w14:paraId="56FFD0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612164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窖口客运站</w:t>
            </w:r>
          </w:p>
        </w:tc>
      </w:tr>
      <w:tr w14:paraId="3D0B1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restart"/>
            <w:noWrap w:val="0"/>
            <w:vAlign w:val="center"/>
          </w:tcPr>
          <w:p w14:paraId="0DB607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959" w:type="dxa"/>
            <w:vMerge w:val="restart"/>
            <w:noWrap w:val="0"/>
            <w:vAlign w:val="center"/>
          </w:tcPr>
          <w:p w14:paraId="20B473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深圳</w:t>
            </w:r>
          </w:p>
        </w:tc>
        <w:tc>
          <w:tcPr>
            <w:tcW w:w="4482" w:type="dxa"/>
            <w:noWrap w:val="0"/>
            <w:vAlign w:val="center"/>
          </w:tcPr>
          <w:p w14:paraId="509B21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10</w:t>
            </w:r>
          </w:p>
        </w:tc>
        <w:tc>
          <w:tcPr>
            <w:tcW w:w="1009" w:type="dxa"/>
            <w:noWrap w:val="0"/>
            <w:vAlign w:val="center"/>
          </w:tcPr>
          <w:p w14:paraId="287FBD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4CA5CD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银湖汽车站</w:t>
            </w:r>
          </w:p>
        </w:tc>
      </w:tr>
      <w:tr w14:paraId="40780E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341C0B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019169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09246A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r>
              <w:rPr>
                <w:rFonts w:hint="eastAsia"/>
                <w:highlight w:val="none"/>
                <w:lang w:eastAsia="zh-CN"/>
              </w:rPr>
              <w:t>：</w:t>
            </w:r>
            <w:r>
              <w:rPr>
                <w:rFonts w:hint="eastAsia"/>
                <w:highlight w:val="none"/>
              </w:rPr>
              <w:t>10</w:t>
            </w:r>
          </w:p>
        </w:tc>
        <w:tc>
          <w:tcPr>
            <w:tcW w:w="1009" w:type="dxa"/>
            <w:noWrap w:val="0"/>
            <w:vAlign w:val="center"/>
          </w:tcPr>
          <w:p w14:paraId="5F6591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4423A0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福田汽车站</w:t>
            </w:r>
          </w:p>
        </w:tc>
      </w:tr>
      <w:tr w14:paraId="54A2C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2BFB54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623126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0D5A5F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r>
              <w:rPr>
                <w:rFonts w:hint="eastAsia"/>
                <w:highlight w:val="none"/>
                <w:lang w:eastAsia="zh-CN"/>
              </w:rPr>
              <w:t>：</w:t>
            </w:r>
            <w:r>
              <w:rPr>
                <w:rFonts w:hint="eastAsia"/>
                <w:highlight w:val="none"/>
              </w:rPr>
              <w:t>30</w:t>
            </w:r>
          </w:p>
        </w:tc>
        <w:tc>
          <w:tcPr>
            <w:tcW w:w="1009" w:type="dxa"/>
            <w:noWrap w:val="0"/>
            <w:vAlign w:val="center"/>
          </w:tcPr>
          <w:p w14:paraId="78C60B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6E230C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银湖汽车站</w:t>
            </w:r>
          </w:p>
        </w:tc>
      </w:tr>
      <w:tr w14:paraId="32446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5578BE01">
            <w:pPr>
              <w:keepNext w:val="0"/>
              <w:keepLines w:val="0"/>
              <w:pageBreakBefore w:val="0"/>
              <w:widowControl w:val="0"/>
              <w:kinsoku/>
              <w:wordWrap/>
              <w:overflowPunct/>
              <w:topLinePunct w:val="0"/>
              <w:autoSpaceDE/>
              <w:autoSpaceDN/>
              <w:bidi w:val="0"/>
              <w:adjustRightInd/>
              <w:snapToGrid/>
              <w:ind w:firstLine="0" w:firstLineChars="0"/>
              <w:textAlignment w:val="auto"/>
              <w:rPr>
                <w:highlight w:val="none"/>
              </w:rPr>
            </w:pPr>
          </w:p>
        </w:tc>
        <w:tc>
          <w:tcPr>
            <w:tcW w:w="959" w:type="dxa"/>
            <w:vMerge w:val="continue"/>
            <w:noWrap w:val="0"/>
            <w:vAlign w:val="center"/>
          </w:tcPr>
          <w:p w14:paraId="3983785B">
            <w:pPr>
              <w:keepNext w:val="0"/>
              <w:keepLines w:val="0"/>
              <w:pageBreakBefore w:val="0"/>
              <w:widowControl w:val="0"/>
              <w:kinsoku/>
              <w:wordWrap/>
              <w:overflowPunct/>
              <w:topLinePunct w:val="0"/>
              <w:autoSpaceDE/>
              <w:autoSpaceDN/>
              <w:bidi w:val="0"/>
              <w:adjustRightInd/>
              <w:snapToGrid/>
              <w:ind w:firstLine="0" w:firstLineChars="0"/>
              <w:textAlignment w:val="auto"/>
              <w:rPr>
                <w:highlight w:val="none"/>
              </w:rPr>
            </w:pPr>
          </w:p>
        </w:tc>
        <w:tc>
          <w:tcPr>
            <w:tcW w:w="4482" w:type="dxa"/>
            <w:noWrap w:val="0"/>
            <w:vAlign w:val="center"/>
          </w:tcPr>
          <w:p w14:paraId="00CDDA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r>
              <w:rPr>
                <w:rFonts w:hint="eastAsia"/>
                <w:highlight w:val="none"/>
                <w:lang w:eastAsia="zh-CN"/>
              </w:rPr>
              <w:t>：</w:t>
            </w:r>
            <w:r>
              <w:rPr>
                <w:rFonts w:hint="eastAsia"/>
                <w:highlight w:val="none"/>
              </w:rPr>
              <w:t>30</w:t>
            </w:r>
          </w:p>
        </w:tc>
        <w:tc>
          <w:tcPr>
            <w:tcW w:w="1009" w:type="dxa"/>
            <w:noWrap w:val="0"/>
            <w:vAlign w:val="center"/>
          </w:tcPr>
          <w:p w14:paraId="67B120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51FBE2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银湖汽车站</w:t>
            </w:r>
          </w:p>
        </w:tc>
      </w:tr>
      <w:tr w14:paraId="3589C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restart"/>
            <w:noWrap w:val="0"/>
            <w:vAlign w:val="center"/>
          </w:tcPr>
          <w:p w14:paraId="1C273F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c>
          <w:tcPr>
            <w:tcW w:w="959" w:type="dxa"/>
            <w:vMerge w:val="restart"/>
            <w:noWrap w:val="0"/>
            <w:vAlign w:val="center"/>
          </w:tcPr>
          <w:p w14:paraId="7FB109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番禺</w:t>
            </w:r>
          </w:p>
        </w:tc>
        <w:tc>
          <w:tcPr>
            <w:tcW w:w="4482" w:type="dxa"/>
            <w:noWrap w:val="0"/>
            <w:vAlign w:val="center"/>
          </w:tcPr>
          <w:p w14:paraId="7F2EDF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40</w:t>
            </w:r>
          </w:p>
        </w:tc>
        <w:tc>
          <w:tcPr>
            <w:tcW w:w="1009" w:type="dxa"/>
            <w:noWrap w:val="0"/>
            <w:vAlign w:val="center"/>
          </w:tcPr>
          <w:p w14:paraId="0D7B9E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43DB37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番禺汽车站</w:t>
            </w:r>
          </w:p>
        </w:tc>
      </w:tr>
      <w:tr w14:paraId="031AA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1E7D19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26F17B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6FE00C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r>
              <w:rPr>
                <w:rFonts w:hint="eastAsia"/>
                <w:highlight w:val="none"/>
                <w:lang w:eastAsia="zh-CN"/>
              </w:rPr>
              <w:t>：</w:t>
            </w:r>
            <w:r>
              <w:rPr>
                <w:rFonts w:hint="eastAsia"/>
                <w:highlight w:val="none"/>
              </w:rPr>
              <w:t>00</w:t>
            </w:r>
          </w:p>
        </w:tc>
        <w:tc>
          <w:tcPr>
            <w:tcW w:w="1009" w:type="dxa"/>
            <w:noWrap w:val="0"/>
            <w:vAlign w:val="center"/>
          </w:tcPr>
          <w:p w14:paraId="7CEF61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3099D3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番禺汽车站</w:t>
            </w:r>
          </w:p>
        </w:tc>
      </w:tr>
      <w:tr w14:paraId="55F86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noWrap w:val="0"/>
            <w:vAlign w:val="center"/>
          </w:tcPr>
          <w:p w14:paraId="24C1C4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959" w:type="dxa"/>
            <w:noWrap w:val="0"/>
            <w:vAlign w:val="center"/>
          </w:tcPr>
          <w:p w14:paraId="634865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常平</w:t>
            </w:r>
          </w:p>
        </w:tc>
        <w:tc>
          <w:tcPr>
            <w:tcW w:w="4482" w:type="dxa"/>
            <w:noWrap w:val="0"/>
            <w:vAlign w:val="center"/>
          </w:tcPr>
          <w:p w14:paraId="6BA40F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r>
              <w:rPr>
                <w:rFonts w:hint="eastAsia"/>
                <w:highlight w:val="none"/>
                <w:lang w:eastAsia="zh-CN"/>
              </w:rPr>
              <w:t>：</w:t>
            </w:r>
            <w:r>
              <w:rPr>
                <w:rFonts w:hint="eastAsia"/>
                <w:highlight w:val="none"/>
              </w:rPr>
              <w:t>50</w:t>
            </w:r>
          </w:p>
        </w:tc>
        <w:tc>
          <w:tcPr>
            <w:tcW w:w="1009" w:type="dxa"/>
            <w:noWrap w:val="0"/>
            <w:vAlign w:val="center"/>
          </w:tcPr>
          <w:p w14:paraId="2229A8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078037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常平汽车站</w:t>
            </w:r>
          </w:p>
        </w:tc>
      </w:tr>
      <w:tr w14:paraId="7D6B0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restart"/>
            <w:noWrap w:val="0"/>
            <w:vAlign w:val="center"/>
          </w:tcPr>
          <w:p w14:paraId="545CC1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959" w:type="dxa"/>
            <w:vMerge w:val="restart"/>
            <w:noWrap w:val="0"/>
            <w:vAlign w:val="center"/>
          </w:tcPr>
          <w:p w14:paraId="0B5BCC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东莞</w:t>
            </w:r>
          </w:p>
        </w:tc>
        <w:tc>
          <w:tcPr>
            <w:tcW w:w="4482" w:type="dxa"/>
            <w:noWrap w:val="0"/>
            <w:vAlign w:val="center"/>
          </w:tcPr>
          <w:p w14:paraId="4FEAF6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r>
              <w:rPr>
                <w:rFonts w:hint="eastAsia"/>
                <w:highlight w:val="none"/>
                <w:lang w:eastAsia="zh-CN"/>
              </w:rPr>
              <w:t>：</w:t>
            </w:r>
            <w:r>
              <w:rPr>
                <w:rFonts w:hint="eastAsia"/>
                <w:highlight w:val="none"/>
              </w:rPr>
              <w:t>20</w:t>
            </w:r>
          </w:p>
        </w:tc>
        <w:tc>
          <w:tcPr>
            <w:tcW w:w="1009" w:type="dxa"/>
            <w:noWrap w:val="0"/>
            <w:vAlign w:val="center"/>
          </w:tcPr>
          <w:p w14:paraId="1973D1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2F6C4F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东莞万江汽车总站</w:t>
            </w:r>
          </w:p>
        </w:tc>
      </w:tr>
      <w:tr w14:paraId="4A2D9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 w:hRule="atLeast"/>
          <w:jc w:val="center"/>
        </w:trPr>
        <w:tc>
          <w:tcPr>
            <w:tcW w:w="672" w:type="dxa"/>
            <w:vMerge w:val="continue"/>
            <w:noWrap w:val="0"/>
            <w:vAlign w:val="center"/>
          </w:tcPr>
          <w:p w14:paraId="4303B5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353C85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3C9A8E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r>
              <w:rPr>
                <w:rFonts w:hint="eastAsia"/>
                <w:highlight w:val="none"/>
                <w:lang w:eastAsia="zh-CN"/>
              </w:rPr>
              <w:t>：</w:t>
            </w:r>
            <w:r>
              <w:rPr>
                <w:rFonts w:hint="eastAsia"/>
                <w:highlight w:val="none"/>
              </w:rPr>
              <w:t>10</w:t>
            </w:r>
          </w:p>
        </w:tc>
        <w:tc>
          <w:tcPr>
            <w:tcW w:w="1009" w:type="dxa"/>
            <w:noWrap w:val="0"/>
            <w:vAlign w:val="center"/>
          </w:tcPr>
          <w:p w14:paraId="79C561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31ED3A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东莞万江汽车总站</w:t>
            </w:r>
          </w:p>
        </w:tc>
      </w:tr>
      <w:tr w14:paraId="0343D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restart"/>
            <w:noWrap w:val="0"/>
            <w:vAlign w:val="center"/>
          </w:tcPr>
          <w:p w14:paraId="453C40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959" w:type="dxa"/>
            <w:vMerge w:val="restart"/>
            <w:noWrap w:val="0"/>
            <w:vAlign w:val="center"/>
          </w:tcPr>
          <w:p w14:paraId="4C8860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深圳龙岗</w:t>
            </w:r>
          </w:p>
        </w:tc>
        <w:tc>
          <w:tcPr>
            <w:tcW w:w="4482" w:type="dxa"/>
            <w:noWrap w:val="0"/>
            <w:vAlign w:val="center"/>
          </w:tcPr>
          <w:p w14:paraId="7A3DBB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20</w:t>
            </w:r>
          </w:p>
        </w:tc>
        <w:tc>
          <w:tcPr>
            <w:tcW w:w="1009" w:type="dxa"/>
            <w:noWrap w:val="0"/>
            <w:vAlign w:val="center"/>
          </w:tcPr>
          <w:p w14:paraId="1D6B13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4A9232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龙岗汽车总站</w:t>
            </w:r>
          </w:p>
        </w:tc>
      </w:tr>
      <w:tr w14:paraId="77DF6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vMerge w:val="continue"/>
            <w:noWrap w:val="0"/>
            <w:vAlign w:val="center"/>
          </w:tcPr>
          <w:p w14:paraId="7BCE7C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9" w:type="dxa"/>
            <w:vMerge w:val="continue"/>
            <w:noWrap w:val="0"/>
            <w:vAlign w:val="center"/>
          </w:tcPr>
          <w:p w14:paraId="72A9DE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82" w:type="dxa"/>
            <w:noWrap w:val="0"/>
            <w:vAlign w:val="center"/>
          </w:tcPr>
          <w:p w14:paraId="336FED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r>
              <w:rPr>
                <w:rFonts w:hint="eastAsia"/>
                <w:highlight w:val="none"/>
                <w:lang w:eastAsia="zh-CN"/>
              </w:rPr>
              <w:t>：</w:t>
            </w:r>
            <w:r>
              <w:rPr>
                <w:rFonts w:hint="eastAsia"/>
                <w:highlight w:val="none"/>
              </w:rPr>
              <w:t>30</w:t>
            </w:r>
          </w:p>
        </w:tc>
        <w:tc>
          <w:tcPr>
            <w:tcW w:w="1009" w:type="dxa"/>
            <w:noWrap w:val="0"/>
            <w:vAlign w:val="center"/>
          </w:tcPr>
          <w:p w14:paraId="58C8CC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68C53F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龙岗长途客运站</w:t>
            </w:r>
          </w:p>
        </w:tc>
      </w:tr>
      <w:tr w14:paraId="00535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noWrap w:val="0"/>
            <w:vAlign w:val="center"/>
          </w:tcPr>
          <w:p w14:paraId="37A72A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959" w:type="dxa"/>
            <w:noWrap w:val="0"/>
            <w:vAlign w:val="center"/>
          </w:tcPr>
          <w:p w14:paraId="0716AD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顺德</w:t>
            </w:r>
          </w:p>
        </w:tc>
        <w:tc>
          <w:tcPr>
            <w:tcW w:w="4482" w:type="dxa"/>
            <w:noWrap w:val="0"/>
            <w:vAlign w:val="center"/>
          </w:tcPr>
          <w:p w14:paraId="180628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50</w:t>
            </w:r>
          </w:p>
        </w:tc>
        <w:tc>
          <w:tcPr>
            <w:tcW w:w="1009" w:type="dxa"/>
            <w:noWrap w:val="0"/>
            <w:vAlign w:val="center"/>
          </w:tcPr>
          <w:p w14:paraId="732793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0F7E33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容桂汽车站</w:t>
            </w:r>
          </w:p>
        </w:tc>
      </w:tr>
      <w:tr w14:paraId="0F361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noWrap w:val="0"/>
            <w:vAlign w:val="center"/>
          </w:tcPr>
          <w:p w14:paraId="698BE9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959" w:type="dxa"/>
            <w:noWrap w:val="0"/>
            <w:vAlign w:val="center"/>
          </w:tcPr>
          <w:p w14:paraId="09D1A4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花都</w:t>
            </w:r>
          </w:p>
        </w:tc>
        <w:tc>
          <w:tcPr>
            <w:tcW w:w="4482" w:type="dxa"/>
            <w:noWrap w:val="0"/>
            <w:vAlign w:val="center"/>
          </w:tcPr>
          <w:p w14:paraId="12BC7B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r>
              <w:rPr>
                <w:rFonts w:hint="eastAsia"/>
                <w:highlight w:val="none"/>
                <w:lang w:eastAsia="zh-CN"/>
              </w:rPr>
              <w:t>：</w:t>
            </w:r>
            <w:r>
              <w:rPr>
                <w:rFonts w:hint="eastAsia"/>
                <w:highlight w:val="none"/>
              </w:rPr>
              <w:t>35</w:t>
            </w:r>
          </w:p>
        </w:tc>
        <w:tc>
          <w:tcPr>
            <w:tcW w:w="1009" w:type="dxa"/>
            <w:noWrap w:val="0"/>
            <w:vAlign w:val="center"/>
          </w:tcPr>
          <w:p w14:paraId="1196CE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214" w:type="dxa"/>
            <w:noWrap w:val="0"/>
            <w:vAlign w:val="center"/>
          </w:tcPr>
          <w:p w14:paraId="06CAC2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花都长途客运站</w:t>
            </w:r>
          </w:p>
        </w:tc>
      </w:tr>
      <w:tr w14:paraId="61DEF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600" w:hRule="atLeast"/>
          <w:jc w:val="center"/>
        </w:trPr>
        <w:tc>
          <w:tcPr>
            <w:tcW w:w="672" w:type="dxa"/>
            <w:noWrap w:val="0"/>
            <w:vAlign w:val="center"/>
          </w:tcPr>
          <w:p w14:paraId="3BCED0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959" w:type="dxa"/>
            <w:noWrap w:val="0"/>
            <w:vAlign w:val="center"/>
          </w:tcPr>
          <w:p w14:paraId="261A24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惠州</w:t>
            </w:r>
          </w:p>
        </w:tc>
        <w:tc>
          <w:tcPr>
            <w:tcW w:w="4482" w:type="dxa"/>
            <w:noWrap w:val="0"/>
            <w:vAlign w:val="center"/>
          </w:tcPr>
          <w:p w14:paraId="6A96BC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逢春节开班</w:t>
            </w:r>
          </w:p>
        </w:tc>
        <w:tc>
          <w:tcPr>
            <w:tcW w:w="1009" w:type="dxa"/>
            <w:noWrap w:val="0"/>
            <w:vAlign w:val="center"/>
          </w:tcPr>
          <w:p w14:paraId="656CB2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214" w:type="dxa"/>
            <w:noWrap w:val="0"/>
            <w:vAlign w:val="center"/>
          </w:tcPr>
          <w:p w14:paraId="732B6B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bl>
    <w:p w14:paraId="7A3A7E93">
      <w:pPr>
        <w:jc w:val="center"/>
        <w:rPr>
          <w:rFonts w:hint="eastAsia" w:hAnsi="宋体" w:cs="宋体"/>
          <w:highlight w:val="none"/>
        </w:rPr>
      </w:pPr>
      <w:r>
        <w:rPr>
          <w:rFonts w:hint="eastAsia" w:hAnsi="宋体" w:cs="宋体"/>
          <w:highlight w:val="none"/>
        </w:rPr>
        <w:t>南雄市公共汽车发班时间表</w:t>
      </w:r>
    </w:p>
    <w:p w14:paraId="773E6878">
      <w:pPr>
        <w:rPr>
          <w:rFonts w:hint="eastAsia" w:hAnsi="宋体" w:cs="宋体"/>
          <w:highlight w:val="none"/>
        </w:rPr>
      </w:pPr>
      <w:r>
        <w:rPr>
          <w:rFonts w:hint="eastAsia" w:hAnsi="宋体" w:cs="宋体"/>
          <w:highlight w:val="none"/>
        </w:rPr>
        <w:t>表19</w:t>
      </w:r>
    </w:p>
    <w:tbl>
      <w:tblPr>
        <w:tblStyle w:val="7"/>
        <w:tblW w:w="8336" w:type="dxa"/>
        <w:jc w:val="center"/>
        <w:tblLayout w:type="fixed"/>
        <w:tblCellMar>
          <w:top w:w="15" w:type="dxa"/>
          <w:left w:w="15" w:type="dxa"/>
          <w:bottom w:w="15" w:type="dxa"/>
          <w:right w:w="15" w:type="dxa"/>
        </w:tblCellMar>
      </w:tblPr>
      <w:tblGrid>
        <w:gridCol w:w="580"/>
        <w:gridCol w:w="1512"/>
        <w:gridCol w:w="4072"/>
        <w:gridCol w:w="749"/>
        <w:gridCol w:w="1423"/>
      </w:tblGrid>
      <w:tr w14:paraId="64A11EEF">
        <w:trPr>
          <w:trHeight w:val="600" w:hRule="atLeast"/>
          <w:jc w:val="center"/>
        </w:trPr>
        <w:tc>
          <w:tcPr>
            <w:tcW w:w="580" w:type="dxa"/>
            <w:tcBorders>
              <w:top w:val="single" w:color="000000" w:sz="4" w:space="0"/>
              <w:left w:val="single" w:color="000000" w:sz="4" w:space="0"/>
              <w:bottom w:val="single" w:color="000000" w:sz="4" w:space="0"/>
              <w:right w:val="single" w:color="000000" w:sz="4" w:space="0"/>
            </w:tcBorders>
            <w:noWrap w:val="0"/>
            <w:vAlign w:val="bottom"/>
          </w:tcPr>
          <w:p w14:paraId="5D4727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序号</w:t>
            </w:r>
          </w:p>
        </w:tc>
        <w:tc>
          <w:tcPr>
            <w:tcW w:w="1512" w:type="dxa"/>
            <w:tcBorders>
              <w:top w:val="single" w:color="000000" w:sz="4" w:space="0"/>
              <w:left w:val="nil"/>
              <w:bottom w:val="single" w:color="000000" w:sz="4" w:space="0"/>
              <w:right w:val="single" w:color="000000" w:sz="4" w:space="0"/>
            </w:tcBorders>
            <w:noWrap w:val="0"/>
            <w:vAlign w:val="bottom"/>
          </w:tcPr>
          <w:p w14:paraId="0C51FA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线路名称</w:t>
            </w:r>
          </w:p>
        </w:tc>
        <w:tc>
          <w:tcPr>
            <w:tcW w:w="4072" w:type="dxa"/>
            <w:tcBorders>
              <w:top w:val="single" w:color="000000" w:sz="4" w:space="0"/>
              <w:left w:val="nil"/>
              <w:bottom w:val="single" w:color="000000" w:sz="4" w:space="0"/>
              <w:right w:val="single" w:color="000000" w:sz="4" w:space="0"/>
            </w:tcBorders>
            <w:noWrap w:val="0"/>
            <w:vAlign w:val="bottom"/>
          </w:tcPr>
          <w:p w14:paraId="69DE6B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市内发车时间</w:t>
            </w:r>
          </w:p>
        </w:tc>
        <w:tc>
          <w:tcPr>
            <w:tcW w:w="749" w:type="dxa"/>
            <w:tcBorders>
              <w:top w:val="single" w:color="000000" w:sz="4" w:space="0"/>
              <w:left w:val="nil"/>
              <w:bottom w:val="single" w:color="000000" w:sz="4" w:space="0"/>
              <w:right w:val="single" w:color="000000" w:sz="4" w:space="0"/>
            </w:tcBorders>
            <w:noWrap w:val="0"/>
            <w:vAlign w:val="bottom"/>
          </w:tcPr>
          <w:p w14:paraId="4696B5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日发班次</w:t>
            </w:r>
          </w:p>
        </w:tc>
        <w:tc>
          <w:tcPr>
            <w:tcW w:w="1423" w:type="dxa"/>
            <w:tcBorders>
              <w:top w:val="single" w:color="000000" w:sz="4" w:space="0"/>
              <w:left w:val="nil"/>
              <w:bottom w:val="single" w:color="000000" w:sz="4" w:space="0"/>
              <w:right w:val="single" w:color="000000" w:sz="4" w:space="0"/>
            </w:tcBorders>
            <w:noWrap w:val="0"/>
            <w:vAlign w:val="bottom"/>
          </w:tcPr>
          <w:p w14:paraId="454476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终点站</w:t>
            </w:r>
          </w:p>
        </w:tc>
      </w:tr>
      <w:tr w14:paraId="7A4CF7AD">
        <w:tblPrEx>
          <w:tblCellMar>
            <w:top w:w="15" w:type="dxa"/>
            <w:left w:w="15" w:type="dxa"/>
            <w:bottom w:w="15" w:type="dxa"/>
            <w:right w:w="15" w:type="dxa"/>
          </w:tblCellMar>
        </w:tblPrEx>
        <w:trPr>
          <w:trHeight w:val="600" w:hRule="atLeast"/>
          <w:jc w:val="center"/>
        </w:trPr>
        <w:tc>
          <w:tcPr>
            <w:tcW w:w="580" w:type="dxa"/>
            <w:tcBorders>
              <w:top w:val="single" w:color="000000" w:sz="4" w:space="0"/>
              <w:left w:val="single" w:color="000000" w:sz="4" w:space="0"/>
              <w:bottom w:val="single" w:color="000000" w:sz="4" w:space="0"/>
              <w:right w:val="single" w:color="000000" w:sz="4" w:space="0"/>
            </w:tcBorders>
            <w:noWrap w:val="0"/>
            <w:vAlign w:val="bottom"/>
          </w:tcPr>
          <w:p w14:paraId="01F2E5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512" w:type="dxa"/>
            <w:tcBorders>
              <w:top w:val="single" w:color="000000" w:sz="4" w:space="0"/>
              <w:left w:val="nil"/>
              <w:bottom w:val="single" w:color="000000" w:sz="4" w:space="0"/>
              <w:right w:val="single" w:color="000000" w:sz="4" w:space="0"/>
            </w:tcBorders>
            <w:noWrap w:val="0"/>
            <w:vAlign w:val="bottom"/>
          </w:tcPr>
          <w:p w14:paraId="041055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2路大福名称线</w:t>
            </w:r>
          </w:p>
        </w:tc>
        <w:tc>
          <w:tcPr>
            <w:tcW w:w="4072" w:type="dxa"/>
            <w:tcBorders>
              <w:top w:val="single" w:color="000000" w:sz="4" w:space="0"/>
              <w:left w:val="nil"/>
              <w:bottom w:val="single" w:color="000000" w:sz="4" w:space="0"/>
              <w:right w:val="single" w:color="000000" w:sz="4" w:space="0"/>
            </w:tcBorders>
            <w:noWrap w:val="0"/>
            <w:vAlign w:val="bottom"/>
          </w:tcPr>
          <w:p w14:paraId="3742B3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上午7</w:t>
            </w:r>
            <w:r>
              <w:rPr>
                <w:rFonts w:hint="eastAsia"/>
                <w:highlight w:val="none"/>
                <w:lang w:eastAsia="zh-CN"/>
              </w:rPr>
              <w:t>：</w:t>
            </w:r>
            <w:r>
              <w:rPr>
                <w:rFonts w:hint="eastAsia"/>
                <w:highlight w:val="none"/>
              </w:rPr>
              <w:t>00--下午17</w:t>
            </w:r>
            <w:r>
              <w:rPr>
                <w:rFonts w:hint="eastAsia"/>
                <w:highlight w:val="none"/>
                <w:lang w:eastAsia="zh-CN"/>
              </w:rPr>
              <w:t>：</w:t>
            </w:r>
            <w:r>
              <w:rPr>
                <w:rFonts w:hint="eastAsia"/>
                <w:highlight w:val="none"/>
              </w:rPr>
              <w:t>35</w:t>
            </w:r>
            <w:r>
              <w:rPr>
                <w:rFonts w:hint="eastAsia"/>
                <w:highlight w:val="none"/>
                <w:lang w:eastAsia="zh-CN"/>
              </w:rPr>
              <w:t>，</w:t>
            </w:r>
            <w:r>
              <w:rPr>
                <w:rFonts w:hint="eastAsia"/>
                <w:highlight w:val="none"/>
              </w:rPr>
              <w:t>约每30分钟一班</w:t>
            </w:r>
          </w:p>
        </w:tc>
        <w:tc>
          <w:tcPr>
            <w:tcW w:w="749" w:type="dxa"/>
            <w:tcBorders>
              <w:top w:val="single" w:color="000000" w:sz="4" w:space="0"/>
              <w:left w:val="nil"/>
              <w:bottom w:val="single" w:color="000000" w:sz="4" w:space="0"/>
              <w:right w:val="single" w:color="000000" w:sz="4" w:space="0"/>
            </w:tcBorders>
            <w:noWrap w:val="0"/>
            <w:vAlign w:val="bottom"/>
          </w:tcPr>
          <w:p w14:paraId="120D58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1423" w:type="dxa"/>
            <w:tcBorders>
              <w:top w:val="single" w:color="000000" w:sz="4" w:space="0"/>
              <w:left w:val="nil"/>
              <w:bottom w:val="single" w:color="000000" w:sz="4" w:space="0"/>
              <w:right w:val="single" w:color="000000" w:sz="4" w:space="0"/>
            </w:tcBorders>
            <w:noWrap w:val="0"/>
            <w:vAlign w:val="bottom"/>
          </w:tcPr>
          <w:p w14:paraId="69D795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大福名城</w:t>
            </w:r>
          </w:p>
        </w:tc>
      </w:tr>
      <w:tr w14:paraId="4760F511">
        <w:tblPrEx>
          <w:tblCellMar>
            <w:top w:w="15" w:type="dxa"/>
            <w:left w:w="15" w:type="dxa"/>
            <w:bottom w:w="15" w:type="dxa"/>
            <w:right w:w="15" w:type="dxa"/>
          </w:tblCellMar>
        </w:tblPrEx>
        <w:trPr>
          <w:trHeight w:val="600" w:hRule="atLeast"/>
          <w:jc w:val="center"/>
        </w:trPr>
        <w:tc>
          <w:tcPr>
            <w:tcW w:w="580" w:type="dxa"/>
            <w:tcBorders>
              <w:top w:val="single" w:color="000000" w:sz="4" w:space="0"/>
              <w:left w:val="single" w:color="000000" w:sz="4" w:space="0"/>
              <w:bottom w:val="single" w:color="000000" w:sz="4" w:space="0"/>
              <w:right w:val="single" w:color="000000" w:sz="4" w:space="0"/>
            </w:tcBorders>
            <w:noWrap w:val="0"/>
            <w:vAlign w:val="bottom"/>
          </w:tcPr>
          <w:p w14:paraId="058DF1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1512" w:type="dxa"/>
            <w:tcBorders>
              <w:top w:val="single" w:color="000000" w:sz="4" w:space="0"/>
              <w:left w:val="nil"/>
              <w:bottom w:val="single" w:color="000000" w:sz="4" w:space="0"/>
              <w:right w:val="single" w:color="000000" w:sz="4" w:space="0"/>
            </w:tcBorders>
            <w:noWrap w:val="0"/>
            <w:vAlign w:val="bottom"/>
          </w:tcPr>
          <w:p w14:paraId="35BFB2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3路全安</w:t>
            </w:r>
            <w:r>
              <w:rPr>
                <w:rFonts w:hint="eastAsia"/>
                <w:highlight w:val="none"/>
                <w:lang w:eastAsia="zh-CN"/>
              </w:rPr>
              <w:t>（</w:t>
            </w:r>
            <w:r>
              <w:rPr>
                <w:rFonts w:hint="eastAsia"/>
                <w:highlight w:val="none"/>
              </w:rPr>
              <w:t>密下水</w:t>
            </w:r>
            <w:r>
              <w:rPr>
                <w:rFonts w:hint="eastAsia"/>
                <w:highlight w:val="none"/>
                <w:lang w:eastAsia="zh-CN"/>
              </w:rPr>
              <w:t>）</w:t>
            </w:r>
            <w:r>
              <w:rPr>
                <w:rFonts w:hint="eastAsia"/>
                <w:highlight w:val="none"/>
              </w:rPr>
              <w:t>公交线</w:t>
            </w:r>
          </w:p>
        </w:tc>
        <w:tc>
          <w:tcPr>
            <w:tcW w:w="4072" w:type="dxa"/>
            <w:tcBorders>
              <w:top w:val="single" w:color="000000" w:sz="4" w:space="0"/>
              <w:left w:val="nil"/>
              <w:bottom w:val="single" w:color="000000" w:sz="4" w:space="0"/>
              <w:right w:val="single" w:color="000000" w:sz="4" w:space="0"/>
            </w:tcBorders>
            <w:noWrap w:val="0"/>
            <w:vAlign w:val="bottom"/>
          </w:tcPr>
          <w:p w14:paraId="2F14E5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上午6</w:t>
            </w:r>
            <w:r>
              <w:rPr>
                <w:rFonts w:hint="eastAsia"/>
                <w:highlight w:val="none"/>
                <w:lang w:eastAsia="zh-CN"/>
              </w:rPr>
              <w:t>：</w:t>
            </w:r>
            <w:r>
              <w:rPr>
                <w:rFonts w:hint="eastAsia"/>
                <w:highlight w:val="none"/>
              </w:rPr>
              <w:t>40--下午17</w:t>
            </w:r>
            <w:r>
              <w:rPr>
                <w:rFonts w:hint="eastAsia"/>
                <w:highlight w:val="none"/>
                <w:lang w:eastAsia="zh-CN"/>
              </w:rPr>
              <w:t>：</w:t>
            </w:r>
            <w:r>
              <w:rPr>
                <w:rFonts w:hint="eastAsia"/>
                <w:highlight w:val="none"/>
              </w:rPr>
              <w:t>45 约每30分钟一班</w:t>
            </w:r>
          </w:p>
        </w:tc>
        <w:tc>
          <w:tcPr>
            <w:tcW w:w="749" w:type="dxa"/>
            <w:tcBorders>
              <w:top w:val="single" w:color="000000" w:sz="4" w:space="0"/>
              <w:left w:val="nil"/>
              <w:bottom w:val="single" w:color="000000" w:sz="4" w:space="0"/>
              <w:right w:val="single" w:color="000000" w:sz="4" w:space="0"/>
            </w:tcBorders>
            <w:noWrap w:val="0"/>
            <w:vAlign w:val="bottom"/>
          </w:tcPr>
          <w:p w14:paraId="734B58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w:t>
            </w:r>
          </w:p>
        </w:tc>
        <w:tc>
          <w:tcPr>
            <w:tcW w:w="1423" w:type="dxa"/>
            <w:tcBorders>
              <w:top w:val="single" w:color="000000" w:sz="4" w:space="0"/>
              <w:left w:val="nil"/>
              <w:bottom w:val="single" w:color="000000" w:sz="4" w:space="0"/>
              <w:right w:val="single" w:color="000000" w:sz="4" w:space="0"/>
            </w:tcBorders>
            <w:noWrap w:val="0"/>
            <w:vAlign w:val="bottom"/>
          </w:tcPr>
          <w:p w14:paraId="721029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密下水</w:t>
            </w:r>
          </w:p>
        </w:tc>
      </w:tr>
      <w:tr w14:paraId="550EE950">
        <w:tblPrEx>
          <w:tblCellMar>
            <w:top w:w="15" w:type="dxa"/>
            <w:left w:w="15" w:type="dxa"/>
            <w:bottom w:w="15" w:type="dxa"/>
            <w:right w:w="15" w:type="dxa"/>
          </w:tblCellMar>
        </w:tblPrEx>
        <w:trPr>
          <w:trHeight w:val="600" w:hRule="atLeast"/>
          <w:jc w:val="center"/>
        </w:trPr>
        <w:tc>
          <w:tcPr>
            <w:tcW w:w="580" w:type="dxa"/>
            <w:tcBorders>
              <w:top w:val="single" w:color="000000" w:sz="4" w:space="0"/>
              <w:left w:val="single" w:color="000000" w:sz="4" w:space="0"/>
              <w:bottom w:val="single" w:color="000000" w:sz="4" w:space="0"/>
              <w:right w:val="single" w:color="000000" w:sz="4" w:space="0"/>
            </w:tcBorders>
            <w:noWrap w:val="0"/>
            <w:vAlign w:val="bottom"/>
          </w:tcPr>
          <w:p w14:paraId="5E12A8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512" w:type="dxa"/>
            <w:tcBorders>
              <w:top w:val="single" w:color="000000" w:sz="4" w:space="0"/>
              <w:left w:val="nil"/>
              <w:bottom w:val="single" w:color="000000" w:sz="4" w:space="0"/>
              <w:right w:val="single" w:color="000000" w:sz="4" w:space="0"/>
            </w:tcBorders>
            <w:noWrap w:val="0"/>
            <w:vAlign w:val="bottom"/>
          </w:tcPr>
          <w:p w14:paraId="4215E3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4路古市公交线</w:t>
            </w:r>
          </w:p>
        </w:tc>
        <w:tc>
          <w:tcPr>
            <w:tcW w:w="4072" w:type="dxa"/>
            <w:tcBorders>
              <w:top w:val="single" w:color="000000" w:sz="4" w:space="0"/>
              <w:left w:val="nil"/>
              <w:bottom w:val="single" w:color="000000" w:sz="4" w:space="0"/>
              <w:right w:val="single" w:color="000000" w:sz="4" w:space="0"/>
            </w:tcBorders>
            <w:noWrap w:val="0"/>
            <w:vAlign w:val="bottom"/>
          </w:tcPr>
          <w:p w14:paraId="70363D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上午6</w:t>
            </w:r>
            <w:r>
              <w:rPr>
                <w:rFonts w:hint="eastAsia"/>
                <w:highlight w:val="none"/>
                <w:lang w:eastAsia="zh-CN"/>
              </w:rPr>
              <w:t>：</w:t>
            </w:r>
            <w:r>
              <w:rPr>
                <w:rFonts w:hint="eastAsia"/>
                <w:highlight w:val="none"/>
              </w:rPr>
              <w:t>30--下午18</w:t>
            </w:r>
            <w:r>
              <w:rPr>
                <w:rFonts w:hint="eastAsia"/>
                <w:highlight w:val="none"/>
                <w:lang w:eastAsia="zh-CN"/>
              </w:rPr>
              <w:t>：</w:t>
            </w:r>
            <w:r>
              <w:rPr>
                <w:rFonts w:hint="eastAsia"/>
                <w:highlight w:val="none"/>
              </w:rPr>
              <w:t>10</w:t>
            </w:r>
            <w:r>
              <w:rPr>
                <w:rFonts w:hint="eastAsia"/>
                <w:highlight w:val="none"/>
                <w:lang w:eastAsia="zh-CN"/>
              </w:rPr>
              <w:t>，</w:t>
            </w:r>
            <w:r>
              <w:rPr>
                <w:rFonts w:hint="eastAsia"/>
                <w:highlight w:val="none"/>
              </w:rPr>
              <w:t>约每30分钟一班</w:t>
            </w:r>
          </w:p>
        </w:tc>
        <w:tc>
          <w:tcPr>
            <w:tcW w:w="749" w:type="dxa"/>
            <w:tcBorders>
              <w:top w:val="single" w:color="000000" w:sz="4" w:space="0"/>
              <w:left w:val="nil"/>
              <w:bottom w:val="single" w:color="000000" w:sz="4" w:space="0"/>
              <w:right w:val="single" w:color="000000" w:sz="4" w:space="0"/>
            </w:tcBorders>
            <w:noWrap w:val="0"/>
            <w:vAlign w:val="bottom"/>
          </w:tcPr>
          <w:p w14:paraId="721045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w:t>
            </w:r>
          </w:p>
        </w:tc>
        <w:tc>
          <w:tcPr>
            <w:tcW w:w="1423" w:type="dxa"/>
            <w:tcBorders>
              <w:top w:val="single" w:color="000000" w:sz="4" w:space="0"/>
              <w:left w:val="nil"/>
              <w:bottom w:val="single" w:color="000000" w:sz="4" w:space="0"/>
              <w:right w:val="single" w:color="000000" w:sz="4" w:space="0"/>
            </w:tcBorders>
            <w:noWrap w:val="0"/>
            <w:vAlign w:val="bottom"/>
          </w:tcPr>
          <w:p w14:paraId="09BA0F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古市票点</w:t>
            </w:r>
          </w:p>
        </w:tc>
      </w:tr>
      <w:tr w14:paraId="165E42DD">
        <w:tblPrEx>
          <w:tblCellMar>
            <w:top w:w="15" w:type="dxa"/>
            <w:left w:w="15" w:type="dxa"/>
            <w:bottom w:w="15" w:type="dxa"/>
            <w:right w:w="15" w:type="dxa"/>
          </w:tblCellMar>
        </w:tblPrEx>
        <w:trPr>
          <w:trHeight w:val="600" w:hRule="atLeast"/>
          <w:jc w:val="center"/>
        </w:trPr>
        <w:tc>
          <w:tcPr>
            <w:tcW w:w="580" w:type="dxa"/>
            <w:tcBorders>
              <w:top w:val="single" w:color="000000" w:sz="4" w:space="0"/>
              <w:left w:val="single" w:color="000000" w:sz="4" w:space="0"/>
              <w:bottom w:val="single" w:color="000000" w:sz="4" w:space="0"/>
              <w:right w:val="single" w:color="000000" w:sz="4" w:space="0"/>
            </w:tcBorders>
            <w:noWrap w:val="0"/>
            <w:vAlign w:val="bottom"/>
          </w:tcPr>
          <w:p w14:paraId="3FD60E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1512" w:type="dxa"/>
            <w:tcBorders>
              <w:top w:val="single" w:color="000000" w:sz="4" w:space="0"/>
              <w:left w:val="nil"/>
              <w:bottom w:val="single" w:color="000000" w:sz="4" w:space="0"/>
              <w:right w:val="single" w:color="000000" w:sz="4" w:space="0"/>
            </w:tcBorders>
            <w:noWrap w:val="0"/>
            <w:vAlign w:val="bottom"/>
          </w:tcPr>
          <w:p w14:paraId="72A7E9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5路主田公交线</w:t>
            </w:r>
          </w:p>
        </w:tc>
        <w:tc>
          <w:tcPr>
            <w:tcW w:w="4072" w:type="dxa"/>
            <w:tcBorders>
              <w:top w:val="single" w:color="000000" w:sz="4" w:space="0"/>
              <w:left w:val="nil"/>
              <w:bottom w:val="single" w:color="000000" w:sz="4" w:space="0"/>
              <w:right w:val="single" w:color="000000" w:sz="4" w:space="0"/>
            </w:tcBorders>
            <w:noWrap w:val="0"/>
            <w:vAlign w:val="bottom"/>
          </w:tcPr>
          <w:p w14:paraId="07B5EF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上午7</w:t>
            </w:r>
            <w:r>
              <w:rPr>
                <w:rFonts w:hint="eastAsia"/>
                <w:highlight w:val="none"/>
                <w:lang w:eastAsia="zh-CN"/>
              </w:rPr>
              <w:t>：</w:t>
            </w:r>
            <w:r>
              <w:rPr>
                <w:rFonts w:hint="eastAsia"/>
                <w:highlight w:val="none"/>
              </w:rPr>
              <w:t>25--下午17</w:t>
            </w:r>
            <w:r>
              <w:rPr>
                <w:rFonts w:hint="eastAsia"/>
                <w:highlight w:val="none"/>
                <w:lang w:eastAsia="zh-CN"/>
              </w:rPr>
              <w:t>：</w:t>
            </w:r>
            <w:r>
              <w:rPr>
                <w:rFonts w:hint="eastAsia"/>
                <w:highlight w:val="none"/>
              </w:rPr>
              <w:t>30</w:t>
            </w:r>
            <w:r>
              <w:rPr>
                <w:rFonts w:hint="eastAsia"/>
                <w:highlight w:val="none"/>
                <w:lang w:eastAsia="zh-CN"/>
              </w:rPr>
              <w:t>，</w:t>
            </w:r>
            <w:r>
              <w:rPr>
                <w:rFonts w:hint="eastAsia"/>
                <w:highlight w:val="none"/>
              </w:rPr>
              <w:t>约每30分钟一班</w:t>
            </w:r>
          </w:p>
        </w:tc>
        <w:tc>
          <w:tcPr>
            <w:tcW w:w="749" w:type="dxa"/>
            <w:tcBorders>
              <w:top w:val="single" w:color="000000" w:sz="4" w:space="0"/>
              <w:left w:val="nil"/>
              <w:bottom w:val="single" w:color="000000" w:sz="4" w:space="0"/>
              <w:right w:val="single" w:color="000000" w:sz="4" w:space="0"/>
            </w:tcBorders>
            <w:noWrap w:val="0"/>
            <w:vAlign w:val="bottom"/>
          </w:tcPr>
          <w:p w14:paraId="7C05A2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w:t>
            </w:r>
          </w:p>
        </w:tc>
        <w:tc>
          <w:tcPr>
            <w:tcW w:w="1423" w:type="dxa"/>
            <w:tcBorders>
              <w:top w:val="single" w:color="000000" w:sz="4" w:space="0"/>
              <w:left w:val="nil"/>
              <w:bottom w:val="single" w:color="000000" w:sz="4" w:space="0"/>
              <w:right w:val="single" w:color="000000" w:sz="4" w:space="0"/>
            </w:tcBorders>
            <w:noWrap w:val="0"/>
            <w:vAlign w:val="bottom"/>
          </w:tcPr>
          <w:p w14:paraId="2B550D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主田樱花基地</w:t>
            </w:r>
          </w:p>
        </w:tc>
      </w:tr>
      <w:tr w14:paraId="309D47FF">
        <w:tblPrEx>
          <w:tblCellMar>
            <w:top w:w="15" w:type="dxa"/>
            <w:left w:w="15" w:type="dxa"/>
            <w:bottom w:w="15" w:type="dxa"/>
            <w:right w:w="15" w:type="dxa"/>
          </w:tblCellMar>
        </w:tblPrEx>
        <w:trPr>
          <w:trHeight w:val="600" w:hRule="atLeast"/>
          <w:jc w:val="center"/>
        </w:trPr>
        <w:tc>
          <w:tcPr>
            <w:tcW w:w="580" w:type="dxa"/>
            <w:tcBorders>
              <w:top w:val="single" w:color="000000" w:sz="4" w:space="0"/>
              <w:left w:val="single" w:color="000000" w:sz="4" w:space="0"/>
              <w:bottom w:val="single" w:color="000000" w:sz="4" w:space="0"/>
              <w:right w:val="single" w:color="000000" w:sz="4" w:space="0"/>
            </w:tcBorders>
            <w:noWrap w:val="0"/>
            <w:vAlign w:val="bottom"/>
          </w:tcPr>
          <w:p w14:paraId="177698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512" w:type="dxa"/>
            <w:tcBorders>
              <w:top w:val="single" w:color="000000" w:sz="4" w:space="0"/>
              <w:left w:val="nil"/>
              <w:bottom w:val="single" w:color="000000" w:sz="4" w:space="0"/>
              <w:right w:val="single" w:color="000000" w:sz="4" w:space="0"/>
            </w:tcBorders>
            <w:noWrap w:val="0"/>
            <w:vAlign w:val="bottom"/>
          </w:tcPr>
          <w:p w14:paraId="3692A8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6路农村客运班线</w:t>
            </w:r>
          </w:p>
        </w:tc>
        <w:tc>
          <w:tcPr>
            <w:tcW w:w="4072" w:type="dxa"/>
            <w:tcBorders>
              <w:top w:val="single" w:color="000000" w:sz="4" w:space="0"/>
              <w:left w:val="nil"/>
              <w:bottom w:val="single" w:color="000000" w:sz="4" w:space="0"/>
              <w:right w:val="single" w:color="000000" w:sz="4" w:space="0"/>
            </w:tcBorders>
            <w:noWrap w:val="0"/>
            <w:vAlign w:val="bottom"/>
          </w:tcPr>
          <w:p w14:paraId="383315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6路公交线路为各乡镇农村客运班次市内运行线路</w:t>
            </w:r>
          </w:p>
        </w:tc>
        <w:tc>
          <w:tcPr>
            <w:tcW w:w="749" w:type="dxa"/>
            <w:tcBorders>
              <w:top w:val="single" w:color="000000" w:sz="4" w:space="0"/>
              <w:left w:val="nil"/>
              <w:bottom w:val="single" w:color="000000" w:sz="4" w:space="0"/>
              <w:right w:val="single" w:color="000000" w:sz="4" w:space="0"/>
            </w:tcBorders>
            <w:noWrap w:val="0"/>
            <w:vAlign w:val="bottom"/>
          </w:tcPr>
          <w:p w14:paraId="5D1760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423" w:type="dxa"/>
            <w:tcBorders>
              <w:top w:val="single" w:color="000000" w:sz="4" w:space="0"/>
              <w:left w:val="nil"/>
              <w:bottom w:val="single" w:color="000000" w:sz="4" w:space="0"/>
              <w:right w:val="single" w:color="000000" w:sz="4" w:space="0"/>
            </w:tcBorders>
            <w:noWrap w:val="0"/>
            <w:vAlign w:val="bottom"/>
          </w:tcPr>
          <w:p w14:paraId="047909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r w14:paraId="32468EFD">
        <w:tblPrEx>
          <w:tblCellMar>
            <w:top w:w="15" w:type="dxa"/>
            <w:left w:w="15" w:type="dxa"/>
            <w:bottom w:w="15" w:type="dxa"/>
            <w:right w:w="15" w:type="dxa"/>
          </w:tblCellMar>
        </w:tblPrEx>
        <w:trPr>
          <w:trHeight w:val="600" w:hRule="atLeast"/>
          <w:jc w:val="center"/>
        </w:trPr>
        <w:tc>
          <w:tcPr>
            <w:tcW w:w="580" w:type="dxa"/>
            <w:tcBorders>
              <w:top w:val="single" w:color="000000" w:sz="4" w:space="0"/>
              <w:left w:val="single" w:color="000000" w:sz="4" w:space="0"/>
              <w:bottom w:val="single" w:color="000000" w:sz="4" w:space="0"/>
              <w:right w:val="single" w:color="000000" w:sz="4" w:space="0"/>
            </w:tcBorders>
            <w:noWrap w:val="0"/>
            <w:vAlign w:val="bottom"/>
          </w:tcPr>
          <w:p w14:paraId="3CF94A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512" w:type="dxa"/>
            <w:tcBorders>
              <w:top w:val="single" w:color="000000" w:sz="4" w:space="0"/>
              <w:left w:val="nil"/>
              <w:bottom w:val="single" w:color="000000" w:sz="4" w:space="0"/>
              <w:right w:val="single" w:color="000000" w:sz="4" w:space="0"/>
            </w:tcBorders>
            <w:noWrap w:val="0"/>
            <w:vAlign w:val="bottom"/>
          </w:tcPr>
          <w:p w14:paraId="1AD086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7路火车站公交线</w:t>
            </w:r>
          </w:p>
        </w:tc>
        <w:tc>
          <w:tcPr>
            <w:tcW w:w="4072" w:type="dxa"/>
            <w:tcBorders>
              <w:top w:val="single" w:color="000000" w:sz="4" w:space="0"/>
              <w:left w:val="nil"/>
              <w:bottom w:val="single" w:color="000000" w:sz="4" w:space="0"/>
              <w:right w:val="single" w:color="000000" w:sz="4" w:space="0"/>
            </w:tcBorders>
            <w:noWrap w:val="0"/>
            <w:vAlign w:val="bottom"/>
          </w:tcPr>
          <w:p w14:paraId="368E32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上午8</w:t>
            </w:r>
            <w:r>
              <w:rPr>
                <w:rFonts w:hint="eastAsia"/>
                <w:highlight w:val="none"/>
                <w:lang w:eastAsia="zh-CN"/>
              </w:rPr>
              <w:t>：</w:t>
            </w:r>
            <w:r>
              <w:rPr>
                <w:rFonts w:hint="eastAsia"/>
                <w:highlight w:val="none"/>
              </w:rPr>
              <w:t>00--下午17</w:t>
            </w:r>
            <w:r>
              <w:rPr>
                <w:rFonts w:hint="eastAsia"/>
                <w:highlight w:val="none"/>
                <w:lang w:eastAsia="zh-CN"/>
              </w:rPr>
              <w:t>：</w:t>
            </w:r>
            <w:r>
              <w:rPr>
                <w:rFonts w:hint="eastAsia"/>
                <w:highlight w:val="none"/>
              </w:rPr>
              <w:t>50</w:t>
            </w:r>
            <w:r>
              <w:rPr>
                <w:rFonts w:hint="eastAsia"/>
                <w:highlight w:val="none"/>
                <w:lang w:eastAsia="zh-CN"/>
              </w:rPr>
              <w:t>，</w:t>
            </w:r>
            <w:r>
              <w:rPr>
                <w:rFonts w:hint="eastAsia"/>
                <w:highlight w:val="none"/>
              </w:rPr>
              <w:t>约每30分钟一班，晚上21</w:t>
            </w:r>
            <w:r>
              <w:rPr>
                <w:rFonts w:hint="eastAsia"/>
                <w:highlight w:val="none"/>
                <w:lang w:eastAsia="zh-CN"/>
              </w:rPr>
              <w:t>：</w:t>
            </w:r>
            <w:r>
              <w:rPr>
                <w:rFonts w:hint="eastAsia"/>
                <w:highlight w:val="none"/>
              </w:rPr>
              <w:t>40加班一趟</w:t>
            </w:r>
          </w:p>
        </w:tc>
        <w:tc>
          <w:tcPr>
            <w:tcW w:w="749" w:type="dxa"/>
            <w:tcBorders>
              <w:top w:val="single" w:color="000000" w:sz="4" w:space="0"/>
              <w:left w:val="nil"/>
              <w:bottom w:val="single" w:color="000000" w:sz="4" w:space="0"/>
              <w:right w:val="single" w:color="000000" w:sz="4" w:space="0"/>
            </w:tcBorders>
            <w:noWrap w:val="0"/>
            <w:vAlign w:val="bottom"/>
          </w:tcPr>
          <w:p w14:paraId="450EE5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w:t>
            </w:r>
          </w:p>
        </w:tc>
        <w:tc>
          <w:tcPr>
            <w:tcW w:w="1423" w:type="dxa"/>
            <w:tcBorders>
              <w:top w:val="single" w:color="000000" w:sz="4" w:space="0"/>
              <w:left w:val="nil"/>
              <w:bottom w:val="single" w:color="000000" w:sz="4" w:space="0"/>
              <w:right w:val="single" w:color="000000" w:sz="4" w:space="0"/>
            </w:tcBorders>
            <w:noWrap w:val="0"/>
            <w:vAlign w:val="bottom"/>
          </w:tcPr>
          <w:p w14:paraId="17CB8A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南雄火车站</w:t>
            </w:r>
          </w:p>
        </w:tc>
      </w:tr>
    </w:tbl>
    <w:p w14:paraId="3AC47D10">
      <w:pPr>
        <w:jc w:val="center"/>
        <w:rPr>
          <w:rFonts w:hint="eastAsia" w:hAnsi="宋体" w:cs="宋体"/>
          <w:highlight w:val="none"/>
        </w:rPr>
      </w:pPr>
      <w:r>
        <w:rPr>
          <w:rFonts w:hint="eastAsia" w:hAnsi="宋体" w:cs="宋体"/>
          <w:highlight w:val="none"/>
        </w:rPr>
        <w:t>南雄市乡镇公交线路表</w:t>
      </w:r>
    </w:p>
    <w:p w14:paraId="0CD50D1F">
      <w:pPr>
        <w:rPr>
          <w:rFonts w:hint="eastAsia" w:hAnsi="宋体" w:cs="宋体"/>
          <w:highlight w:val="none"/>
        </w:rPr>
      </w:pPr>
      <w:r>
        <w:rPr>
          <w:rFonts w:hint="eastAsia" w:hAnsi="宋体" w:cs="宋体"/>
          <w:highlight w:val="none"/>
        </w:rPr>
        <w:t>表20</w:t>
      </w:r>
    </w:p>
    <w:tbl>
      <w:tblPr>
        <w:tblStyle w:val="7"/>
        <w:tblW w:w="8336" w:type="dxa"/>
        <w:jc w:val="center"/>
        <w:tblLayout w:type="fixed"/>
        <w:tblCellMar>
          <w:top w:w="15" w:type="dxa"/>
          <w:left w:w="15" w:type="dxa"/>
          <w:bottom w:w="15" w:type="dxa"/>
          <w:right w:w="15" w:type="dxa"/>
        </w:tblCellMar>
      </w:tblPr>
      <w:tblGrid>
        <w:gridCol w:w="1222"/>
        <w:gridCol w:w="1553"/>
        <w:gridCol w:w="3195"/>
        <w:gridCol w:w="1141"/>
        <w:gridCol w:w="1225"/>
      </w:tblGrid>
      <w:tr w14:paraId="02BE91C4">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2B8831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序号</w:t>
            </w:r>
          </w:p>
        </w:tc>
        <w:tc>
          <w:tcPr>
            <w:tcW w:w="1553" w:type="dxa"/>
            <w:tcBorders>
              <w:top w:val="single" w:color="000000" w:sz="4" w:space="0"/>
              <w:left w:val="nil"/>
              <w:bottom w:val="single" w:color="000000" w:sz="4" w:space="0"/>
              <w:right w:val="single" w:color="000000" w:sz="4" w:space="0"/>
            </w:tcBorders>
            <w:noWrap w:val="0"/>
            <w:vAlign w:val="center"/>
          </w:tcPr>
          <w:p w14:paraId="2A0B6A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线路</w:t>
            </w:r>
          </w:p>
        </w:tc>
        <w:tc>
          <w:tcPr>
            <w:tcW w:w="3195" w:type="dxa"/>
            <w:tcBorders>
              <w:top w:val="single" w:color="000000" w:sz="4" w:space="0"/>
              <w:left w:val="nil"/>
              <w:bottom w:val="single" w:color="000000" w:sz="4" w:space="0"/>
              <w:right w:val="single" w:color="000000" w:sz="4" w:space="0"/>
            </w:tcBorders>
            <w:noWrap w:val="0"/>
            <w:vAlign w:val="center"/>
          </w:tcPr>
          <w:p w14:paraId="6C10CE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市内及乡镇发班时间</w:t>
            </w:r>
          </w:p>
        </w:tc>
        <w:tc>
          <w:tcPr>
            <w:tcW w:w="1141" w:type="dxa"/>
            <w:tcBorders>
              <w:top w:val="single" w:color="000000" w:sz="4" w:space="0"/>
              <w:left w:val="nil"/>
              <w:bottom w:val="single" w:color="000000" w:sz="4" w:space="0"/>
              <w:right w:val="single" w:color="000000" w:sz="4" w:space="0"/>
            </w:tcBorders>
            <w:noWrap w:val="0"/>
            <w:vAlign w:val="center"/>
          </w:tcPr>
          <w:p w14:paraId="7E134B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日发班次</w:t>
            </w:r>
            <w:r>
              <w:rPr>
                <w:rFonts w:hint="eastAsia"/>
                <w:highlight w:val="none"/>
                <w:lang w:eastAsia="zh-CN"/>
              </w:rPr>
              <w:t>（</w:t>
            </w:r>
            <w:r>
              <w:rPr>
                <w:rFonts w:hint="eastAsia"/>
                <w:highlight w:val="none"/>
              </w:rPr>
              <w:t>趟</w:t>
            </w:r>
            <w:r>
              <w:rPr>
                <w:rFonts w:hint="eastAsia"/>
                <w:highlight w:val="none"/>
                <w:lang w:eastAsia="zh-CN"/>
              </w:rPr>
              <w:t>）</w:t>
            </w:r>
          </w:p>
        </w:tc>
        <w:tc>
          <w:tcPr>
            <w:tcW w:w="1225" w:type="dxa"/>
            <w:tcBorders>
              <w:top w:val="single" w:color="000000" w:sz="4" w:space="0"/>
              <w:left w:val="nil"/>
              <w:bottom w:val="single" w:color="000000" w:sz="4" w:space="0"/>
              <w:right w:val="single" w:color="000000" w:sz="4" w:space="0"/>
            </w:tcBorders>
            <w:noWrap w:val="0"/>
            <w:vAlign w:val="center"/>
          </w:tcPr>
          <w:p w14:paraId="255E2F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终点站</w:t>
            </w:r>
          </w:p>
        </w:tc>
      </w:tr>
      <w:tr w14:paraId="481466DE">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1FB06C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553" w:type="dxa"/>
            <w:tcBorders>
              <w:top w:val="single" w:color="000000" w:sz="4" w:space="0"/>
              <w:left w:val="nil"/>
              <w:bottom w:val="single" w:color="000000" w:sz="4" w:space="0"/>
              <w:right w:val="single" w:color="000000" w:sz="4" w:space="0"/>
            </w:tcBorders>
            <w:noWrap w:val="0"/>
            <w:vAlign w:val="center"/>
          </w:tcPr>
          <w:p w14:paraId="6ADF5B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w:t>
            </w:r>
          </w:p>
        </w:tc>
        <w:tc>
          <w:tcPr>
            <w:tcW w:w="3195" w:type="dxa"/>
            <w:tcBorders>
              <w:top w:val="single" w:color="000000" w:sz="4" w:space="0"/>
              <w:left w:val="nil"/>
              <w:bottom w:val="single" w:color="000000" w:sz="4" w:space="0"/>
              <w:right w:val="single" w:color="000000" w:sz="4" w:space="0"/>
            </w:tcBorders>
            <w:noWrap w:val="0"/>
            <w:vAlign w:val="center"/>
          </w:tcPr>
          <w:p w14:paraId="6C3FCE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上午5</w:t>
            </w:r>
            <w:r>
              <w:rPr>
                <w:rFonts w:hint="eastAsia"/>
                <w:highlight w:val="none"/>
                <w:lang w:eastAsia="zh-CN"/>
              </w:rPr>
              <w:t>：</w:t>
            </w:r>
            <w:r>
              <w:rPr>
                <w:rFonts w:hint="eastAsia"/>
                <w:highlight w:val="none"/>
              </w:rPr>
              <w:t>55--下午18</w:t>
            </w:r>
            <w:r>
              <w:rPr>
                <w:rFonts w:hint="eastAsia"/>
                <w:highlight w:val="none"/>
                <w:lang w:eastAsia="zh-CN"/>
              </w:rPr>
              <w:t>：</w:t>
            </w:r>
            <w:r>
              <w:rPr>
                <w:rFonts w:hint="eastAsia"/>
                <w:highlight w:val="none"/>
              </w:rPr>
              <w:t>10</w:t>
            </w:r>
            <w:r>
              <w:rPr>
                <w:rFonts w:hint="eastAsia"/>
                <w:highlight w:val="none"/>
                <w:lang w:eastAsia="zh-CN"/>
              </w:rPr>
              <w:t>，</w:t>
            </w:r>
            <w:r>
              <w:rPr>
                <w:rFonts w:hint="eastAsia"/>
                <w:highlight w:val="none"/>
              </w:rPr>
              <w:t>约每15分钟一趟</w:t>
            </w:r>
          </w:p>
        </w:tc>
        <w:tc>
          <w:tcPr>
            <w:tcW w:w="1141" w:type="dxa"/>
            <w:tcBorders>
              <w:top w:val="single" w:color="000000" w:sz="4" w:space="0"/>
              <w:left w:val="nil"/>
              <w:bottom w:val="single" w:color="000000" w:sz="4" w:space="0"/>
              <w:right w:val="single" w:color="000000" w:sz="4" w:space="0"/>
            </w:tcBorders>
            <w:noWrap w:val="0"/>
            <w:vAlign w:val="center"/>
          </w:tcPr>
          <w:p w14:paraId="212CAF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w:t>
            </w:r>
          </w:p>
        </w:tc>
        <w:tc>
          <w:tcPr>
            <w:tcW w:w="1225" w:type="dxa"/>
            <w:tcBorders>
              <w:top w:val="single" w:color="000000" w:sz="4" w:space="0"/>
              <w:left w:val="nil"/>
              <w:bottom w:val="single" w:color="000000" w:sz="4" w:space="0"/>
              <w:right w:val="single" w:color="000000" w:sz="4" w:space="0"/>
            </w:tcBorders>
            <w:noWrap w:val="0"/>
            <w:vAlign w:val="center"/>
          </w:tcPr>
          <w:p w14:paraId="73B3C6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w:t>
            </w:r>
          </w:p>
        </w:tc>
      </w:tr>
      <w:tr w14:paraId="15A138A5">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7D2A08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1553" w:type="dxa"/>
            <w:tcBorders>
              <w:top w:val="single" w:color="000000" w:sz="4" w:space="0"/>
              <w:left w:val="nil"/>
              <w:bottom w:val="single" w:color="000000" w:sz="4" w:space="0"/>
              <w:right w:val="single" w:color="000000" w:sz="4" w:space="0"/>
            </w:tcBorders>
            <w:noWrap w:val="0"/>
            <w:vAlign w:val="center"/>
          </w:tcPr>
          <w:p w14:paraId="3158AF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w:t>
            </w:r>
          </w:p>
        </w:tc>
        <w:tc>
          <w:tcPr>
            <w:tcW w:w="3195" w:type="dxa"/>
            <w:tcBorders>
              <w:top w:val="single" w:color="000000" w:sz="4" w:space="0"/>
              <w:left w:val="nil"/>
              <w:bottom w:val="single" w:color="000000" w:sz="4" w:space="0"/>
              <w:right w:val="single" w:color="000000" w:sz="4" w:space="0"/>
            </w:tcBorders>
            <w:noWrap w:val="0"/>
            <w:vAlign w:val="center"/>
          </w:tcPr>
          <w:p w14:paraId="71407D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上午6</w:t>
            </w:r>
            <w:r>
              <w:rPr>
                <w:rFonts w:hint="eastAsia"/>
                <w:highlight w:val="none"/>
                <w:lang w:eastAsia="zh-CN"/>
              </w:rPr>
              <w:t>：</w:t>
            </w:r>
            <w:r>
              <w:rPr>
                <w:rFonts w:hint="eastAsia"/>
                <w:highlight w:val="none"/>
              </w:rPr>
              <w:t>00--下午17</w:t>
            </w:r>
            <w:r>
              <w:rPr>
                <w:rFonts w:hint="eastAsia"/>
                <w:highlight w:val="none"/>
                <w:lang w:eastAsia="zh-CN"/>
              </w:rPr>
              <w:t>：</w:t>
            </w:r>
            <w:r>
              <w:rPr>
                <w:rFonts w:hint="eastAsia"/>
                <w:highlight w:val="none"/>
              </w:rPr>
              <w:t>40</w:t>
            </w:r>
            <w:r>
              <w:rPr>
                <w:rFonts w:hint="eastAsia"/>
                <w:highlight w:val="none"/>
                <w:lang w:eastAsia="zh-CN"/>
              </w:rPr>
              <w:t>，</w:t>
            </w:r>
            <w:r>
              <w:rPr>
                <w:rFonts w:hint="eastAsia"/>
                <w:highlight w:val="none"/>
              </w:rPr>
              <w:t>约每20分钟一趟</w:t>
            </w:r>
          </w:p>
        </w:tc>
        <w:tc>
          <w:tcPr>
            <w:tcW w:w="1141" w:type="dxa"/>
            <w:tcBorders>
              <w:top w:val="single" w:color="000000" w:sz="4" w:space="0"/>
              <w:left w:val="nil"/>
              <w:bottom w:val="single" w:color="000000" w:sz="4" w:space="0"/>
              <w:right w:val="single" w:color="000000" w:sz="4" w:space="0"/>
            </w:tcBorders>
            <w:noWrap w:val="0"/>
            <w:vAlign w:val="center"/>
          </w:tcPr>
          <w:p w14:paraId="06E15F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w:t>
            </w:r>
          </w:p>
        </w:tc>
        <w:tc>
          <w:tcPr>
            <w:tcW w:w="1225" w:type="dxa"/>
            <w:tcBorders>
              <w:top w:val="single" w:color="000000" w:sz="4" w:space="0"/>
              <w:left w:val="nil"/>
              <w:bottom w:val="single" w:color="000000" w:sz="4" w:space="0"/>
              <w:right w:val="single" w:color="000000" w:sz="4" w:space="0"/>
            </w:tcBorders>
            <w:noWrap w:val="0"/>
            <w:vAlign w:val="center"/>
          </w:tcPr>
          <w:p w14:paraId="76E14A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w:t>
            </w:r>
          </w:p>
        </w:tc>
      </w:tr>
      <w:tr w14:paraId="0B395389">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5C9BEA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553" w:type="dxa"/>
            <w:tcBorders>
              <w:top w:val="single" w:color="000000" w:sz="4" w:space="0"/>
              <w:left w:val="nil"/>
              <w:bottom w:val="single" w:color="000000" w:sz="4" w:space="0"/>
              <w:right w:val="single" w:color="000000" w:sz="4" w:space="0"/>
            </w:tcBorders>
            <w:noWrap w:val="0"/>
            <w:vAlign w:val="center"/>
          </w:tcPr>
          <w:p w14:paraId="6F0303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大塘</w:t>
            </w:r>
          </w:p>
        </w:tc>
        <w:tc>
          <w:tcPr>
            <w:tcW w:w="3195" w:type="dxa"/>
            <w:tcBorders>
              <w:top w:val="single" w:color="000000" w:sz="4" w:space="0"/>
              <w:left w:val="nil"/>
              <w:bottom w:val="single" w:color="000000" w:sz="4" w:space="0"/>
              <w:right w:val="single" w:color="000000" w:sz="4" w:space="0"/>
            </w:tcBorders>
            <w:noWrap w:val="0"/>
            <w:vAlign w:val="center"/>
          </w:tcPr>
          <w:p w14:paraId="61814E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上午5</w:t>
            </w:r>
            <w:r>
              <w:rPr>
                <w:rFonts w:hint="eastAsia"/>
                <w:highlight w:val="none"/>
                <w:lang w:eastAsia="zh-CN"/>
              </w:rPr>
              <w:t>：</w:t>
            </w:r>
            <w:r>
              <w:rPr>
                <w:rFonts w:hint="eastAsia"/>
                <w:highlight w:val="none"/>
              </w:rPr>
              <w:t>40--下午17</w:t>
            </w:r>
            <w:r>
              <w:rPr>
                <w:rFonts w:hint="eastAsia"/>
                <w:highlight w:val="none"/>
                <w:lang w:eastAsia="zh-CN"/>
              </w:rPr>
              <w:t>：</w:t>
            </w:r>
            <w:r>
              <w:rPr>
                <w:rFonts w:hint="eastAsia"/>
                <w:highlight w:val="none"/>
              </w:rPr>
              <w:t>40</w:t>
            </w:r>
            <w:r>
              <w:rPr>
                <w:rFonts w:hint="eastAsia"/>
                <w:highlight w:val="none"/>
                <w:lang w:eastAsia="zh-CN"/>
              </w:rPr>
              <w:t>，</w:t>
            </w:r>
            <w:r>
              <w:rPr>
                <w:rFonts w:hint="eastAsia"/>
                <w:highlight w:val="none"/>
              </w:rPr>
              <w:t>约每20分钟一趟</w:t>
            </w:r>
          </w:p>
        </w:tc>
        <w:tc>
          <w:tcPr>
            <w:tcW w:w="1141" w:type="dxa"/>
            <w:tcBorders>
              <w:top w:val="single" w:color="000000" w:sz="4" w:space="0"/>
              <w:left w:val="nil"/>
              <w:bottom w:val="single" w:color="000000" w:sz="4" w:space="0"/>
              <w:right w:val="single" w:color="000000" w:sz="4" w:space="0"/>
            </w:tcBorders>
            <w:noWrap w:val="0"/>
            <w:vAlign w:val="center"/>
          </w:tcPr>
          <w:p w14:paraId="5739D0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w:t>
            </w:r>
          </w:p>
        </w:tc>
        <w:tc>
          <w:tcPr>
            <w:tcW w:w="1225" w:type="dxa"/>
            <w:tcBorders>
              <w:top w:val="single" w:color="000000" w:sz="4" w:space="0"/>
              <w:left w:val="nil"/>
              <w:bottom w:val="single" w:color="000000" w:sz="4" w:space="0"/>
              <w:right w:val="single" w:color="000000" w:sz="4" w:space="0"/>
            </w:tcBorders>
            <w:noWrap w:val="0"/>
            <w:vAlign w:val="center"/>
          </w:tcPr>
          <w:p w14:paraId="731463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大塘</w:t>
            </w:r>
          </w:p>
        </w:tc>
      </w:tr>
      <w:tr w14:paraId="23CC87B1">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356285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1553" w:type="dxa"/>
            <w:tcBorders>
              <w:top w:val="single" w:color="000000" w:sz="4" w:space="0"/>
              <w:left w:val="nil"/>
              <w:bottom w:val="single" w:color="000000" w:sz="4" w:space="0"/>
              <w:right w:val="single" w:color="000000" w:sz="4" w:space="0"/>
            </w:tcBorders>
            <w:noWrap w:val="0"/>
            <w:vAlign w:val="center"/>
          </w:tcPr>
          <w:p w14:paraId="54B9DA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珠玑、湖口</w:t>
            </w:r>
          </w:p>
        </w:tc>
        <w:tc>
          <w:tcPr>
            <w:tcW w:w="3195" w:type="dxa"/>
            <w:tcBorders>
              <w:top w:val="single" w:color="000000" w:sz="4" w:space="0"/>
              <w:left w:val="nil"/>
              <w:bottom w:val="single" w:color="000000" w:sz="4" w:space="0"/>
              <w:right w:val="single" w:color="000000" w:sz="4" w:space="0"/>
            </w:tcBorders>
            <w:noWrap w:val="0"/>
            <w:vAlign w:val="center"/>
          </w:tcPr>
          <w:p w14:paraId="285614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上午6</w:t>
            </w:r>
            <w:r>
              <w:rPr>
                <w:rFonts w:hint="eastAsia"/>
                <w:highlight w:val="none"/>
                <w:lang w:eastAsia="zh-CN"/>
              </w:rPr>
              <w:t>：</w:t>
            </w:r>
            <w:r>
              <w:rPr>
                <w:rFonts w:hint="eastAsia"/>
                <w:highlight w:val="none"/>
              </w:rPr>
              <w:t>20--下午17</w:t>
            </w:r>
            <w:r>
              <w:rPr>
                <w:rFonts w:hint="eastAsia"/>
                <w:highlight w:val="none"/>
                <w:lang w:eastAsia="zh-CN"/>
              </w:rPr>
              <w:t>：</w:t>
            </w:r>
            <w:r>
              <w:rPr>
                <w:rFonts w:hint="eastAsia"/>
                <w:highlight w:val="none"/>
              </w:rPr>
              <w:t>30</w:t>
            </w:r>
            <w:r>
              <w:rPr>
                <w:rFonts w:hint="eastAsia"/>
                <w:highlight w:val="none"/>
                <w:lang w:eastAsia="zh-CN"/>
              </w:rPr>
              <w:t>，</w:t>
            </w:r>
            <w:r>
              <w:rPr>
                <w:rFonts w:hint="eastAsia"/>
                <w:highlight w:val="none"/>
              </w:rPr>
              <w:t>约每半小时一趟</w:t>
            </w:r>
          </w:p>
        </w:tc>
        <w:tc>
          <w:tcPr>
            <w:tcW w:w="1141" w:type="dxa"/>
            <w:tcBorders>
              <w:top w:val="single" w:color="000000" w:sz="4" w:space="0"/>
              <w:left w:val="nil"/>
              <w:bottom w:val="single" w:color="000000" w:sz="4" w:space="0"/>
              <w:right w:val="single" w:color="000000" w:sz="4" w:space="0"/>
            </w:tcBorders>
            <w:noWrap w:val="0"/>
            <w:vAlign w:val="center"/>
          </w:tcPr>
          <w:p w14:paraId="360A60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w:t>
            </w:r>
          </w:p>
        </w:tc>
        <w:tc>
          <w:tcPr>
            <w:tcW w:w="1225" w:type="dxa"/>
            <w:tcBorders>
              <w:top w:val="single" w:color="000000" w:sz="4" w:space="0"/>
              <w:left w:val="nil"/>
              <w:bottom w:val="single" w:color="000000" w:sz="4" w:space="0"/>
              <w:right w:val="single" w:color="000000" w:sz="4" w:space="0"/>
            </w:tcBorders>
            <w:noWrap w:val="0"/>
            <w:vAlign w:val="center"/>
          </w:tcPr>
          <w:p w14:paraId="234F00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珠玑、湖口</w:t>
            </w:r>
          </w:p>
        </w:tc>
      </w:tr>
      <w:tr w14:paraId="6CC8CE54">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779C51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553" w:type="dxa"/>
            <w:tcBorders>
              <w:top w:val="single" w:color="000000" w:sz="4" w:space="0"/>
              <w:left w:val="nil"/>
              <w:bottom w:val="single" w:color="000000" w:sz="4" w:space="0"/>
              <w:right w:val="single" w:color="000000" w:sz="4" w:space="0"/>
            </w:tcBorders>
            <w:noWrap w:val="0"/>
            <w:vAlign w:val="center"/>
          </w:tcPr>
          <w:p w14:paraId="7B11CC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w:t>
            </w:r>
          </w:p>
        </w:tc>
        <w:tc>
          <w:tcPr>
            <w:tcW w:w="3195" w:type="dxa"/>
            <w:tcBorders>
              <w:top w:val="single" w:color="000000" w:sz="4" w:space="0"/>
              <w:left w:val="nil"/>
              <w:bottom w:val="single" w:color="000000" w:sz="4" w:space="0"/>
              <w:right w:val="single" w:color="000000" w:sz="4" w:space="0"/>
            </w:tcBorders>
            <w:noWrap w:val="0"/>
            <w:vAlign w:val="center"/>
          </w:tcPr>
          <w:p w14:paraId="022567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上午6</w:t>
            </w:r>
            <w:r>
              <w:rPr>
                <w:rFonts w:hint="eastAsia"/>
                <w:highlight w:val="none"/>
                <w:lang w:eastAsia="zh-CN"/>
              </w:rPr>
              <w:t>：</w:t>
            </w:r>
            <w:r>
              <w:rPr>
                <w:rFonts w:hint="eastAsia"/>
                <w:highlight w:val="none"/>
              </w:rPr>
              <w:t>15--下午17</w:t>
            </w:r>
            <w:r>
              <w:rPr>
                <w:rFonts w:hint="eastAsia"/>
                <w:highlight w:val="none"/>
                <w:lang w:eastAsia="zh-CN"/>
              </w:rPr>
              <w:t>：</w:t>
            </w:r>
            <w:r>
              <w:rPr>
                <w:rFonts w:hint="eastAsia"/>
                <w:highlight w:val="none"/>
              </w:rPr>
              <w:t>20</w:t>
            </w:r>
            <w:r>
              <w:rPr>
                <w:rFonts w:hint="eastAsia"/>
                <w:highlight w:val="none"/>
                <w:lang w:eastAsia="zh-CN"/>
              </w:rPr>
              <w:t>，</w:t>
            </w:r>
            <w:r>
              <w:rPr>
                <w:rFonts w:hint="eastAsia"/>
                <w:highlight w:val="none"/>
              </w:rPr>
              <w:t>约每半小时一趟</w:t>
            </w:r>
          </w:p>
        </w:tc>
        <w:tc>
          <w:tcPr>
            <w:tcW w:w="1141" w:type="dxa"/>
            <w:tcBorders>
              <w:top w:val="single" w:color="000000" w:sz="4" w:space="0"/>
              <w:left w:val="nil"/>
              <w:bottom w:val="single" w:color="000000" w:sz="4" w:space="0"/>
              <w:right w:val="single" w:color="000000" w:sz="4" w:space="0"/>
            </w:tcBorders>
            <w:noWrap w:val="0"/>
            <w:vAlign w:val="center"/>
          </w:tcPr>
          <w:p w14:paraId="3E750C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1225" w:type="dxa"/>
            <w:tcBorders>
              <w:top w:val="single" w:color="000000" w:sz="4" w:space="0"/>
              <w:left w:val="nil"/>
              <w:bottom w:val="single" w:color="000000" w:sz="4" w:space="0"/>
              <w:right w:val="single" w:color="000000" w:sz="4" w:space="0"/>
            </w:tcBorders>
            <w:noWrap w:val="0"/>
            <w:vAlign w:val="center"/>
          </w:tcPr>
          <w:p w14:paraId="5243BB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w:t>
            </w:r>
          </w:p>
        </w:tc>
      </w:tr>
      <w:tr w14:paraId="0740BDDD">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74C7D2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553" w:type="dxa"/>
            <w:tcBorders>
              <w:top w:val="single" w:color="000000" w:sz="4" w:space="0"/>
              <w:left w:val="nil"/>
              <w:bottom w:val="single" w:color="000000" w:sz="4" w:space="0"/>
              <w:right w:val="single" w:color="000000" w:sz="4" w:space="0"/>
            </w:tcBorders>
            <w:noWrap w:val="0"/>
            <w:vAlign w:val="center"/>
          </w:tcPr>
          <w:p w14:paraId="19D339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w:t>
            </w:r>
          </w:p>
        </w:tc>
        <w:tc>
          <w:tcPr>
            <w:tcW w:w="3195" w:type="dxa"/>
            <w:tcBorders>
              <w:top w:val="single" w:color="000000" w:sz="4" w:space="0"/>
              <w:left w:val="nil"/>
              <w:bottom w:val="single" w:color="000000" w:sz="4" w:space="0"/>
              <w:right w:val="single" w:color="000000" w:sz="4" w:space="0"/>
            </w:tcBorders>
            <w:noWrap w:val="0"/>
            <w:vAlign w:val="center"/>
          </w:tcPr>
          <w:p w14:paraId="302C3A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上午6</w:t>
            </w:r>
            <w:r>
              <w:rPr>
                <w:rFonts w:hint="eastAsia"/>
                <w:highlight w:val="none"/>
                <w:lang w:eastAsia="zh-CN"/>
              </w:rPr>
              <w:t>：</w:t>
            </w:r>
            <w:r>
              <w:rPr>
                <w:rFonts w:hint="eastAsia"/>
                <w:highlight w:val="none"/>
              </w:rPr>
              <w:t>30--下午17</w:t>
            </w:r>
            <w:r>
              <w:rPr>
                <w:rFonts w:hint="eastAsia"/>
                <w:highlight w:val="none"/>
                <w:lang w:eastAsia="zh-CN"/>
              </w:rPr>
              <w:t>：</w:t>
            </w:r>
            <w:r>
              <w:rPr>
                <w:rFonts w:hint="eastAsia"/>
                <w:highlight w:val="none"/>
              </w:rPr>
              <w:t>30</w:t>
            </w:r>
            <w:r>
              <w:rPr>
                <w:rFonts w:hint="eastAsia"/>
                <w:highlight w:val="none"/>
                <w:lang w:eastAsia="zh-CN"/>
              </w:rPr>
              <w:t>，</w:t>
            </w:r>
            <w:r>
              <w:rPr>
                <w:rFonts w:hint="eastAsia"/>
                <w:highlight w:val="none"/>
              </w:rPr>
              <w:t>约每半小时一趟</w:t>
            </w:r>
          </w:p>
        </w:tc>
        <w:tc>
          <w:tcPr>
            <w:tcW w:w="1141" w:type="dxa"/>
            <w:tcBorders>
              <w:top w:val="single" w:color="000000" w:sz="4" w:space="0"/>
              <w:left w:val="nil"/>
              <w:bottom w:val="single" w:color="000000" w:sz="4" w:space="0"/>
              <w:right w:val="single" w:color="000000" w:sz="4" w:space="0"/>
            </w:tcBorders>
            <w:noWrap w:val="0"/>
            <w:vAlign w:val="center"/>
          </w:tcPr>
          <w:p w14:paraId="0BA888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1225" w:type="dxa"/>
            <w:tcBorders>
              <w:top w:val="single" w:color="000000" w:sz="4" w:space="0"/>
              <w:left w:val="nil"/>
              <w:bottom w:val="single" w:color="000000" w:sz="4" w:space="0"/>
              <w:right w:val="single" w:color="000000" w:sz="4" w:space="0"/>
            </w:tcBorders>
            <w:noWrap w:val="0"/>
            <w:vAlign w:val="center"/>
          </w:tcPr>
          <w:p w14:paraId="239379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w:t>
            </w:r>
          </w:p>
        </w:tc>
      </w:tr>
      <w:tr w14:paraId="03EF424C">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72C71F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c>
          <w:tcPr>
            <w:tcW w:w="1553" w:type="dxa"/>
            <w:tcBorders>
              <w:top w:val="single" w:color="000000" w:sz="4" w:space="0"/>
              <w:left w:val="nil"/>
              <w:bottom w:val="single" w:color="000000" w:sz="4" w:space="0"/>
              <w:right w:val="single" w:color="000000" w:sz="4" w:space="0"/>
            </w:tcBorders>
            <w:noWrap w:val="0"/>
            <w:vAlign w:val="center"/>
          </w:tcPr>
          <w:p w14:paraId="217131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w:t>
            </w:r>
          </w:p>
        </w:tc>
        <w:tc>
          <w:tcPr>
            <w:tcW w:w="3195" w:type="dxa"/>
            <w:tcBorders>
              <w:top w:val="single" w:color="000000" w:sz="4" w:space="0"/>
              <w:left w:val="nil"/>
              <w:bottom w:val="single" w:color="000000" w:sz="4" w:space="0"/>
              <w:right w:val="single" w:color="000000" w:sz="4" w:space="0"/>
            </w:tcBorders>
            <w:noWrap w:val="0"/>
            <w:vAlign w:val="center"/>
          </w:tcPr>
          <w:p w14:paraId="5BFFE2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7：30 9：30 11：30 14：30 16：30</w:t>
            </w:r>
          </w:p>
        </w:tc>
        <w:tc>
          <w:tcPr>
            <w:tcW w:w="1141" w:type="dxa"/>
            <w:tcBorders>
              <w:top w:val="single" w:color="000000" w:sz="4" w:space="0"/>
              <w:left w:val="nil"/>
              <w:bottom w:val="single" w:color="000000" w:sz="4" w:space="0"/>
              <w:right w:val="single" w:color="000000" w:sz="4" w:space="0"/>
            </w:tcBorders>
            <w:noWrap w:val="0"/>
            <w:vAlign w:val="center"/>
          </w:tcPr>
          <w:p w14:paraId="5552E8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225" w:type="dxa"/>
            <w:tcBorders>
              <w:top w:val="single" w:color="000000" w:sz="4" w:space="0"/>
              <w:left w:val="nil"/>
              <w:bottom w:val="single" w:color="000000" w:sz="4" w:space="0"/>
              <w:right w:val="single" w:color="000000" w:sz="4" w:space="0"/>
            </w:tcBorders>
            <w:noWrap w:val="0"/>
            <w:vAlign w:val="center"/>
          </w:tcPr>
          <w:p w14:paraId="7DD60B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w:t>
            </w:r>
          </w:p>
        </w:tc>
      </w:tr>
      <w:tr w14:paraId="785BFC1C">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3C9F2E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553" w:type="dxa"/>
            <w:tcBorders>
              <w:top w:val="single" w:color="000000" w:sz="4" w:space="0"/>
              <w:left w:val="nil"/>
              <w:bottom w:val="single" w:color="000000" w:sz="4" w:space="0"/>
              <w:right w:val="single" w:color="000000" w:sz="4" w:space="0"/>
            </w:tcBorders>
            <w:noWrap w:val="0"/>
            <w:vAlign w:val="center"/>
          </w:tcPr>
          <w:p w14:paraId="3DC4E9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分水坳</w:t>
            </w:r>
          </w:p>
        </w:tc>
        <w:tc>
          <w:tcPr>
            <w:tcW w:w="3195" w:type="dxa"/>
            <w:tcBorders>
              <w:top w:val="single" w:color="000000" w:sz="4" w:space="0"/>
              <w:left w:val="nil"/>
              <w:bottom w:val="single" w:color="000000" w:sz="4" w:space="0"/>
              <w:right w:val="single" w:color="000000" w:sz="4" w:space="0"/>
            </w:tcBorders>
            <w:noWrap w:val="0"/>
            <w:vAlign w:val="center"/>
          </w:tcPr>
          <w:p w14:paraId="00796F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r>
              <w:rPr>
                <w:rFonts w:hint="eastAsia"/>
                <w:highlight w:val="none"/>
                <w:lang w:eastAsia="zh-CN"/>
              </w:rPr>
              <w:t>：</w:t>
            </w:r>
            <w:r>
              <w:rPr>
                <w:rFonts w:hint="eastAsia"/>
                <w:highlight w:val="none"/>
              </w:rPr>
              <w:t xml:space="preserve">55 </w:t>
            </w:r>
            <w:r>
              <w:rPr>
                <w:rFonts w:hint="eastAsia"/>
                <w:b/>
                <w:highlight w:val="none"/>
              </w:rPr>
              <w:t xml:space="preserve"> 7</w:t>
            </w:r>
            <w:r>
              <w:rPr>
                <w:rFonts w:hint="eastAsia"/>
                <w:b/>
                <w:highlight w:val="none"/>
                <w:lang w:eastAsia="zh-CN"/>
              </w:rPr>
              <w:t>：</w:t>
            </w:r>
            <w:r>
              <w:rPr>
                <w:rFonts w:hint="eastAsia"/>
                <w:b/>
                <w:highlight w:val="none"/>
              </w:rPr>
              <w:t xml:space="preserve">50  </w:t>
            </w:r>
            <w:r>
              <w:rPr>
                <w:rFonts w:hint="eastAsia"/>
                <w:highlight w:val="none"/>
              </w:rPr>
              <w:t>9</w:t>
            </w:r>
            <w:r>
              <w:rPr>
                <w:rFonts w:hint="eastAsia"/>
                <w:highlight w:val="none"/>
                <w:lang w:eastAsia="zh-CN"/>
              </w:rPr>
              <w:t>：</w:t>
            </w:r>
            <w:r>
              <w:rPr>
                <w:rFonts w:hint="eastAsia"/>
                <w:highlight w:val="none"/>
              </w:rPr>
              <w:t xml:space="preserve">30  </w:t>
            </w:r>
            <w:r>
              <w:rPr>
                <w:rFonts w:hint="eastAsia"/>
                <w:b/>
                <w:highlight w:val="none"/>
              </w:rPr>
              <w:t>13</w:t>
            </w:r>
            <w:r>
              <w:rPr>
                <w:rFonts w:hint="eastAsia"/>
                <w:b/>
                <w:highlight w:val="none"/>
                <w:lang w:eastAsia="zh-CN"/>
              </w:rPr>
              <w:t>：</w:t>
            </w:r>
            <w:r>
              <w:rPr>
                <w:rFonts w:hint="eastAsia"/>
                <w:b/>
                <w:highlight w:val="none"/>
              </w:rPr>
              <w:t>00  15</w:t>
            </w:r>
            <w:r>
              <w:rPr>
                <w:rFonts w:hint="eastAsia"/>
                <w:b/>
                <w:highlight w:val="none"/>
                <w:lang w:eastAsia="zh-CN"/>
              </w:rPr>
              <w:t>：</w:t>
            </w:r>
            <w:r>
              <w:rPr>
                <w:rFonts w:hint="eastAsia"/>
                <w:b/>
                <w:highlight w:val="none"/>
              </w:rPr>
              <w:t xml:space="preserve">20  </w:t>
            </w:r>
            <w:r>
              <w:rPr>
                <w:rFonts w:hint="eastAsia"/>
                <w:highlight w:val="none"/>
              </w:rPr>
              <w:t xml:space="preserve"> 16</w:t>
            </w:r>
            <w:r>
              <w:rPr>
                <w:rFonts w:hint="eastAsia"/>
                <w:highlight w:val="none"/>
                <w:lang w:eastAsia="zh-CN"/>
              </w:rPr>
              <w:t>：</w:t>
            </w:r>
            <w:r>
              <w:rPr>
                <w:rFonts w:hint="eastAsia"/>
                <w:highlight w:val="none"/>
              </w:rPr>
              <w:t>30</w:t>
            </w:r>
          </w:p>
        </w:tc>
        <w:tc>
          <w:tcPr>
            <w:tcW w:w="1141" w:type="dxa"/>
            <w:tcBorders>
              <w:top w:val="single" w:color="000000" w:sz="4" w:space="0"/>
              <w:left w:val="nil"/>
              <w:bottom w:val="single" w:color="000000" w:sz="4" w:space="0"/>
              <w:right w:val="single" w:color="000000" w:sz="4" w:space="0"/>
            </w:tcBorders>
            <w:noWrap w:val="0"/>
            <w:vAlign w:val="center"/>
          </w:tcPr>
          <w:p w14:paraId="7E1F9B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225" w:type="dxa"/>
            <w:tcBorders>
              <w:top w:val="single" w:color="000000" w:sz="4" w:space="0"/>
              <w:left w:val="nil"/>
              <w:bottom w:val="single" w:color="000000" w:sz="4" w:space="0"/>
              <w:right w:val="single" w:color="000000" w:sz="4" w:space="0"/>
            </w:tcBorders>
            <w:noWrap w:val="0"/>
            <w:vAlign w:val="center"/>
          </w:tcPr>
          <w:p w14:paraId="67B329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分水坳</w:t>
            </w:r>
          </w:p>
        </w:tc>
      </w:tr>
      <w:tr w14:paraId="7ED93F19">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64196B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553" w:type="dxa"/>
            <w:tcBorders>
              <w:top w:val="single" w:color="000000" w:sz="4" w:space="0"/>
              <w:left w:val="nil"/>
              <w:bottom w:val="single" w:color="000000" w:sz="4" w:space="0"/>
              <w:right w:val="single" w:color="000000" w:sz="4" w:space="0"/>
            </w:tcBorders>
            <w:noWrap w:val="0"/>
            <w:vAlign w:val="center"/>
          </w:tcPr>
          <w:p w14:paraId="74B656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坪田坳</w:t>
            </w:r>
          </w:p>
        </w:tc>
        <w:tc>
          <w:tcPr>
            <w:tcW w:w="3195" w:type="dxa"/>
            <w:tcBorders>
              <w:top w:val="single" w:color="000000" w:sz="4" w:space="0"/>
              <w:left w:val="nil"/>
              <w:bottom w:val="single" w:color="000000" w:sz="4" w:space="0"/>
              <w:right w:val="single" w:color="000000" w:sz="4" w:space="0"/>
            </w:tcBorders>
            <w:noWrap w:val="0"/>
            <w:vAlign w:val="center"/>
          </w:tcPr>
          <w:p w14:paraId="282328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b/>
                <w:highlight w:val="none"/>
              </w:rPr>
              <w:t>7</w:t>
            </w:r>
            <w:r>
              <w:rPr>
                <w:rFonts w:hint="eastAsia"/>
                <w:b/>
                <w:highlight w:val="none"/>
                <w:lang w:eastAsia="zh-CN"/>
              </w:rPr>
              <w:t>：</w:t>
            </w:r>
            <w:r>
              <w:rPr>
                <w:rFonts w:hint="eastAsia"/>
                <w:b/>
                <w:highlight w:val="none"/>
              </w:rPr>
              <w:t xml:space="preserve">10   </w:t>
            </w:r>
            <w:r>
              <w:rPr>
                <w:rFonts w:hint="eastAsia"/>
                <w:highlight w:val="none"/>
              </w:rPr>
              <w:t>14</w:t>
            </w:r>
            <w:r>
              <w:rPr>
                <w:rFonts w:hint="eastAsia"/>
                <w:highlight w:val="none"/>
                <w:lang w:eastAsia="zh-CN"/>
              </w:rPr>
              <w:t>：</w:t>
            </w:r>
            <w:r>
              <w:rPr>
                <w:rFonts w:hint="eastAsia"/>
                <w:highlight w:val="none"/>
              </w:rPr>
              <w:t>35</w:t>
            </w:r>
          </w:p>
        </w:tc>
        <w:tc>
          <w:tcPr>
            <w:tcW w:w="1141" w:type="dxa"/>
            <w:tcBorders>
              <w:top w:val="single" w:color="000000" w:sz="4" w:space="0"/>
              <w:left w:val="nil"/>
              <w:bottom w:val="single" w:color="000000" w:sz="4" w:space="0"/>
              <w:right w:val="single" w:color="000000" w:sz="4" w:space="0"/>
            </w:tcBorders>
            <w:noWrap w:val="0"/>
            <w:vAlign w:val="center"/>
          </w:tcPr>
          <w:p w14:paraId="59DCC3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1225" w:type="dxa"/>
            <w:tcBorders>
              <w:top w:val="single" w:color="000000" w:sz="4" w:space="0"/>
              <w:left w:val="nil"/>
              <w:bottom w:val="single" w:color="000000" w:sz="4" w:space="0"/>
              <w:right w:val="single" w:color="000000" w:sz="4" w:space="0"/>
            </w:tcBorders>
            <w:noWrap w:val="0"/>
            <w:vAlign w:val="center"/>
          </w:tcPr>
          <w:p w14:paraId="4AA447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坪田坳</w:t>
            </w:r>
          </w:p>
        </w:tc>
      </w:tr>
      <w:tr w14:paraId="7EB2AD26">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70D435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553" w:type="dxa"/>
            <w:tcBorders>
              <w:top w:val="single" w:color="000000" w:sz="4" w:space="0"/>
              <w:left w:val="nil"/>
              <w:bottom w:val="single" w:color="000000" w:sz="4" w:space="0"/>
              <w:right w:val="single" w:color="000000" w:sz="4" w:space="0"/>
            </w:tcBorders>
            <w:noWrap w:val="0"/>
            <w:vAlign w:val="center"/>
          </w:tcPr>
          <w:p w14:paraId="1243FC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w:t>
            </w:r>
          </w:p>
        </w:tc>
        <w:tc>
          <w:tcPr>
            <w:tcW w:w="3195" w:type="dxa"/>
            <w:tcBorders>
              <w:top w:val="single" w:color="000000" w:sz="4" w:space="0"/>
              <w:left w:val="nil"/>
              <w:bottom w:val="single" w:color="000000" w:sz="4" w:space="0"/>
              <w:right w:val="single" w:color="000000" w:sz="4" w:space="0"/>
            </w:tcBorders>
            <w:noWrap w:val="0"/>
            <w:vAlign w:val="center"/>
          </w:tcPr>
          <w:p w14:paraId="39F07B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早上6</w:t>
            </w:r>
            <w:r>
              <w:rPr>
                <w:rFonts w:hint="eastAsia"/>
                <w:highlight w:val="none"/>
                <w:lang w:eastAsia="zh-CN"/>
              </w:rPr>
              <w:t>：</w:t>
            </w:r>
            <w:r>
              <w:rPr>
                <w:rFonts w:hint="eastAsia"/>
                <w:highlight w:val="none"/>
              </w:rPr>
              <w:t>50--下午16</w:t>
            </w:r>
            <w:r>
              <w:rPr>
                <w:rFonts w:hint="eastAsia"/>
                <w:highlight w:val="none"/>
                <w:lang w:eastAsia="zh-CN"/>
              </w:rPr>
              <w:t>：</w:t>
            </w:r>
            <w:r>
              <w:rPr>
                <w:rFonts w:hint="eastAsia"/>
                <w:highlight w:val="none"/>
              </w:rPr>
              <w:t>50</w:t>
            </w:r>
            <w:r>
              <w:rPr>
                <w:rFonts w:hint="eastAsia"/>
                <w:highlight w:val="none"/>
                <w:lang w:eastAsia="zh-CN"/>
              </w:rPr>
              <w:t>，</w:t>
            </w:r>
            <w:r>
              <w:rPr>
                <w:rFonts w:hint="eastAsia"/>
                <w:highlight w:val="none"/>
              </w:rPr>
              <w:t>约每1小时1班</w:t>
            </w:r>
          </w:p>
        </w:tc>
        <w:tc>
          <w:tcPr>
            <w:tcW w:w="1141" w:type="dxa"/>
            <w:tcBorders>
              <w:top w:val="single" w:color="000000" w:sz="4" w:space="0"/>
              <w:left w:val="nil"/>
              <w:bottom w:val="single" w:color="000000" w:sz="4" w:space="0"/>
              <w:right w:val="single" w:color="000000" w:sz="4" w:space="0"/>
            </w:tcBorders>
            <w:noWrap w:val="0"/>
            <w:vAlign w:val="center"/>
          </w:tcPr>
          <w:p w14:paraId="33E9B0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225" w:type="dxa"/>
            <w:tcBorders>
              <w:top w:val="single" w:color="000000" w:sz="4" w:space="0"/>
              <w:left w:val="nil"/>
              <w:bottom w:val="single" w:color="000000" w:sz="4" w:space="0"/>
              <w:right w:val="single" w:color="000000" w:sz="4" w:space="0"/>
            </w:tcBorders>
            <w:noWrap w:val="0"/>
            <w:vAlign w:val="center"/>
          </w:tcPr>
          <w:p w14:paraId="53BE6F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w:t>
            </w:r>
          </w:p>
        </w:tc>
      </w:tr>
      <w:tr w14:paraId="50A6715C">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045738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1553" w:type="dxa"/>
            <w:tcBorders>
              <w:top w:val="single" w:color="000000" w:sz="4" w:space="0"/>
              <w:left w:val="nil"/>
              <w:bottom w:val="single" w:color="000000" w:sz="4" w:space="0"/>
              <w:right w:val="single" w:color="000000" w:sz="4" w:space="0"/>
            </w:tcBorders>
            <w:noWrap w:val="0"/>
            <w:vAlign w:val="center"/>
          </w:tcPr>
          <w:p w14:paraId="0767E1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w:t>
            </w:r>
          </w:p>
        </w:tc>
        <w:tc>
          <w:tcPr>
            <w:tcW w:w="3195" w:type="dxa"/>
            <w:tcBorders>
              <w:top w:val="single" w:color="000000" w:sz="4" w:space="0"/>
              <w:left w:val="nil"/>
              <w:bottom w:val="single" w:color="000000" w:sz="4" w:space="0"/>
              <w:right w:val="single" w:color="000000" w:sz="4" w:space="0"/>
            </w:tcBorders>
            <w:noWrap w:val="0"/>
            <w:vAlign w:val="center"/>
          </w:tcPr>
          <w:p w14:paraId="5B9A38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r>
              <w:rPr>
                <w:rFonts w:hint="eastAsia"/>
                <w:highlight w:val="none"/>
                <w:lang w:eastAsia="zh-CN"/>
              </w:rPr>
              <w:t>：</w:t>
            </w:r>
            <w:r>
              <w:rPr>
                <w:rFonts w:hint="eastAsia"/>
                <w:highlight w:val="none"/>
              </w:rPr>
              <w:t>30 9</w:t>
            </w:r>
            <w:r>
              <w:rPr>
                <w:rFonts w:hint="eastAsia"/>
                <w:highlight w:val="none"/>
                <w:lang w:eastAsia="zh-CN"/>
              </w:rPr>
              <w:t>：</w:t>
            </w:r>
            <w:r>
              <w:rPr>
                <w:rFonts w:hint="eastAsia"/>
                <w:highlight w:val="none"/>
              </w:rPr>
              <w:t>30 13</w:t>
            </w:r>
            <w:r>
              <w:rPr>
                <w:rFonts w:hint="eastAsia"/>
                <w:highlight w:val="none"/>
                <w:lang w:eastAsia="zh-CN"/>
              </w:rPr>
              <w:t>：</w:t>
            </w:r>
            <w:r>
              <w:rPr>
                <w:rFonts w:hint="eastAsia"/>
                <w:highlight w:val="none"/>
              </w:rPr>
              <w:t>30 15</w:t>
            </w:r>
            <w:r>
              <w:rPr>
                <w:rFonts w:hint="eastAsia"/>
                <w:highlight w:val="none"/>
                <w:lang w:eastAsia="zh-CN"/>
              </w:rPr>
              <w:t>：</w:t>
            </w:r>
            <w:r>
              <w:rPr>
                <w:rFonts w:hint="eastAsia"/>
                <w:highlight w:val="none"/>
              </w:rPr>
              <w:t>40</w:t>
            </w:r>
          </w:p>
        </w:tc>
        <w:tc>
          <w:tcPr>
            <w:tcW w:w="1141" w:type="dxa"/>
            <w:tcBorders>
              <w:top w:val="single" w:color="000000" w:sz="4" w:space="0"/>
              <w:left w:val="nil"/>
              <w:bottom w:val="single" w:color="000000" w:sz="4" w:space="0"/>
              <w:right w:val="single" w:color="000000" w:sz="4" w:space="0"/>
            </w:tcBorders>
            <w:noWrap w:val="0"/>
            <w:vAlign w:val="center"/>
          </w:tcPr>
          <w:p w14:paraId="327817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1225" w:type="dxa"/>
            <w:tcBorders>
              <w:top w:val="single" w:color="000000" w:sz="4" w:space="0"/>
              <w:left w:val="nil"/>
              <w:bottom w:val="single" w:color="000000" w:sz="4" w:space="0"/>
              <w:right w:val="single" w:color="000000" w:sz="4" w:space="0"/>
            </w:tcBorders>
            <w:noWrap w:val="0"/>
            <w:vAlign w:val="center"/>
          </w:tcPr>
          <w:p w14:paraId="63F17D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w:t>
            </w:r>
          </w:p>
        </w:tc>
      </w:tr>
      <w:tr w14:paraId="15566601">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4A6025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553" w:type="dxa"/>
            <w:tcBorders>
              <w:top w:val="single" w:color="000000" w:sz="4" w:space="0"/>
              <w:left w:val="nil"/>
              <w:bottom w:val="single" w:color="000000" w:sz="4" w:space="0"/>
              <w:right w:val="single" w:color="000000" w:sz="4" w:space="0"/>
            </w:tcBorders>
            <w:noWrap w:val="0"/>
            <w:vAlign w:val="center"/>
          </w:tcPr>
          <w:p w14:paraId="792E4F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大坪</w:t>
            </w:r>
          </w:p>
        </w:tc>
        <w:tc>
          <w:tcPr>
            <w:tcW w:w="3195" w:type="dxa"/>
            <w:tcBorders>
              <w:top w:val="single" w:color="000000" w:sz="4" w:space="0"/>
              <w:left w:val="nil"/>
              <w:bottom w:val="single" w:color="000000" w:sz="4" w:space="0"/>
              <w:right w:val="single" w:color="000000" w:sz="4" w:space="0"/>
            </w:tcBorders>
            <w:noWrap w:val="0"/>
            <w:vAlign w:val="center"/>
          </w:tcPr>
          <w:p w14:paraId="30F7AB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r>
              <w:rPr>
                <w:rFonts w:hint="eastAsia"/>
                <w:highlight w:val="none"/>
                <w:lang w:eastAsia="zh-CN"/>
              </w:rPr>
              <w:t>：</w:t>
            </w:r>
            <w:r>
              <w:rPr>
                <w:rFonts w:hint="eastAsia"/>
                <w:highlight w:val="none"/>
              </w:rPr>
              <w:t>10、11</w:t>
            </w:r>
            <w:r>
              <w:rPr>
                <w:rFonts w:hint="eastAsia"/>
                <w:highlight w:val="none"/>
                <w:lang w:eastAsia="zh-CN"/>
              </w:rPr>
              <w:t>：</w:t>
            </w:r>
            <w:r>
              <w:rPr>
                <w:rFonts w:hint="eastAsia"/>
                <w:highlight w:val="none"/>
              </w:rPr>
              <w:t>00、16</w:t>
            </w:r>
            <w:r>
              <w:rPr>
                <w:rFonts w:hint="eastAsia"/>
                <w:highlight w:val="none"/>
                <w:lang w:eastAsia="zh-CN"/>
              </w:rPr>
              <w:t>：</w:t>
            </w:r>
            <w:r>
              <w:rPr>
                <w:rFonts w:hint="eastAsia"/>
                <w:highlight w:val="none"/>
              </w:rPr>
              <w:t>30</w:t>
            </w:r>
          </w:p>
        </w:tc>
        <w:tc>
          <w:tcPr>
            <w:tcW w:w="1141" w:type="dxa"/>
            <w:tcBorders>
              <w:top w:val="single" w:color="000000" w:sz="4" w:space="0"/>
              <w:left w:val="nil"/>
              <w:bottom w:val="single" w:color="000000" w:sz="4" w:space="0"/>
              <w:right w:val="single" w:color="000000" w:sz="4" w:space="0"/>
            </w:tcBorders>
            <w:noWrap w:val="0"/>
            <w:vAlign w:val="center"/>
          </w:tcPr>
          <w:p w14:paraId="6073E7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225" w:type="dxa"/>
            <w:tcBorders>
              <w:top w:val="single" w:color="000000" w:sz="4" w:space="0"/>
              <w:left w:val="nil"/>
              <w:bottom w:val="single" w:color="000000" w:sz="4" w:space="0"/>
              <w:right w:val="single" w:color="000000" w:sz="4" w:space="0"/>
            </w:tcBorders>
            <w:noWrap w:val="0"/>
            <w:vAlign w:val="center"/>
          </w:tcPr>
          <w:p w14:paraId="0CD573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大坪</w:t>
            </w:r>
          </w:p>
        </w:tc>
      </w:tr>
      <w:tr w14:paraId="5BD8B26B">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76DBCB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553" w:type="dxa"/>
            <w:tcBorders>
              <w:top w:val="single" w:color="000000" w:sz="4" w:space="0"/>
              <w:left w:val="nil"/>
              <w:bottom w:val="single" w:color="000000" w:sz="4" w:space="0"/>
              <w:right w:val="single" w:color="000000" w:sz="4" w:space="0"/>
            </w:tcBorders>
            <w:noWrap w:val="0"/>
            <w:vAlign w:val="center"/>
          </w:tcPr>
          <w:p w14:paraId="2E86DC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梅岭</w:t>
            </w:r>
          </w:p>
        </w:tc>
        <w:tc>
          <w:tcPr>
            <w:tcW w:w="3195" w:type="dxa"/>
            <w:tcBorders>
              <w:top w:val="single" w:color="000000" w:sz="4" w:space="0"/>
              <w:left w:val="nil"/>
              <w:bottom w:val="single" w:color="000000" w:sz="4" w:space="0"/>
              <w:right w:val="single" w:color="000000" w:sz="4" w:space="0"/>
            </w:tcBorders>
            <w:noWrap w:val="0"/>
            <w:vAlign w:val="center"/>
          </w:tcPr>
          <w:p w14:paraId="52E240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6：50、9：30、 13：30</w:t>
            </w:r>
          </w:p>
        </w:tc>
        <w:tc>
          <w:tcPr>
            <w:tcW w:w="1141" w:type="dxa"/>
            <w:tcBorders>
              <w:top w:val="single" w:color="000000" w:sz="4" w:space="0"/>
              <w:left w:val="nil"/>
              <w:bottom w:val="single" w:color="000000" w:sz="4" w:space="0"/>
              <w:right w:val="single" w:color="000000" w:sz="4" w:space="0"/>
            </w:tcBorders>
            <w:noWrap w:val="0"/>
            <w:vAlign w:val="center"/>
          </w:tcPr>
          <w:p w14:paraId="3BB597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225" w:type="dxa"/>
            <w:tcBorders>
              <w:top w:val="single" w:color="000000" w:sz="4" w:space="0"/>
              <w:left w:val="nil"/>
              <w:bottom w:val="single" w:color="000000" w:sz="4" w:space="0"/>
              <w:right w:val="single" w:color="000000" w:sz="4" w:space="0"/>
            </w:tcBorders>
            <w:noWrap w:val="0"/>
            <w:vAlign w:val="center"/>
          </w:tcPr>
          <w:p w14:paraId="6F7464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梅岭</w:t>
            </w:r>
          </w:p>
        </w:tc>
      </w:tr>
      <w:tr w14:paraId="62C32EF4">
        <w:tblPrEx>
          <w:tblCellMar>
            <w:top w:w="15" w:type="dxa"/>
            <w:left w:w="15" w:type="dxa"/>
            <w:bottom w:w="15" w:type="dxa"/>
            <w:right w:w="15" w:type="dxa"/>
          </w:tblCellMar>
        </w:tblPrEx>
        <w:trPr>
          <w:trHeight w:val="600" w:hRule="atLeast"/>
          <w:jc w:val="center"/>
        </w:trPr>
        <w:tc>
          <w:tcPr>
            <w:tcW w:w="1222" w:type="dxa"/>
            <w:tcBorders>
              <w:top w:val="single" w:color="000000" w:sz="4" w:space="0"/>
              <w:left w:val="single" w:color="000000" w:sz="4" w:space="0"/>
              <w:bottom w:val="single" w:color="000000" w:sz="4" w:space="0"/>
              <w:right w:val="single" w:color="000000" w:sz="4" w:space="0"/>
            </w:tcBorders>
            <w:noWrap w:val="0"/>
            <w:vAlign w:val="center"/>
          </w:tcPr>
          <w:p w14:paraId="0A34E3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1553" w:type="dxa"/>
            <w:tcBorders>
              <w:top w:val="single" w:color="000000" w:sz="4" w:space="0"/>
              <w:left w:val="nil"/>
              <w:bottom w:val="single" w:color="000000" w:sz="4" w:space="0"/>
              <w:right w:val="single" w:color="000000" w:sz="4" w:space="0"/>
            </w:tcBorders>
            <w:noWrap w:val="0"/>
            <w:vAlign w:val="center"/>
          </w:tcPr>
          <w:p w14:paraId="49BAFC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赤石</w:t>
            </w:r>
          </w:p>
        </w:tc>
        <w:tc>
          <w:tcPr>
            <w:tcW w:w="3195" w:type="dxa"/>
            <w:tcBorders>
              <w:top w:val="single" w:color="000000" w:sz="4" w:space="0"/>
              <w:left w:val="nil"/>
              <w:bottom w:val="single" w:color="000000" w:sz="4" w:space="0"/>
              <w:right w:val="single" w:color="000000" w:sz="4" w:space="0"/>
            </w:tcBorders>
            <w:noWrap w:val="0"/>
            <w:vAlign w:val="center"/>
          </w:tcPr>
          <w:p w14:paraId="74CF93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上午6.00至下午17.00，约每40分钟一趟</w:t>
            </w:r>
          </w:p>
        </w:tc>
        <w:tc>
          <w:tcPr>
            <w:tcW w:w="1141" w:type="dxa"/>
            <w:tcBorders>
              <w:top w:val="single" w:color="000000" w:sz="4" w:space="0"/>
              <w:left w:val="nil"/>
              <w:bottom w:val="single" w:color="000000" w:sz="4" w:space="0"/>
              <w:right w:val="single" w:color="000000" w:sz="4" w:space="0"/>
            </w:tcBorders>
            <w:noWrap w:val="0"/>
            <w:vAlign w:val="center"/>
          </w:tcPr>
          <w:p w14:paraId="069AB1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1225" w:type="dxa"/>
            <w:tcBorders>
              <w:top w:val="single" w:color="000000" w:sz="4" w:space="0"/>
              <w:left w:val="nil"/>
              <w:bottom w:val="single" w:color="000000" w:sz="4" w:space="0"/>
              <w:right w:val="single" w:color="000000" w:sz="4" w:space="0"/>
            </w:tcBorders>
            <w:noWrap w:val="0"/>
            <w:vAlign w:val="center"/>
          </w:tcPr>
          <w:p w14:paraId="071158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赤石</w:t>
            </w:r>
          </w:p>
        </w:tc>
      </w:tr>
    </w:tbl>
    <w:p w14:paraId="6AEEA18B">
      <w:pPr>
        <w:bidi w:val="0"/>
        <w:jc w:val="center"/>
        <w:rPr>
          <w:rFonts w:hint="eastAsia"/>
          <w:highlight w:val="none"/>
        </w:rPr>
      </w:pPr>
      <w:r>
        <w:rPr>
          <w:rFonts w:hint="eastAsia"/>
          <w:highlight w:val="none"/>
        </w:rPr>
        <w:t>南雄市省际班线发班时间表</w:t>
      </w:r>
    </w:p>
    <w:p w14:paraId="75493ABD">
      <w:pPr>
        <w:bidi w:val="0"/>
        <w:rPr>
          <w:rFonts w:hint="eastAsia"/>
          <w:highlight w:val="none"/>
        </w:rPr>
      </w:pPr>
      <w:r>
        <w:rPr>
          <w:rFonts w:hint="eastAsia"/>
          <w:highlight w:val="none"/>
        </w:rPr>
        <w:t>表21</w:t>
      </w:r>
    </w:p>
    <w:tbl>
      <w:tblPr>
        <w:tblStyle w:val="7"/>
        <w:tblW w:w="8336" w:type="dxa"/>
        <w:tblInd w:w="93" w:type="dxa"/>
        <w:tblLayout w:type="fixed"/>
        <w:tblCellMar>
          <w:top w:w="15" w:type="dxa"/>
          <w:left w:w="15" w:type="dxa"/>
          <w:bottom w:w="15" w:type="dxa"/>
          <w:right w:w="15" w:type="dxa"/>
        </w:tblCellMar>
      </w:tblPr>
      <w:tblGrid>
        <w:gridCol w:w="952"/>
        <w:gridCol w:w="1307"/>
        <w:gridCol w:w="2038"/>
        <w:gridCol w:w="1937"/>
        <w:gridCol w:w="2102"/>
      </w:tblGrid>
      <w:tr w14:paraId="433B6CC6">
        <w:tblPrEx>
          <w:tblCellMar>
            <w:top w:w="15" w:type="dxa"/>
            <w:left w:w="15" w:type="dxa"/>
            <w:bottom w:w="15" w:type="dxa"/>
            <w:right w:w="15" w:type="dxa"/>
          </w:tblCellMar>
        </w:tblPrEx>
        <w:trPr>
          <w:trHeight w:val="525" w:hRule="atLeast"/>
        </w:trPr>
        <w:tc>
          <w:tcPr>
            <w:tcW w:w="952" w:type="dxa"/>
            <w:tcBorders>
              <w:top w:val="single" w:color="000000" w:sz="4" w:space="0"/>
              <w:left w:val="single" w:color="000000" w:sz="4" w:space="0"/>
              <w:bottom w:val="single" w:color="000000" w:sz="4" w:space="0"/>
              <w:right w:val="single" w:color="000000" w:sz="4" w:space="0"/>
            </w:tcBorders>
            <w:noWrap w:val="0"/>
            <w:vAlign w:val="bottom"/>
          </w:tcPr>
          <w:p w14:paraId="2C9686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序号</w:t>
            </w:r>
          </w:p>
        </w:tc>
        <w:tc>
          <w:tcPr>
            <w:tcW w:w="1307" w:type="dxa"/>
            <w:tcBorders>
              <w:top w:val="single" w:color="000000" w:sz="4" w:space="0"/>
              <w:left w:val="nil"/>
              <w:bottom w:val="single" w:color="000000" w:sz="4" w:space="0"/>
              <w:right w:val="single" w:color="000000" w:sz="4" w:space="0"/>
            </w:tcBorders>
            <w:noWrap w:val="0"/>
            <w:vAlign w:val="bottom"/>
          </w:tcPr>
          <w:p w14:paraId="2D8D62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线路名称</w:t>
            </w:r>
          </w:p>
        </w:tc>
        <w:tc>
          <w:tcPr>
            <w:tcW w:w="2038" w:type="dxa"/>
            <w:tcBorders>
              <w:top w:val="single" w:color="000000" w:sz="4" w:space="0"/>
              <w:left w:val="nil"/>
              <w:bottom w:val="single" w:color="000000" w:sz="4" w:space="0"/>
              <w:right w:val="single" w:color="000000" w:sz="4" w:space="0"/>
            </w:tcBorders>
            <w:noWrap w:val="0"/>
            <w:vAlign w:val="bottom"/>
          </w:tcPr>
          <w:p w14:paraId="113188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市内发车时间</w:t>
            </w:r>
          </w:p>
        </w:tc>
        <w:tc>
          <w:tcPr>
            <w:tcW w:w="1937" w:type="dxa"/>
            <w:tcBorders>
              <w:top w:val="single" w:color="000000" w:sz="4" w:space="0"/>
              <w:left w:val="nil"/>
              <w:right w:val="single" w:color="000000" w:sz="4" w:space="0"/>
            </w:tcBorders>
            <w:noWrap w:val="0"/>
            <w:vAlign w:val="bottom"/>
          </w:tcPr>
          <w:p w14:paraId="6B17C1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日发班次</w:t>
            </w:r>
          </w:p>
        </w:tc>
        <w:tc>
          <w:tcPr>
            <w:tcW w:w="2102" w:type="dxa"/>
            <w:tcBorders>
              <w:top w:val="single" w:color="000000" w:sz="4" w:space="0"/>
              <w:left w:val="nil"/>
              <w:right w:val="single" w:color="000000" w:sz="4" w:space="0"/>
            </w:tcBorders>
            <w:noWrap w:val="0"/>
            <w:vAlign w:val="bottom"/>
          </w:tcPr>
          <w:p w14:paraId="64D21E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终点站</w:t>
            </w:r>
          </w:p>
        </w:tc>
      </w:tr>
      <w:tr w14:paraId="0678A35D">
        <w:tblPrEx>
          <w:tblCellMar>
            <w:top w:w="15" w:type="dxa"/>
            <w:left w:w="15" w:type="dxa"/>
            <w:bottom w:w="15" w:type="dxa"/>
            <w:right w:w="15" w:type="dxa"/>
          </w:tblCellMar>
        </w:tblPrEx>
        <w:trPr>
          <w:trHeight w:val="600" w:hRule="atLeast"/>
        </w:trPr>
        <w:tc>
          <w:tcPr>
            <w:tcW w:w="952" w:type="dxa"/>
            <w:tcBorders>
              <w:top w:val="single" w:color="000000" w:sz="4" w:space="0"/>
              <w:left w:val="single" w:color="000000" w:sz="4" w:space="0"/>
              <w:bottom w:val="single" w:color="000000" w:sz="4" w:space="0"/>
              <w:right w:val="single" w:color="000000" w:sz="4" w:space="0"/>
            </w:tcBorders>
            <w:noWrap w:val="0"/>
            <w:vAlign w:val="bottom"/>
          </w:tcPr>
          <w:p w14:paraId="765FD2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307" w:type="dxa"/>
            <w:tcBorders>
              <w:top w:val="single" w:color="000000" w:sz="4" w:space="0"/>
              <w:left w:val="nil"/>
              <w:bottom w:val="single" w:color="000000" w:sz="4" w:space="0"/>
              <w:right w:val="single" w:color="000000" w:sz="4" w:space="0"/>
            </w:tcBorders>
            <w:noWrap w:val="0"/>
            <w:vAlign w:val="bottom"/>
          </w:tcPr>
          <w:p w14:paraId="2B1F08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南雄--大余</w:t>
            </w:r>
          </w:p>
        </w:tc>
        <w:tc>
          <w:tcPr>
            <w:tcW w:w="2038" w:type="dxa"/>
            <w:tcBorders>
              <w:top w:val="single" w:color="000000" w:sz="4" w:space="0"/>
              <w:left w:val="nil"/>
              <w:bottom w:val="single" w:color="000000" w:sz="4" w:space="0"/>
            </w:tcBorders>
            <w:noWrap w:val="0"/>
            <w:vAlign w:val="bottom"/>
          </w:tcPr>
          <w:p w14:paraId="030CA6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早上6</w:t>
            </w:r>
            <w:r>
              <w:rPr>
                <w:rFonts w:hint="eastAsia"/>
                <w:highlight w:val="none"/>
                <w:lang w:eastAsia="zh-CN"/>
              </w:rPr>
              <w:t>：</w:t>
            </w:r>
            <w:r>
              <w:rPr>
                <w:rFonts w:hint="eastAsia"/>
                <w:highlight w:val="none"/>
              </w:rPr>
              <w:t>30--下午17</w:t>
            </w:r>
            <w:r>
              <w:rPr>
                <w:rFonts w:hint="eastAsia"/>
                <w:highlight w:val="none"/>
                <w:lang w:eastAsia="zh-CN"/>
              </w:rPr>
              <w:t>：</w:t>
            </w:r>
            <w:r>
              <w:rPr>
                <w:rFonts w:hint="eastAsia"/>
                <w:highlight w:val="none"/>
              </w:rPr>
              <w:t>30</w:t>
            </w:r>
          </w:p>
        </w:tc>
        <w:tc>
          <w:tcPr>
            <w:tcW w:w="1937" w:type="dxa"/>
            <w:tcBorders>
              <w:top w:val="single" w:color="000000" w:sz="4" w:space="0"/>
              <w:left w:val="single" w:color="000000" w:sz="4" w:space="0"/>
              <w:bottom w:val="single" w:color="000000" w:sz="4" w:space="0"/>
              <w:right w:val="single" w:color="000000" w:sz="4" w:space="0"/>
            </w:tcBorders>
            <w:noWrap w:val="0"/>
            <w:vAlign w:val="bottom"/>
          </w:tcPr>
          <w:p w14:paraId="201AF0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w:t>
            </w:r>
          </w:p>
        </w:tc>
        <w:tc>
          <w:tcPr>
            <w:tcW w:w="2102" w:type="dxa"/>
            <w:tcBorders>
              <w:top w:val="single" w:color="000000" w:sz="4" w:space="0"/>
              <w:left w:val="nil"/>
              <w:bottom w:val="single" w:color="000000" w:sz="4" w:space="0"/>
              <w:right w:val="single" w:color="000000" w:sz="4" w:space="0"/>
            </w:tcBorders>
            <w:noWrap w:val="0"/>
            <w:vAlign w:val="bottom"/>
          </w:tcPr>
          <w:p w14:paraId="36DAE3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大余客运站</w:t>
            </w:r>
          </w:p>
        </w:tc>
      </w:tr>
      <w:tr w14:paraId="58E5F562">
        <w:tblPrEx>
          <w:tblCellMar>
            <w:top w:w="15" w:type="dxa"/>
            <w:left w:w="15" w:type="dxa"/>
            <w:bottom w:w="15" w:type="dxa"/>
            <w:right w:w="15" w:type="dxa"/>
          </w:tblCellMar>
        </w:tblPrEx>
        <w:trPr>
          <w:trHeight w:val="600" w:hRule="atLeast"/>
        </w:trPr>
        <w:tc>
          <w:tcPr>
            <w:tcW w:w="952" w:type="dxa"/>
            <w:tcBorders>
              <w:top w:val="single" w:color="000000" w:sz="4" w:space="0"/>
              <w:left w:val="single" w:color="000000" w:sz="4" w:space="0"/>
              <w:bottom w:val="single" w:color="000000" w:sz="4" w:space="0"/>
              <w:right w:val="single" w:color="000000" w:sz="4" w:space="0"/>
            </w:tcBorders>
            <w:noWrap w:val="0"/>
            <w:vAlign w:val="bottom"/>
          </w:tcPr>
          <w:p w14:paraId="3DDCF3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1307" w:type="dxa"/>
            <w:tcBorders>
              <w:top w:val="single" w:color="000000" w:sz="4" w:space="0"/>
              <w:left w:val="nil"/>
              <w:bottom w:val="single" w:color="000000" w:sz="4" w:space="0"/>
              <w:right w:val="single" w:color="000000" w:sz="4" w:space="0"/>
            </w:tcBorders>
            <w:noWrap w:val="0"/>
            <w:vAlign w:val="bottom"/>
          </w:tcPr>
          <w:p w14:paraId="5F8AF3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南雄--陂头</w:t>
            </w:r>
          </w:p>
        </w:tc>
        <w:tc>
          <w:tcPr>
            <w:tcW w:w="2038" w:type="dxa"/>
            <w:tcBorders>
              <w:top w:val="single" w:color="000000" w:sz="4" w:space="0"/>
              <w:left w:val="nil"/>
              <w:bottom w:val="single" w:color="000000" w:sz="4" w:space="0"/>
            </w:tcBorders>
            <w:noWrap w:val="0"/>
            <w:vAlign w:val="bottom"/>
          </w:tcPr>
          <w:p w14:paraId="5DA0A6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早上7</w:t>
            </w:r>
            <w:r>
              <w:rPr>
                <w:rFonts w:hint="eastAsia"/>
                <w:highlight w:val="none"/>
                <w:lang w:eastAsia="zh-CN"/>
              </w:rPr>
              <w:t>：</w:t>
            </w:r>
            <w:r>
              <w:rPr>
                <w:rFonts w:hint="eastAsia"/>
                <w:highlight w:val="none"/>
              </w:rPr>
              <w:t>45、下午 14</w:t>
            </w:r>
            <w:r>
              <w:rPr>
                <w:rFonts w:hint="eastAsia"/>
                <w:highlight w:val="none"/>
                <w:lang w:eastAsia="zh-CN"/>
              </w:rPr>
              <w:t>：</w:t>
            </w:r>
            <w:r>
              <w:rPr>
                <w:rFonts w:hint="eastAsia"/>
                <w:highlight w:val="none"/>
              </w:rPr>
              <w:t>30</w:t>
            </w:r>
          </w:p>
        </w:tc>
        <w:tc>
          <w:tcPr>
            <w:tcW w:w="1937" w:type="dxa"/>
            <w:tcBorders>
              <w:top w:val="single" w:color="000000" w:sz="4" w:space="0"/>
              <w:left w:val="single" w:color="000000" w:sz="4" w:space="0"/>
              <w:bottom w:val="single" w:color="000000" w:sz="4" w:space="0"/>
              <w:right w:val="single" w:color="000000" w:sz="4" w:space="0"/>
            </w:tcBorders>
            <w:noWrap w:val="0"/>
            <w:vAlign w:val="bottom"/>
          </w:tcPr>
          <w:p w14:paraId="1DFEA1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2102" w:type="dxa"/>
            <w:tcBorders>
              <w:top w:val="single" w:color="000000" w:sz="4" w:space="0"/>
              <w:left w:val="nil"/>
              <w:bottom w:val="single" w:color="000000" w:sz="4" w:space="0"/>
              <w:right w:val="single" w:color="000000" w:sz="4" w:space="0"/>
            </w:tcBorders>
            <w:noWrap w:val="0"/>
            <w:vAlign w:val="bottom"/>
          </w:tcPr>
          <w:p w14:paraId="1CEC13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全南陂头客运站</w:t>
            </w:r>
          </w:p>
        </w:tc>
      </w:tr>
    </w:tbl>
    <w:p w14:paraId="01FB91A8">
      <w:pPr>
        <w:pStyle w:val="3"/>
        <w:bidi w:val="0"/>
        <w:rPr>
          <w:rFonts w:hint="eastAsia"/>
          <w:highlight w:val="none"/>
        </w:rPr>
      </w:pPr>
      <w:r>
        <w:rPr>
          <w:rFonts w:hint="eastAsia"/>
          <w:highlight w:val="none"/>
        </w:rPr>
        <w:t>邮政</w:t>
      </w:r>
    </w:p>
    <w:p w14:paraId="7720742A">
      <w:pPr>
        <w:pStyle w:val="4"/>
        <w:bidi w:val="0"/>
        <w:rPr>
          <w:rFonts w:hint="eastAsia"/>
          <w:highlight w:val="none"/>
        </w:rPr>
      </w:pPr>
      <w:r>
        <w:rPr>
          <w:rFonts w:hint="eastAsia"/>
          <w:highlight w:val="none"/>
        </w:rPr>
        <w:t>【概况】</w:t>
      </w:r>
    </w:p>
    <w:p w14:paraId="1AD6C792">
      <w:pPr>
        <w:rPr>
          <w:rFonts w:hint="eastAsia" w:hAnsi="宋体" w:cs="宋体"/>
          <w:highlight w:val="none"/>
        </w:rPr>
      </w:pPr>
      <w:r>
        <w:rPr>
          <w:rFonts w:hint="eastAsia" w:hAnsi="宋体" w:cs="宋体"/>
          <w:highlight w:val="none"/>
        </w:rPr>
        <w:t>2015年，邮政企业实现收入3551.69万元，完成年计划100.33%，同比增长10.2%；实现收支差1237.03万元，完成年计划100.16%，同比增量184.07万元。其中，代理金融实现收入2910.25万元，完成年计划101.97%，同比增长13.45%。</w:t>
      </w:r>
    </w:p>
    <w:p w14:paraId="2C126353">
      <w:pPr>
        <w:pStyle w:val="4"/>
        <w:bidi w:val="0"/>
        <w:rPr>
          <w:rFonts w:hint="eastAsia"/>
          <w:highlight w:val="none"/>
        </w:rPr>
      </w:pPr>
      <w:r>
        <w:rPr>
          <w:rFonts w:hint="eastAsia"/>
          <w:highlight w:val="none"/>
        </w:rPr>
        <w:t>【管控发展】</w:t>
      </w:r>
    </w:p>
    <w:p w14:paraId="277E8D89">
      <w:pPr>
        <w:rPr>
          <w:rFonts w:hint="eastAsia" w:hAnsi="宋体" w:cs="宋体"/>
          <w:highlight w:val="none"/>
        </w:rPr>
      </w:pPr>
      <w:r>
        <w:rPr>
          <w:rFonts w:hint="eastAsia" w:hAnsi="宋体" w:cs="宋体"/>
          <w:highlight w:val="none"/>
        </w:rPr>
        <w:t>推进金融银行化管控。全市开展关键指标学习培训，落实省、市公司关键指标管控体系，建立部室、网点挂钩帮扶机制，挂点领导干部每周至少在网点督导帮扶2天，与网点人员“同吃同住同走访”。</w:t>
      </w:r>
    </w:p>
    <w:p w14:paraId="5E3B2F07">
      <w:pPr>
        <w:rPr>
          <w:rFonts w:hint="eastAsia" w:hAnsi="宋体" w:cs="宋体"/>
          <w:highlight w:val="none"/>
        </w:rPr>
      </w:pPr>
      <w:r>
        <w:rPr>
          <w:rFonts w:hint="eastAsia" w:hAnsi="宋体" w:cs="宋体"/>
          <w:highlight w:val="none"/>
        </w:rPr>
        <w:t>推进邮务市场化管控。动态管控全年经营预算。年中根据实际经营情况调整邮务经营预算。实施季度市场经营指标考核，使重点业务、重点项目得到落实。面向市场化创新营销队伍培训模式，与本地优秀名企展开交流，营销团队视野和业务思维得到开拓。</w:t>
      </w:r>
    </w:p>
    <w:p w14:paraId="61F1BAFA">
      <w:pPr>
        <w:rPr>
          <w:rFonts w:hint="eastAsia" w:hAnsi="宋体" w:cs="宋体"/>
          <w:highlight w:val="none"/>
        </w:rPr>
      </w:pPr>
      <w:r>
        <w:rPr>
          <w:rFonts w:hint="eastAsia" w:hAnsi="宋体" w:cs="宋体"/>
          <w:highlight w:val="none"/>
        </w:rPr>
        <w:t>推进财务管控转型。推进预算管控转型，强化投入产出配比关系，加强收支预算过程管控，推进资产投资评估管理，促进提升投资项目收益。完善财务标杆监控管理，建立健全财务标杆体系，重点进行管理成本对标管理，并启动全网全环节结算和普遍服务成本核算，完善资金预算制度，强化现金流入和占用的过程管控，欠费、库存规模实现持续下降。加强合规经营检查和税务管理。</w:t>
      </w:r>
    </w:p>
    <w:p w14:paraId="7592323E">
      <w:pPr>
        <w:rPr>
          <w:rFonts w:hint="eastAsia" w:hAnsi="宋体" w:cs="宋体"/>
          <w:highlight w:val="none"/>
        </w:rPr>
      </w:pPr>
      <w:r>
        <w:rPr>
          <w:rFonts w:hint="eastAsia" w:hAnsi="宋体" w:cs="宋体"/>
          <w:highlight w:val="none"/>
        </w:rPr>
        <w:t>推进人力管控转型。建立人力资源效能监控指标体系，强化过程管控。组织开展人力资源专项检查工作，先后开展劳动用工管理、人力资源基础管理等专项检查工作，针对检查过程中发现的问题，认真落实整改。重点做好人力资源系统基础数据分类维护工作，及时、准确做好数据维护，确保基础数据的完整性与准确性。</w:t>
      </w:r>
    </w:p>
    <w:p w14:paraId="5C701F08">
      <w:pPr>
        <w:rPr>
          <w:rFonts w:hint="eastAsia" w:hAnsi="宋体" w:cs="宋体"/>
          <w:highlight w:val="none"/>
        </w:rPr>
      </w:pPr>
      <w:r>
        <w:rPr>
          <w:rFonts w:hint="eastAsia" w:hAnsi="宋体" w:cs="宋体"/>
          <w:highlight w:val="none"/>
        </w:rPr>
        <w:t>推进南雄电子商务进农村综合示范市项目建设。发挥“仓储+寄递+供应链金融”三位一体的优势，抓好寄递产业链上端建设，向电商市场要增量，通过建设电商仓储物流中心，培育壮大邮政电商客户群，吸引商家入驻；通过产业链形成合力共同发展南雄电子商务，带动寄递业务发展。通过在农村建设电子商务服务站，帮助农民在网上销售农副产品。</w:t>
      </w:r>
    </w:p>
    <w:p w14:paraId="6D276E40">
      <w:pPr>
        <w:rPr>
          <w:rFonts w:hint="eastAsia" w:hAnsi="宋体" w:cs="宋体"/>
          <w:highlight w:val="none"/>
        </w:rPr>
      </w:pPr>
      <w:r>
        <w:rPr>
          <w:rFonts w:hint="eastAsia" w:hAnsi="宋体" w:cs="宋体"/>
          <w:highlight w:val="none"/>
        </w:rPr>
        <w:t>建设“南雄市旅游休闲、姓氏文化、农家乐项目策划服务推广”工作，发挥邮政服务政府能力。建设以“旅游局+联谊会+邮政局”为框架的服务部门，免费帮助那些旅游休闲业、姓氏文化、农家乐三大项目设计、支撑、策划各大活动，全力支撑南雄旅游业发展。</w:t>
      </w:r>
    </w:p>
    <w:p w14:paraId="4445488F">
      <w:pPr>
        <w:rPr>
          <w:rFonts w:hint="eastAsia" w:hAnsi="宋体" w:cs="宋体"/>
          <w:highlight w:val="none"/>
        </w:rPr>
      </w:pPr>
      <w:r>
        <w:rPr>
          <w:rFonts w:hint="eastAsia" w:hAnsi="宋体" w:cs="宋体"/>
          <w:highlight w:val="none"/>
        </w:rPr>
        <w:t>提升代理金融渠道服务能力。风险内控方面，加大相关专项检查活动。渠道服务方面，推进增网优网，抓好网点整治工作，完成乌迳营业厅整治项目。布局农村基础金融服务，加大助农取款点布点力度，不断提升邮政金融服务能力和延伸邮政金融服务触手。</w:t>
      </w:r>
    </w:p>
    <w:p w14:paraId="475F01A0">
      <w:pPr>
        <w:rPr>
          <w:rFonts w:hint="eastAsia" w:hAnsi="宋体" w:eastAsia="宋体" w:cs="宋体"/>
          <w:highlight w:val="none"/>
          <w:lang w:eastAsia="zh-CN"/>
        </w:rPr>
      </w:pPr>
      <w:r>
        <w:rPr>
          <w:rFonts w:hint="eastAsia" w:hAnsi="宋体" w:cs="宋体"/>
          <w:highlight w:val="none"/>
        </w:rPr>
        <w:t>重视专业素质能力提升。强化银行从业资格考试考前培训，制订考核管理办法，大大提升银从持证率。同时抓好基层员工普遍学习、职业化学习，抓好支局长、网点主任、金融从业人员、合规经理持证学习。</w:t>
      </w:r>
    </w:p>
    <w:p w14:paraId="2A6D05E7">
      <w:pPr>
        <w:pStyle w:val="4"/>
        <w:bidi w:val="0"/>
        <w:rPr>
          <w:rFonts w:hint="eastAsia"/>
          <w:highlight w:val="none"/>
        </w:rPr>
      </w:pPr>
      <w:r>
        <w:rPr>
          <w:rFonts w:hint="eastAsia"/>
          <w:highlight w:val="none"/>
        </w:rPr>
        <w:t>【深入推进和谐企业建设】</w:t>
      </w:r>
    </w:p>
    <w:p w14:paraId="1BEE9498">
      <w:pPr>
        <w:rPr>
          <w:rFonts w:hint="eastAsia" w:hAnsi="宋体" w:cs="宋体"/>
          <w:highlight w:val="none"/>
        </w:rPr>
      </w:pPr>
      <w:r>
        <w:rPr>
          <w:rFonts w:hint="eastAsia" w:hAnsi="宋体" w:cs="宋体"/>
          <w:highlight w:val="none"/>
        </w:rPr>
        <w:t>开展“两学一做”专题活动。开展“两学一做”</w:t>
      </w:r>
      <w:r>
        <w:rPr>
          <w:rFonts w:hint="eastAsia" w:cs="宋体"/>
          <w:highlight w:val="none"/>
          <w:lang w:val="en-US" w:eastAsia="zh-CN"/>
        </w:rPr>
        <w:t>学习</w:t>
      </w:r>
      <w:r>
        <w:rPr>
          <w:rFonts w:hint="eastAsia" w:hAnsi="宋体" w:cs="宋体"/>
          <w:highlight w:val="none"/>
        </w:rPr>
        <w:t>教育</w:t>
      </w:r>
      <w:r>
        <w:rPr>
          <w:rFonts w:hint="eastAsia" w:hAnsi="宋体" w:cs="宋体"/>
          <w:highlight w:val="none"/>
          <w:lang w:eastAsia="zh-CN"/>
        </w:rPr>
        <w:t>，</w:t>
      </w:r>
      <w:r>
        <w:rPr>
          <w:rFonts w:hint="eastAsia" w:hAnsi="宋体" w:cs="宋体"/>
          <w:highlight w:val="none"/>
        </w:rPr>
        <w:t>全市邮政党员领导干部认真学习“两学一做”的丰富内涵和重要意义，切实把思想和行动统一到党中央和习</w:t>
      </w:r>
      <w:r>
        <w:rPr>
          <w:rFonts w:hint="eastAsia" w:cs="宋体"/>
          <w:highlight w:val="none"/>
          <w:lang w:val="en-US" w:eastAsia="zh-CN"/>
        </w:rPr>
        <w:t>近平</w:t>
      </w:r>
      <w:r>
        <w:rPr>
          <w:rFonts w:hint="eastAsia" w:hAnsi="宋体" w:cs="宋体"/>
          <w:highlight w:val="none"/>
        </w:rPr>
        <w:t>总书记对从严治党的要求上来。</w:t>
      </w:r>
    </w:p>
    <w:p w14:paraId="516A0D31">
      <w:pPr>
        <w:rPr>
          <w:rFonts w:hint="eastAsia" w:hAnsi="宋体" w:cs="宋体"/>
          <w:highlight w:val="none"/>
        </w:rPr>
      </w:pPr>
      <w:r>
        <w:rPr>
          <w:rFonts w:hint="eastAsia" w:hAnsi="宋体" w:cs="宋体"/>
          <w:highlight w:val="none"/>
        </w:rPr>
        <w:t>构建企业文化体系，把“推进企业文化内化工作”作为“韶关邮政2015年度十大举措”内容之一，公司按照统一企业核心理念，推动企业文化建设与生产经营工作的深度融合，推动企业管理水平的提升。</w:t>
      </w:r>
    </w:p>
    <w:p w14:paraId="4E681C77">
      <w:pPr>
        <w:rPr>
          <w:rFonts w:hint="eastAsia" w:hAnsi="宋体" w:cs="宋体"/>
          <w:highlight w:val="none"/>
        </w:rPr>
      </w:pPr>
      <w:r>
        <w:rPr>
          <w:rFonts w:hint="eastAsia" w:hAnsi="宋体" w:cs="宋体"/>
          <w:highlight w:val="none"/>
        </w:rPr>
        <w:t>推进各项为民服务在2015年各项为民服务中，公司获得2015年“人民代表满意单位”称号。（马青华）</w:t>
      </w:r>
    </w:p>
    <w:p w14:paraId="34E60717">
      <w:pPr>
        <w:rPr>
          <w:rFonts w:hint="eastAsia" w:hAnsi="宋体" w:eastAsia="宋体" w:cs="宋体"/>
          <w:highlight w:val="none"/>
          <w:lang w:eastAsia="zh-CN"/>
        </w:rPr>
      </w:pPr>
      <w:r>
        <w:rPr>
          <w:rFonts w:hint="eastAsia" w:hAnsi="宋体" w:cs="宋体"/>
          <w:highlight w:val="none"/>
        </w:rPr>
        <w:t>附：2015年市邮政分公司领导班子成员名单</w:t>
      </w:r>
    </w:p>
    <w:p w14:paraId="09480B15">
      <w:pPr>
        <w:rPr>
          <w:rFonts w:hint="eastAsia" w:hAnsi="宋体" w:eastAsia="宋体" w:cs="宋体"/>
          <w:highlight w:val="none"/>
          <w:lang w:eastAsia="zh-CN"/>
        </w:rPr>
      </w:pPr>
      <w:r>
        <w:rPr>
          <w:rFonts w:hint="eastAsia" w:hAnsi="宋体" w:cs="宋体"/>
          <w:highlight w:val="none"/>
        </w:rPr>
        <w:t>总经理：罗顺林</w:t>
      </w:r>
    </w:p>
    <w:p w14:paraId="156DB56A">
      <w:pPr>
        <w:rPr>
          <w:rFonts w:hint="eastAsia" w:hAnsi="宋体" w:eastAsia="宋体" w:cs="宋体"/>
          <w:highlight w:val="none"/>
          <w:lang w:eastAsia="zh-CN"/>
        </w:rPr>
      </w:pPr>
      <w:r>
        <w:rPr>
          <w:rFonts w:hint="eastAsia" w:hAnsi="宋体" w:cs="宋体"/>
          <w:highlight w:val="none"/>
        </w:rPr>
        <w:t>副总经理：邓蔚红</w:t>
      </w:r>
    </w:p>
    <w:p w14:paraId="61533D66">
      <w:pPr>
        <w:rPr>
          <w:rFonts w:hint="eastAsia" w:hAnsi="宋体" w:eastAsia="宋体" w:cs="宋体"/>
          <w:highlight w:val="none"/>
          <w:lang w:eastAsia="zh-CN"/>
        </w:rPr>
      </w:pPr>
      <w:r>
        <w:rPr>
          <w:rFonts w:hint="eastAsia" w:hAnsi="宋体" w:cs="宋体"/>
          <w:highlight w:val="none"/>
        </w:rPr>
        <w:t>速递物流南雄分公司经理：廖柏松</w:t>
      </w:r>
    </w:p>
    <w:p w14:paraId="6166B35F">
      <w:pPr>
        <w:rPr>
          <w:rFonts w:hint="eastAsia" w:hAnsi="宋体" w:eastAsia="宋体" w:cs="宋体"/>
          <w:highlight w:val="none"/>
          <w:lang w:eastAsia="zh-CN"/>
        </w:rPr>
      </w:pPr>
      <w:r>
        <w:rPr>
          <w:rFonts w:hint="eastAsia" w:hAnsi="宋体" w:cs="宋体"/>
          <w:highlight w:val="none"/>
        </w:rPr>
        <w:t>总经理助理：曾凡兰</w:t>
      </w:r>
    </w:p>
    <w:p w14:paraId="2BF41FFD">
      <w:pPr>
        <w:pStyle w:val="3"/>
        <w:bidi w:val="0"/>
        <w:rPr>
          <w:rFonts w:hint="eastAsia" w:eastAsia="宋体"/>
          <w:highlight w:val="none"/>
          <w:lang w:eastAsia="zh-CN"/>
        </w:rPr>
      </w:pPr>
      <w:r>
        <w:rPr>
          <w:rFonts w:hint="eastAsia"/>
          <w:highlight w:val="none"/>
        </w:rPr>
        <w:t>电信</w:t>
      </w:r>
    </w:p>
    <w:p w14:paraId="15B7C52F">
      <w:pPr>
        <w:pStyle w:val="4"/>
        <w:bidi w:val="0"/>
        <w:rPr>
          <w:rFonts w:hint="eastAsia"/>
          <w:highlight w:val="none"/>
        </w:rPr>
      </w:pPr>
      <w:r>
        <w:rPr>
          <w:rFonts w:hint="eastAsia"/>
          <w:highlight w:val="none"/>
        </w:rPr>
        <w:t>【基本情况】</w:t>
      </w:r>
    </w:p>
    <w:p w14:paraId="5FF0061A">
      <w:pPr>
        <w:rPr>
          <w:rFonts w:hint="eastAsia" w:hAnsi="宋体" w:cs="宋体"/>
          <w:highlight w:val="none"/>
        </w:rPr>
      </w:pPr>
      <w:r>
        <w:rPr>
          <w:rFonts w:hint="eastAsia" w:hAnsi="宋体" w:cs="宋体"/>
          <w:highlight w:val="none"/>
        </w:rPr>
        <w:t>2015年南雄分公司设有综合部、销售部、客响部3个部门，以及政企、城区、珠玑、梅岭、古市、主田、湖口、水口、江头、黄坑、大塘、南亩、邓坊、乌迳、界址、新龙、坪田、澜河、全安、富竹、百顺21个营服中心。</w:t>
      </w:r>
    </w:p>
    <w:p w14:paraId="290AF5DF">
      <w:pPr>
        <w:rPr>
          <w:rFonts w:hint="eastAsia" w:hAnsi="宋体" w:cs="宋体"/>
          <w:highlight w:val="none"/>
        </w:rPr>
      </w:pPr>
      <w:r>
        <w:rPr>
          <w:rFonts w:hint="eastAsia" w:hAnsi="宋体" w:cs="宋体"/>
          <w:highlight w:val="none"/>
        </w:rPr>
        <w:t>2015年南雄分公司有员工138人。</w:t>
      </w:r>
    </w:p>
    <w:p w14:paraId="20956646">
      <w:pPr>
        <w:pStyle w:val="4"/>
        <w:bidi w:val="0"/>
        <w:rPr>
          <w:rFonts w:hint="eastAsia"/>
          <w:highlight w:val="none"/>
        </w:rPr>
      </w:pPr>
      <w:r>
        <w:rPr>
          <w:rFonts w:hint="eastAsia"/>
          <w:highlight w:val="none"/>
        </w:rPr>
        <w:t>【经营概况】</w:t>
      </w:r>
    </w:p>
    <w:p w14:paraId="6E57D6A3">
      <w:pPr>
        <w:rPr>
          <w:rFonts w:hint="eastAsia" w:hAnsi="宋体" w:cs="宋体"/>
          <w:highlight w:val="none"/>
        </w:rPr>
      </w:pPr>
      <w:r>
        <w:rPr>
          <w:rFonts w:hint="eastAsia" w:hAnsi="宋体" w:cs="宋体"/>
          <w:highlight w:val="none"/>
        </w:rPr>
        <w:t>2015年，中国电信南雄分公司助力平安南雄建设项目，大力发展光宽等业务，为南雄信息化和光网城市建设做好各项工作的落实执行</w:t>
      </w:r>
      <w:r>
        <w:rPr>
          <w:rFonts w:hint="eastAsia" w:hAnsi="宋体" w:cs="宋体"/>
          <w:highlight w:val="none"/>
          <w:lang w:eastAsia="zh-CN"/>
        </w:rPr>
        <w:t>，</w:t>
      </w:r>
      <w:r>
        <w:rPr>
          <w:rFonts w:hint="eastAsia" w:hAnsi="宋体" w:cs="宋体"/>
          <w:highlight w:val="none"/>
        </w:rPr>
        <w:t>为开创企业转型发展新局面打下基础。</w:t>
      </w:r>
    </w:p>
    <w:p w14:paraId="3AB56690">
      <w:pPr>
        <w:rPr>
          <w:rFonts w:hint="eastAsia" w:hAnsi="宋体" w:eastAsia="宋体" w:cs="宋体"/>
          <w:highlight w:val="none"/>
          <w:lang w:eastAsia="zh-CN"/>
        </w:rPr>
      </w:pPr>
      <w:r>
        <w:rPr>
          <w:rFonts w:hint="eastAsia" w:hAnsi="宋体" w:cs="宋体"/>
          <w:highlight w:val="none"/>
        </w:rPr>
        <w:t>各项业务快速发展，2015年度生产经营指标5361万元，完成5298.5万元，完成率98.71%。</w:t>
      </w:r>
    </w:p>
    <w:p w14:paraId="365F0663">
      <w:pPr>
        <w:pStyle w:val="4"/>
        <w:bidi w:val="0"/>
        <w:rPr>
          <w:rFonts w:hint="eastAsia"/>
          <w:highlight w:val="none"/>
        </w:rPr>
      </w:pPr>
      <w:r>
        <w:rPr>
          <w:rFonts w:hint="eastAsia"/>
          <w:highlight w:val="none"/>
        </w:rPr>
        <w:t>【精确营销】</w:t>
      </w:r>
    </w:p>
    <w:p w14:paraId="524C0D59">
      <w:pPr>
        <w:rPr>
          <w:rFonts w:hint="eastAsia" w:hAnsi="宋体" w:eastAsia="宋体" w:cs="宋体"/>
          <w:highlight w:val="none"/>
          <w:lang w:eastAsia="zh-CN"/>
        </w:rPr>
      </w:pPr>
      <w:r>
        <w:rPr>
          <w:rFonts w:hint="eastAsia" w:hAnsi="宋体" w:cs="宋体"/>
          <w:highlight w:val="none"/>
        </w:rPr>
        <w:t>实现各项业务快速发展，实现质量效益。细分市场</w:t>
      </w:r>
      <w:r>
        <w:rPr>
          <w:rFonts w:hint="eastAsia" w:hAnsi="宋体" w:cs="宋体"/>
          <w:highlight w:val="none"/>
          <w:lang w:eastAsia="zh-CN"/>
        </w:rPr>
        <w:t>，</w:t>
      </w:r>
      <w:r>
        <w:rPr>
          <w:rFonts w:hint="eastAsia" w:hAnsi="宋体" w:cs="宋体"/>
          <w:highlight w:val="none"/>
        </w:rPr>
        <w:t>精确营销。创新规模发展。坚持加快提速，差异化发展，流量经营和智能化销售，规模发展中高端用户，提升渠道效能。建立科学存量经营体系。</w:t>
      </w:r>
    </w:p>
    <w:p w14:paraId="5F9E554A">
      <w:pPr>
        <w:pStyle w:val="4"/>
        <w:bidi w:val="0"/>
        <w:rPr>
          <w:rFonts w:hint="eastAsia"/>
          <w:highlight w:val="none"/>
        </w:rPr>
      </w:pPr>
      <w:r>
        <w:rPr>
          <w:rFonts w:hint="eastAsia"/>
          <w:highlight w:val="none"/>
        </w:rPr>
        <w:t>【网络保障】</w:t>
      </w:r>
    </w:p>
    <w:p w14:paraId="191268E2">
      <w:pPr>
        <w:rPr>
          <w:rFonts w:hint="eastAsia" w:hAnsi="宋体" w:eastAsia="宋体" w:cs="宋体"/>
          <w:highlight w:val="none"/>
          <w:lang w:eastAsia="zh-CN"/>
        </w:rPr>
      </w:pPr>
      <w:r>
        <w:rPr>
          <w:rFonts w:hint="eastAsia" w:hAnsi="宋体" w:cs="宋体"/>
          <w:highlight w:val="none"/>
        </w:rPr>
        <w:t>完成市政府“重点工程项目—光网城市”建设投资600多万元，投资400多万元，完成近500个监控点电路开通，新建端口1万多个，完成南雄城区及9个乡镇区域光网深度覆盖。</w:t>
      </w:r>
    </w:p>
    <w:p w14:paraId="1E29C702">
      <w:pPr>
        <w:pStyle w:val="4"/>
        <w:bidi w:val="0"/>
        <w:rPr>
          <w:rFonts w:hint="eastAsia"/>
          <w:highlight w:val="none"/>
        </w:rPr>
      </w:pPr>
      <w:r>
        <w:rPr>
          <w:rFonts w:hint="eastAsia"/>
          <w:highlight w:val="none"/>
        </w:rPr>
        <w:t>【综合管控】</w:t>
      </w:r>
    </w:p>
    <w:p w14:paraId="5D4138A7">
      <w:pPr>
        <w:rPr>
          <w:rFonts w:hint="eastAsia" w:hAnsi="宋体" w:eastAsia="宋体" w:cs="宋体"/>
          <w:highlight w:val="none"/>
          <w:lang w:eastAsia="zh-CN"/>
        </w:rPr>
      </w:pPr>
      <w:r>
        <w:rPr>
          <w:rFonts w:hint="eastAsia" w:hAnsi="宋体" w:cs="宋体"/>
          <w:highlight w:val="none"/>
        </w:rPr>
        <w:t>加强党建和反腐倡廉工作，维护企业运营安全；梳理岗位，优化队伍结构；加强员工人文关怀；高度重视安全生产和信息保密。</w:t>
      </w:r>
    </w:p>
    <w:p w14:paraId="3FFC593D">
      <w:pPr>
        <w:pStyle w:val="4"/>
        <w:bidi w:val="0"/>
        <w:rPr>
          <w:rFonts w:hint="eastAsia"/>
          <w:highlight w:val="none"/>
        </w:rPr>
      </w:pPr>
      <w:r>
        <w:rPr>
          <w:rFonts w:hint="eastAsia"/>
          <w:highlight w:val="none"/>
        </w:rPr>
        <w:t>【服务水平】</w:t>
      </w:r>
    </w:p>
    <w:p w14:paraId="05794FC3">
      <w:pPr>
        <w:rPr>
          <w:rFonts w:hint="eastAsia" w:hAnsi="宋体" w:cs="宋体"/>
          <w:highlight w:val="none"/>
        </w:rPr>
      </w:pPr>
      <w:r>
        <w:rPr>
          <w:rFonts w:hint="eastAsia" w:hAnsi="宋体" w:cs="宋体"/>
          <w:highlight w:val="none"/>
        </w:rPr>
        <w:t>推行标准化班级建设，提高营业窗口服务，落实客户走访服务，推进电子渠道服务，加强前后台联动，转变工作作风，建立完善问题提升和督办机制。</w:t>
      </w:r>
    </w:p>
    <w:p w14:paraId="3C3466E6">
      <w:pPr>
        <w:pStyle w:val="4"/>
        <w:bidi w:val="0"/>
        <w:rPr>
          <w:rFonts w:hint="eastAsia"/>
          <w:highlight w:val="none"/>
        </w:rPr>
      </w:pPr>
      <w:r>
        <w:rPr>
          <w:rFonts w:hint="eastAsia"/>
          <w:highlight w:val="none"/>
        </w:rPr>
        <w:t>【获得荣誉】</w:t>
      </w:r>
    </w:p>
    <w:p w14:paraId="1D985429">
      <w:pPr>
        <w:rPr>
          <w:rFonts w:hint="eastAsia" w:hAnsi="宋体" w:cs="宋体"/>
          <w:highlight w:val="none"/>
        </w:rPr>
      </w:pPr>
      <w:r>
        <w:rPr>
          <w:rFonts w:hint="eastAsia" w:hAnsi="宋体" w:cs="宋体"/>
          <w:highlight w:val="none"/>
        </w:rPr>
        <w:t>2015年，南雄分公司获“韶关分公司‘2015变革创新你我同行’辩论赛优秀团队”和“2015年度广东公司政研工作先进单位”荣誉称号。（李家红）</w:t>
      </w:r>
    </w:p>
    <w:p w14:paraId="58429189">
      <w:pPr>
        <w:rPr>
          <w:rFonts w:hint="eastAsia" w:hAnsi="宋体" w:eastAsia="宋体" w:cs="宋体"/>
          <w:highlight w:val="none"/>
          <w:lang w:eastAsia="zh-CN"/>
        </w:rPr>
      </w:pPr>
      <w:r>
        <w:rPr>
          <w:rFonts w:hint="eastAsia" w:hAnsi="宋体" w:cs="宋体"/>
          <w:highlight w:val="none"/>
        </w:rPr>
        <w:t>附：2015年中国电信南雄分公司领导班子成员名单</w:t>
      </w:r>
    </w:p>
    <w:p w14:paraId="5D0F2865">
      <w:pPr>
        <w:rPr>
          <w:rFonts w:hint="eastAsia" w:hAnsi="宋体" w:eastAsia="宋体" w:cs="宋体"/>
          <w:highlight w:val="none"/>
          <w:lang w:eastAsia="zh-CN"/>
        </w:rPr>
      </w:pPr>
      <w:r>
        <w:rPr>
          <w:rFonts w:hint="eastAsia" w:hAnsi="宋体" w:cs="宋体"/>
          <w:highlight w:val="none"/>
        </w:rPr>
        <w:t>总经理：黄春海</w:t>
      </w:r>
    </w:p>
    <w:p w14:paraId="1CC99400">
      <w:pPr>
        <w:rPr>
          <w:rFonts w:hint="eastAsia" w:hAnsi="宋体" w:eastAsia="宋体" w:cs="宋体"/>
          <w:highlight w:val="none"/>
          <w:lang w:eastAsia="zh-CN"/>
        </w:rPr>
      </w:pPr>
      <w:r>
        <w:rPr>
          <w:rFonts w:hint="eastAsia" w:hAnsi="宋体" w:cs="宋体"/>
          <w:highlight w:val="none"/>
        </w:rPr>
        <w:t>副总经理：刘经宏 程伟韬</w:t>
      </w:r>
    </w:p>
    <w:p w14:paraId="66384141">
      <w:pPr>
        <w:pStyle w:val="3"/>
        <w:bidi w:val="0"/>
        <w:rPr>
          <w:rFonts w:hint="eastAsia" w:eastAsia="宋体"/>
          <w:highlight w:val="none"/>
          <w:lang w:eastAsia="zh-CN"/>
        </w:rPr>
      </w:pPr>
      <w:r>
        <w:rPr>
          <w:rFonts w:hint="eastAsia"/>
          <w:highlight w:val="none"/>
        </w:rPr>
        <w:t>联通通信</w:t>
      </w:r>
    </w:p>
    <w:p w14:paraId="71880B08">
      <w:pPr>
        <w:pStyle w:val="4"/>
        <w:bidi w:val="0"/>
        <w:rPr>
          <w:rFonts w:hint="eastAsia"/>
          <w:highlight w:val="none"/>
        </w:rPr>
      </w:pPr>
      <w:r>
        <w:rPr>
          <w:rFonts w:hint="eastAsia"/>
          <w:highlight w:val="none"/>
        </w:rPr>
        <w:t>【概况】</w:t>
      </w:r>
    </w:p>
    <w:p w14:paraId="5F2E67AE">
      <w:pPr>
        <w:rPr>
          <w:rFonts w:hint="eastAsia" w:hAnsi="宋体" w:cs="宋体"/>
          <w:highlight w:val="none"/>
        </w:rPr>
      </w:pPr>
      <w:r>
        <w:rPr>
          <w:rFonts w:hint="eastAsia" w:hAnsi="宋体" w:cs="宋体"/>
          <w:highlight w:val="none"/>
        </w:rPr>
        <w:t>中国联合网络通信有限公司南雄分公司于2000年1月19日正式挂牌成立，隶属中国联合网络通信有限公司韶关分公司，下设经营支撑室、雄州营服中心、乡镇营服中心及集团客户室4个室，有员工23人。</w:t>
      </w:r>
    </w:p>
    <w:p w14:paraId="17FB3568">
      <w:pPr>
        <w:rPr>
          <w:rFonts w:hint="eastAsia" w:hAnsi="宋体" w:cs="宋体"/>
          <w:highlight w:val="none"/>
        </w:rPr>
      </w:pPr>
      <w:r>
        <w:rPr>
          <w:rFonts w:hint="eastAsia" w:hAnsi="宋体" w:cs="宋体"/>
          <w:highlight w:val="none"/>
        </w:rPr>
        <w:t>2015年，南雄联通通信服务收入同比增长28.13%。</w:t>
      </w:r>
    </w:p>
    <w:p w14:paraId="17819185">
      <w:pPr>
        <w:pStyle w:val="4"/>
        <w:bidi w:val="0"/>
        <w:rPr>
          <w:rFonts w:hint="eastAsia"/>
          <w:highlight w:val="none"/>
        </w:rPr>
      </w:pPr>
      <w:r>
        <w:rPr>
          <w:rFonts w:hint="eastAsia"/>
          <w:highlight w:val="none"/>
        </w:rPr>
        <w:t>【业务发展】</w:t>
      </w:r>
    </w:p>
    <w:p w14:paraId="795785D7">
      <w:pPr>
        <w:rPr>
          <w:rFonts w:hint="eastAsia" w:hAnsi="宋体" w:cs="宋体"/>
          <w:highlight w:val="none"/>
        </w:rPr>
      </w:pPr>
      <w:r>
        <w:rPr>
          <w:rFonts w:hint="eastAsia" w:hAnsi="宋体" w:cs="宋体"/>
          <w:highlight w:val="none"/>
        </w:rPr>
        <w:t>2015年，3G业务围绕有效发展，定向突破思路，强化营销组织和营销模式转型，实现3G业务稳步增长。同时，通过佣金模式调整，强化话务量营销与维系体系建设，3G业务发展有效性不断提升，老用户收入保有率全市排名靠前。在4G业务创新发展方面，自4G正式商用后，在严格执行总部原则及省公司4G业务管理规范基础上，创新体验营销、文化营销、异业合作模式，通过3G渠道建设、价值链合作，极大地促进3G/4G业务快速发展和3G品牌传播。</w:t>
      </w:r>
    </w:p>
    <w:p w14:paraId="0E73210E">
      <w:pPr>
        <w:rPr>
          <w:rFonts w:hint="eastAsia" w:hAnsi="宋体" w:cs="宋体"/>
          <w:highlight w:val="none"/>
        </w:rPr>
      </w:pPr>
      <w:r>
        <w:rPr>
          <w:rFonts w:hint="eastAsia" w:hAnsi="宋体" w:cs="宋体"/>
          <w:highlight w:val="none"/>
        </w:rPr>
        <w:t>联通3G业务采用WCDMA技术标准，是全世界建设最广泛、技术成熟度最高、可漫游国家最多、支持手机款式最丰富3G标准。据统计，在全球208个国家和地区可实现WCDMA网络漫游，全球拥有WCDMA用户3.54亿，市场占有率达89.5%。同时，全球有超过1100款手机终端，包括目前流行GSM手机都支持WCDMA业务。联通“沃·3G”能向用户提供无线上网卡、手机音乐、手机电视、手机上网、可视电话等3G优势业务。在服务方面，能够全面贯彻落实省公司“3G保姆式服务”理念与工作要求，根据用户价值和服务需求实行分级服务，打造高素质3G专属服务团队，建立一对一服务体系，3G品牌得到客户认可。</w:t>
      </w:r>
    </w:p>
    <w:p w14:paraId="44AE97B8">
      <w:pPr>
        <w:pStyle w:val="4"/>
        <w:bidi w:val="0"/>
        <w:rPr>
          <w:rFonts w:hint="eastAsia"/>
          <w:highlight w:val="none"/>
        </w:rPr>
      </w:pPr>
      <w:r>
        <w:rPr>
          <w:rFonts w:hint="eastAsia"/>
          <w:highlight w:val="none"/>
        </w:rPr>
        <w:t>【服务和维系】</w:t>
      </w:r>
    </w:p>
    <w:p w14:paraId="192BD283">
      <w:pPr>
        <w:rPr>
          <w:rFonts w:hint="eastAsia" w:hAnsi="宋体" w:cs="宋体"/>
          <w:highlight w:val="none"/>
        </w:rPr>
      </w:pPr>
      <w:r>
        <w:rPr>
          <w:rFonts w:hint="eastAsia" w:hAnsi="宋体" w:cs="宋体"/>
          <w:highlight w:val="none"/>
        </w:rPr>
        <w:t>2015年，在客户服务方面，重点推进落实转型、分级服务，通过改进服务短板，降低投诉，基本实现提升客户满意度、降低客户投诉率和高端客户离网率工作目标。特别是在客户维系方面，重点加强预付费二充维系工作，通过制定统一回访口径，完善回访模板，调整考核机制以及本地二充维系系统上线应用，维系成效明显。在3G用户方面，细化落实“保姆式服务”工作要求，针对营业厅发展环节、新入网回访环节、服务经理维系环节设计标准化流程及脚本，得到省公司认可，并在全省推广。</w:t>
      </w:r>
    </w:p>
    <w:p w14:paraId="0985331B">
      <w:pPr>
        <w:pStyle w:val="4"/>
        <w:bidi w:val="0"/>
        <w:rPr>
          <w:rFonts w:hint="eastAsia"/>
          <w:highlight w:val="none"/>
        </w:rPr>
      </w:pPr>
      <w:r>
        <w:rPr>
          <w:rFonts w:hint="eastAsia"/>
          <w:highlight w:val="none"/>
        </w:rPr>
        <w:t>【网络质量】</w:t>
      </w:r>
    </w:p>
    <w:p w14:paraId="5EF1288A">
      <w:pPr>
        <w:rPr>
          <w:rFonts w:hint="eastAsia" w:hAnsi="宋体" w:cs="宋体"/>
          <w:highlight w:val="none"/>
        </w:rPr>
      </w:pPr>
      <w:r>
        <w:rPr>
          <w:rFonts w:hint="eastAsia" w:hAnsi="宋体" w:cs="宋体"/>
          <w:highlight w:val="none"/>
        </w:rPr>
        <w:t>网络信号是运营商核心服务，网络质量是优质服务基础。2015年，南雄联通一直致力于网络建设与优化，让所有客户都能体验到连通四海、沟通在世界每个角落皆触手可及便利。为进一步提高网络覆盖率和服务能力，提升客户满意度，韶关联通集中开展2G网络优化劳动竞赛、3G网络830专项优化、3G/4G“百日会战”协同优化等一系列专题优化行动，有效改善网络质量。其中2G网络MR质量优良率从93.85%提升至98.82％，全面实现高接通率、低掉线率、通话清晰通信服务，网络质量得到明显改善，3G网络指标全面达到总部商用标准。</w:t>
      </w:r>
    </w:p>
    <w:p w14:paraId="69D54C29">
      <w:pPr>
        <w:pStyle w:val="4"/>
        <w:bidi w:val="0"/>
        <w:rPr>
          <w:rFonts w:hint="eastAsia"/>
          <w:highlight w:val="none"/>
        </w:rPr>
      </w:pPr>
      <w:r>
        <w:rPr>
          <w:rFonts w:hint="eastAsia"/>
          <w:highlight w:val="none"/>
        </w:rPr>
        <w:t>【队伍建设】</w:t>
      </w:r>
    </w:p>
    <w:p w14:paraId="0FED3028">
      <w:pPr>
        <w:rPr>
          <w:rFonts w:hint="eastAsia" w:hAnsi="宋体" w:cs="宋体"/>
          <w:highlight w:val="none"/>
        </w:rPr>
      </w:pPr>
      <w:r>
        <w:rPr>
          <w:rFonts w:hint="eastAsia" w:hAnsi="宋体" w:cs="宋体"/>
          <w:highlight w:val="none"/>
        </w:rPr>
        <w:t>围绕“员工成长”和“提高人均效能”核心目标，做好员工职业生涯发展规划和人员结构性优化配置，尽快建设一支适应新形势、新环境员工队伍，提高工作效能；2015年绩效激励体系要转变为注重突出员工KPI与员工薪酬直接挂钩，让员工关注KPI，充分发挥KPI对员工考核导向作用，从而调动员工工作积极性、主动性。打造学习型组织，营造良好的学习氛围，把员工学习制度化、体系化，让员工在学习中成长。在管理干部队伍建设方面，牢固树立“有为才能有位，有位必须有为”意识，靠业绩说话，靠发展赢得尊重和地位。要求干部队伍必须具备追求卓越的精神，敢于自省的勇气，实事求是的态度和敢作敢为的承担。</w:t>
      </w:r>
    </w:p>
    <w:p w14:paraId="20239F41">
      <w:pPr>
        <w:pStyle w:val="4"/>
        <w:bidi w:val="0"/>
        <w:rPr>
          <w:rFonts w:hint="eastAsia"/>
          <w:highlight w:val="none"/>
        </w:rPr>
      </w:pPr>
      <w:r>
        <w:rPr>
          <w:rFonts w:hint="eastAsia"/>
          <w:highlight w:val="none"/>
        </w:rPr>
        <w:t>【企业管理】</w:t>
      </w:r>
    </w:p>
    <w:p w14:paraId="572AE485">
      <w:pPr>
        <w:rPr>
          <w:rFonts w:hint="eastAsia" w:hAnsi="宋体" w:cs="宋体"/>
          <w:highlight w:val="none"/>
        </w:rPr>
      </w:pPr>
      <w:r>
        <w:rPr>
          <w:rFonts w:hint="eastAsia" w:hAnsi="宋体" w:cs="宋体"/>
          <w:highlight w:val="none"/>
        </w:rPr>
        <w:t>南雄联通自成立之日起，即秉承“做优秀企业公民”的理念，充分发挥通信行业信息优势，致力于消除数字鸿沟，构建公平和谐信息社会，参与政府信息化、企业信息化、农村信息化应急通信建设，推进信息化和行业应用融合，推进高新技术与传统工业改造结合，通过向信息服务商的转型，有效推动整个社会信息化进程。</w:t>
      </w:r>
    </w:p>
    <w:p w14:paraId="304BB6C6">
      <w:pPr>
        <w:rPr>
          <w:rFonts w:hint="eastAsia" w:hAnsi="宋体" w:cs="宋体"/>
          <w:highlight w:val="none"/>
        </w:rPr>
      </w:pPr>
      <w:r>
        <w:rPr>
          <w:rFonts w:hint="eastAsia" w:hAnsi="宋体" w:cs="宋体"/>
          <w:highlight w:val="none"/>
        </w:rPr>
        <w:t>2015年，推进“村通工程”建设和农村信息化建设，加大对边远山区网络投资，努力解决农村信息来源和信息传输两大农业信息化难题，启动“村村通”金农项目和“农博士”项目，更好地拓宽农民农业信息渠道，推动韶关农村信息化建设，有效促进农村经济发展。</w:t>
      </w:r>
    </w:p>
    <w:p w14:paraId="1A74628B">
      <w:pPr>
        <w:rPr>
          <w:rFonts w:hint="eastAsia" w:hAnsi="宋体" w:cs="宋体"/>
          <w:highlight w:val="none"/>
        </w:rPr>
      </w:pPr>
      <w:r>
        <w:rPr>
          <w:rFonts w:hint="eastAsia" w:hAnsi="宋体" w:cs="宋体"/>
          <w:highlight w:val="none"/>
        </w:rPr>
        <w:t>南雄联通在企业发展同时不忘回报社会、回报广大客户，支持参与政府开展精神文明建设活动。参与市扶贫捐赠日活动，帮助弱势群体，开展扶贫助困、奉献爱心等活动。（张虹）</w:t>
      </w:r>
    </w:p>
    <w:p w14:paraId="2FF9CB39">
      <w:pPr>
        <w:rPr>
          <w:rFonts w:hint="eastAsia" w:hAnsi="宋体" w:eastAsia="宋体" w:cs="宋体"/>
          <w:highlight w:val="none"/>
          <w:lang w:eastAsia="zh-CN"/>
        </w:rPr>
      </w:pPr>
      <w:r>
        <w:rPr>
          <w:rFonts w:hint="eastAsia" w:hAnsi="宋体" w:cs="宋体"/>
          <w:highlight w:val="none"/>
        </w:rPr>
        <w:t>附：2015年中国联通南雄分公司领导班子成员名单</w:t>
      </w:r>
    </w:p>
    <w:p w14:paraId="3D94D067">
      <w:pPr>
        <w:rPr>
          <w:rFonts w:hint="eastAsia" w:hAnsi="宋体" w:eastAsia="宋体" w:cs="宋体"/>
          <w:highlight w:val="none"/>
          <w:lang w:eastAsia="zh-CN"/>
        </w:rPr>
      </w:pPr>
      <w:r>
        <w:rPr>
          <w:rFonts w:hint="eastAsia" w:hAnsi="宋体" w:cs="宋体"/>
          <w:highlight w:val="none"/>
        </w:rPr>
        <w:t>总经理：黎朝晖</w:t>
      </w:r>
    </w:p>
    <w:p w14:paraId="13345F00">
      <w:pPr>
        <w:rPr>
          <w:rFonts w:hint="eastAsia" w:hAnsi="宋体" w:eastAsia="宋体" w:cs="宋体"/>
          <w:highlight w:val="none"/>
          <w:lang w:eastAsia="zh-CN"/>
        </w:rPr>
      </w:pPr>
      <w:r>
        <w:rPr>
          <w:rFonts w:hint="eastAsia" w:hAnsi="宋体" w:cs="宋体"/>
          <w:highlight w:val="none"/>
        </w:rPr>
        <w:t>副总经理：朱伟苑</w:t>
      </w:r>
    </w:p>
    <w:p w14:paraId="407BDEF0">
      <w:pPr>
        <w:pStyle w:val="3"/>
        <w:bidi w:val="0"/>
        <w:rPr>
          <w:rFonts w:hint="eastAsia" w:eastAsia="宋体"/>
          <w:highlight w:val="none"/>
          <w:lang w:eastAsia="zh-CN"/>
        </w:rPr>
      </w:pPr>
      <w:r>
        <w:rPr>
          <w:rFonts w:hint="eastAsia"/>
          <w:highlight w:val="none"/>
        </w:rPr>
        <w:t>移动通信</w:t>
      </w:r>
    </w:p>
    <w:p w14:paraId="6C743D05">
      <w:pPr>
        <w:pStyle w:val="4"/>
        <w:bidi w:val="0"/>
        <w:rPr>
          <w:rFonts w:hint="eastAsia"/>
          <w:highlight w:val="none"/>
        </w:rPr>
      </w:pPr>
      <w:r>
        <w:rPr>
          <w:rFonts w:hint="eastAsia"/>
          <w:highlight w:val="none"/>
        </w:rPr>
        <w:t>【概况】</w:t>
      </w:r>
    </w:p>
    <w:p w14:paraId="4A6F128B">
      <w:pPr>
        <w:rPr>
          <w:rFonts w:hint="eastAsia" w:hAnsi="宋体" w:cs="宋体"/>
          <w:highlight w:val="none"/>
        </w:rPr>
      </w:pPr>
      <w:r>
        <w:rPr>
          <w:rFonts w:hint="eastAsia" w:hAnsi="宋体" w:cs="宋体"/>
          <w:highlight w:val="none"/>
        </w:rPr>
        <w:t>中国移动通信集团广东有限公司南雄分公司（以下简称“南雄移动”）成立于1999年，公司位于韶关市南雄市青云西路银兴花园二区21栋，下辖服务厅3个，部门3个，社会渠道110间，现有员工50名，大专以上学历占96%，在职党员比例达28%，平均年龄30.52岁。2015年，南雄移动获得广东省巾帼文明岗、南雄市双拥工作模范单位荣誉称号。</w:t>
      </w:r>
    </w:p>
    <w:p w14:paraId="6E0FEDF0">
      <w:pPr>
        <w:pStyle w:val="4"/>
        <w:bidi w:val="0"/>
        <w:rPr>
          <w:rFonts w:hint="eastAsia"/>
          <w:highlight w:val="none"/>
        </w:rPr>
      </w:pPr>
      <w:r>
        <w:rPr>
          <w:rFonts w:hint="eastAsia"/>
          <w:highlight w:val="none"/>
        </w:rPr>
        <w:t>【4G建设运营】</w:t>
      </w:r>
    </w:p>
    <w:p w14:paraId="1BFBDC56">
      <w:pPr>
        <w:rPr>
          <w:rFonts w:hint="eastAsia" w:hAnsi="宋体" w:eastAsia="宋体" w:cs="宋体"/>
          <w:highlight w:val="none"/>
          <w:lang w:eastAsia="zh-CN"/>
        </w:rPr>
      </w:pPr>
      <w:r>
        <w:rPr>
          <w:rFonts w:hint="eastAsia" w:hAnsi="宋体" w:cs="宋体"/>
          <w:highlight w:val="none"/>
        </w:rPr>
        <w:t>2015年，南雄分公司持续推进4G建设，根据话务统计，网络流量、覆盖深度等指标因素针对城区高流量，高价值客户区域做好重点需求规划；对建设完工基站质量优化提升，开展网络测试普查活动，使问题提早发现加速解决。截至12月，南雄LTE建设开通站点166个，已经基本实现城区和乡镇镇区4G信号全覆盖，后续将持续提升覆盖深度和质量。截至2015年12月，南雄分公司完成城区家宽全面覆盖，区域内总覆盖用户数达5万余户。</w:t>
      </w:r>
    </w:p>
    <w:p w14:paraId="6A303696">
      <w:pPr>
        <w:pStyle w:val="4"/>
        <w:bidi w:val="0"/>
        <w:rPr>
          <w:rFonts w:hint="eastAsia"/>
          <w:highlight w:val="none"/>
        </w:rPr>
      </w:pPr>
      <w:r>
        <w:rPr>
          <w:rFonts w:hint="eastAsia"/>
          <w:highlight w:val="none"/>
        </w:rPr>
        <w:t>【窗口服务】</w:t>
      </w:r>
    </w:p>
    <w:p w14:paraId="1C7F7644">
      <w:pPr>
        <w:rPr>
          <w:rFonts w:hint="eastAsia" w:hAnsi="宋体" w:eastAsia="宋体" w:cs="宋体"/>
          <w:highlight w:val="none"/>
          <w:lang w:eastAsia="zh-CN"/>
        </w:rPr>
      </w:pPr>
      <w:r>
        <w:rPr>
          <w:rFonts w:hint="eastAsia" w:hAnsi="宋体" w:cs="宋体"/>
          <w:highlight w:val="none"/>
        </w:rPr>
        <w:t>南雄移动持续开展“优服务更精彩”服务主题活动和民主评议行风工作。提出电子渠道便捷缴费，话费明了便捷查看，上网流量心中有数，业务订退清晰透明，业务扣费主动提醒。同时不断优化客户投诉处理流程和持续加强垃圾短信治理。实现投诉处理率达到90%，群众满意率达到98%以上。</w:t>
      </w:r>
    </w:p>
    <w:p w14:paraId="2FDA4F2D">
      <w:pPr>
        <w:pStyle w:val="4"/>
        <w:bidi w:val="0"/>
        <w:rPr>
          <w:rFonts w:hint="eastAsia"/>
          <w:highlight w:val="none"/>
        </w:rPr>
      </w:pPr>
      <w:r>
        <w:rPr>
          <w:rFonts w:hint="eastAsia"/>
          <w:highlight w:val="none"/>
        </w:rPr>
        <w:t>【基础管理】</w:t>
      </w:r>
    </w:p>
    <w:p w14:paraId="18D0180A">
      <w:pPr>
        <w:rPr>
          <w:rFonts w:hint="eastAsia" w:hAnsi="宋体" w:eastAsia="宋体" w:cs="宋体"/>
          <w:highlight w:val="none"/>
          <w:lang w:eastAsia="zh-CN"/>
        </w:rPr>
      </w:pPr>
      <w:r>
        <w:rPr>
          <w:rFonts w:hint="eastAsia" w:hAnsi="宋体" w:cs="宋体"/>
          <w:highlight w:val="none"/>
        </w:rPr>
        <w:t>夯实工作责任，加大检查、考核、奖罚力度；加强财务预算管理，按月进行财务分析，细化经营工作，完善各项激励措施，完善生产经营管理制度。</w:t>
      </w:r>
    </w:p>
    <w:p w14:paraId="1B3A0BE9">
      <w:pPr>
        <w:pStyle w:val="4"/>
        <w:bidi w:val="0"/>
        <w:rPr>
          <w:rFonts w:hint="eastAsia"/>
          <w:highlight w:val="none"/>
        </w:rPr>
      </w:pPr>
      <w:r>
        <w:rPr>
          <w:rFonts w:hint="eastAsia"/>
          <w:highlight w:val="none"/>
        </w:rPr>
        <w:t>【文化建设】</w:t>
      </w:r>
    </w:p>
    <w:p w14:paraId="6587B712">
      <w:pPr>
        <w:rPr>
          <w:rFonts w:hint="eastAsia" w:hAnsi="宋体" w:eastAsia="宋体" w:cs="宋体"/>
          <w:highlight w:val="none"/>
          <w:lang w:eastAsia="zh-CN"/>
        </w:rPr>
      </w:pPr>
      <w:r>
        <w:rPr>
          <w:rFonts w:hint="eastAsia" w:hAnsi="宋体" w:cs="宋体"/>
          <w:highlight w:val="none"/>
        </w:rPr>
        <w:t>开展公民道德教育和企业文化教育。南雄移动结合“正德厚生臻于至善”企业文化精神，持续开展公民道德教育，如青年文明号、诚信单位评选、巾帼文明岗创建等系列活动。</w:t>
      </w:r>
    </w:p>
    <w:p w14:paraId="72B178C5">
      <w:pPr>
        <w:pStyle w:val="4"/>
        <w:bidi w:val="0"/>
        <w:rPr>
          <w:rFonts w:hint="eastAsia"/>
          <w:highlight w:val="none"/>
        </w:rPr>
      </w:pPr>
      <w:r>
        <w:rPr>
          <w:rFonts w:hint="eastAsia"/>
          <w:highlight w:val="none"/>
        </w:rPr>
        <w:t>【公益活动】</w:t>
      </w:r>
    </w:p>
    <w:p w14:paraId="6248F85F">
      <w:pPr>
        <w:rPr>
          <w:rFonts w:hint="eastAsia" w:hAnsi="宋体" w:eastAsia="宋体" w:cs="宋体"/>
          <w:highlight w:val="none"/>
          <w:lang w:eastAsia="zh-CN"/>
        </w:rPr>
      </w:pPr>
      <w:r>
        <w:rPr>
          <w:rFonts w:hint="eastAsia" w:hAnsi="宋体" w:cs="宋体"/>
          <w:highlight w:val="none"/>
        </w:rPr>
        <w:t>履行社会责任，建设责任型企业。开通坪田银杏景区、帽子峰林场、珠玑古巷4G信号覆盖，塑造提升南雄整体景区服务形象；在旅游旺季、节假日、举办大型活动等时段，及时网络调整现场派驻通信车支援，有效应对话务突增情况。南雄分公司累计开展71天次通信应急保障，有效支撑“大雄禅寺佛像开光大典”“帽子峰生态景区银杏节”“首届帽子峰山地自行车体验赛”等活动顺利开展，提升旅游期间信息化接入能力；抽调专项资金90余万元建设主田窑合孔地基站、乌迳观音山基站，邓坊漂流度假村等基站，解决偏远景区、山区信号弱覆盖问题，满足客户日益增长通信需求。紧急迁改完成南雄坪田迳洞、主田旅游大道、邓坊、珠玑传输管线迁改，有效支撑本地招商工作。（谢婷婷）</w:t>
      </w:r>
    </w:p>
    <w:p w14:paraId="44137AC4">
      <w:pPr>
        <w:rPr>
          <w:rFonts w:hint="eastAsia" w:hAnsi="宋体" w:eastAsia="宋体" w:cs="宋体"/>
          <w:highlight w:val="none"/>
          <w:lang w:eastAsia="zh-CN"/>
        </w:rPr>
      </w:pPr>
      <w:r>
        <w:rPr>
          <w:rFonts w:hint="eastAsia" w:hAnsi="宋体" w:cs="宋体"/>
          <w:highlight w:val="none"/>
        </w:rPr>
        <w:t>附：2015年中国移动南雄分公司领导班子成员名单</w:t>
      </w:r>
    </w:p>
    <w:p w14:paraId="2B597CC6">
      <w:pPr>
        <w:rPr>
          <w:rFonts w:hint="eastAsia" w:hAnsi="宋体" w:eastAsia="宋体" w:cs="宋体"/>
          <w:highlight w:val="none"/>
          <w:lang w:eastAsia="zh-CN"/>
        </w:rPr>
      </w:pPr>
      <w:r>
        <w:rPr>
          <w:rFonts w:hint="eastAsia" w:hAnsi="宋体" w:cs="宋体"/>
          <w:highlight w:val="none"/>
        </w:rPr>
        <w:t>总经理：贺美田</w:t>
      </w:r>
    </w:p>
    <w:p w14:paraId="7BF68BFA">
      <w:pPr>
        <w:ind w:firstLine="420"/>
        <w:rPr>
          <w:rFonts w:hint="eastAsia" w:hAnsi="宋体" w:eastAsia="宋体" w:cs="宋体"/>
          <w:highlight w:val="none"/>
          <w:lang w:eastAsia="zh-CN"/>
        </w:rPr>
      </w:pPr>
      <w:r>
        <w:rPr>
          <w:rFonts w:hint="eastAsia" w:hAnsi="宋体" w:cs="宋体"/>
          <w:highlight w:val="none"/>
        </w:rPr>
        <w:t>副总经理：张世杰</w:t>
      </w:r>
    </w:p>
    <w:p w14:paraId="2E28AF64">
      <w:pPr>
        <w:pStyle w:val="2"/>
        <w:rPr>
          <w:rFonts w:hint="eastAsia" w:hAnsi="宋体" w:eastAsia="宋体" w:cs="宋体"/>
          <w:highlight w:val="none"/>
          <w:lang w:eastAsia="zh-CN"/>
        </w:rPr>
      </w:pPr>
      <w:r>
        <w:rPr>
          <w:highlight w:val="none"/>
        </w:rPr>
        <w:br w:type="page"/>
      </w:r>
      <w:r>
        <w:rPr>
          <w:rFonts w:hint="eastAsia"/>
          <w:highlight w:val="none"/>
        </w:rPr>
        <w:t>城建·环保</w:t>
      </w:r>
    </w:p>
    <w:p w14:paraId="7590BAF4">
      <w:pPr>
        <w:pStyle w:val="3"/>
        <w:bidi w:val="0"/>
        <w:rPr>
          <w:rFonts w:hint="eastAsia"/>
          <w:highlight w:val="none"/>
        </w:rPr>
      </w:pPr>
      <w:r>
        <w:rPr>
          <w:rFonts w:hint="eastAsia"/>
          <w:highlight w:val="none"/>
        </w:rPr>
        <w:t>城乡规划</w:t>
      </w:r>
    </w:p>
    <w:p w14:paraId="2914E9EF">
      <w:pPr>
        <w:pStyle w:val="4"/>
        <w:bidi w:val="0"/>
        <w:rPr>
          <w:rFonts w:hint="eastAsia"/>
          <w:highlight w:val="none"/>
        </w:rPr>
      </w:pPr>
      <w:r>
        <w:rPr>
          <w:rFonts w:hint="eastAsia"/>
          <w:highlight w:val="none"/>
        </w:rPr>
        <w:t>【概况】</w:t>
      </w:r>
    </w:p>
    <w:p w14:paraId="72F8B12A">
      <w:pPr>
        <w:rPr>
          <w:rFonts w:hint="eastAsia" w:hAnsi="宋体" w:eastAsia="宋体" w:cs="宋体"/>
          <w:highlight w:val="none"/>
          <w:lang w:eastAsia="zh-CN"/>
        </w:rPr>
      </w:pPr>
      <w:r>
        <w:rPr>
          <w:rFonts w:hint="eastAsia" w:hAnsi="宋体" w:cs="宋体"/>
          <w:highlight w:val="none"/>
        </w:rPr>
        <w:t>贯彻落实《中华人民共和国城乡规划法》，抓住国家实施《赣闽粤原中央苏区振兴发展规划》这一重大政策机遇，打苏区牌、走生态路，以交通基础设施、产业园区扩能增效和新型城镇化建设为抓手，着力实施工业强市、旅游旺市、民生优先、生态城乡、姓氏名都、法治南雄“六大战略”，围绕建设宜居宜业粤北门户城市的总体目标，完善城乡规划科学民主决策机制，加大城乡规划编制力度，发挥较好的规划引领作用，推进城乡区域统筹协调发展，努力营造生态宜居环境。</w:t>
      </w:r>
    </w:p>
    <w:p w14:paraId="280ED66E">
      <w:pPr>
        <w:pStyle w:val="4"/>
        <w:bidi w:val="0"/>
        <w:rPr>
          <w:rFonts w:hint="eastAsia"/>
          <w:highlight w:val="none"/>
        </w:rPr>
      </w:pPr>
      <w:r>
        <w:rPr>
          <w:rFonts w:hint="eastAsia"/>
          <w:highlight w:val="none"/>
        </w:rPr>
        <w:t>【城乡规划编制】</w:t>
      </w:r>
    </w:p>
    <w:p w14:paraId="17D62C66">
      <w:pPr>
        <w:rPr>
          <w:rFonts w:hint="eastAsia" w:hAnsi="宋体" w:eastAsia="宋体" w:cs="宋体"/>
          <w:highlight w:val="none"/>
          <w:lang w:eastAsia="zh-CN"/>
        </w:rPr>
      </w:pPr>
      <w:r>
        <w:rPr>
          <w:rFonts w:hint="eastAsia" w:hAnsi="宋体" w:cs="宋体"/>
          <w:highlight w:val="none"/>
        </w:rPr>
        <w:t>南雄市城市总体规划修改正按程序上报省政府批准，北城区控制性详细规划、市生态控制线规划、市中心城区与珠玑一体化建设规划和市中心城区防洪排涝专项规划等规划编制工作正按计划修改完善，广东省新型城镇化“2511”综合试点方案编制申报成功，南雄市地下管线管网专项规划和南雄市公园绿地系统规划编制等工作正进一步推进。镇区总体规划编制工作进展顺利，邓坊、界址、古市、全安、帽子峰、湖口、坪田、江头镇等9个镇区总体规划编制工作完成。组织做好南雄市历史文化名城、珠玑历史文化名镇保护规划前期准备工作。</w:t>
      </w:r>
    </w:p>
    <w:p w14:paraId="0648BBE7">
      <w:pPr>
        <w:pStyle w:val="4"/>
        <w:bidi w:val="0"/>
        <w:rPr>
          <w:rFonts w:hint="eastAsia"/>
          <w:highlight w:val="none"/>
        </w:rPr>
      </w:pPr>
      <w:r>
        <w:rPr>
          <w:rFonts w:hint="eastAsia"/>
          <w:highlight w:val="none"/>
        </w:rPr>
        <w:t>【城市规划管理】</w:t>
      </w:r>
    </w:p>
    <w:p w14:paraId="71773D1A">
      <w:pPr>
        <w:rPr>
          <w:rFonts w:hint="eastAsia" w:hAnsi="宋体" w:eastAsia="宋体" w:cs="宋体"/>
          <w:highlight w:val="none"/>
          <w:lang w:eastAsia="zh-CN"/>
        </w:rPr>
      </w:pPr>
      <w:r>
        <w:rPr>
          <w:rFonts w:hint="eastAsia" w:hAnsi="宋体" w:cs="宋体"/>
          <w:highlight w:val="none"/>
        </w:rPr>
        <w:t>在《城区总体规划》统揽下，始终坚持将规划工作摆到突出位置上来抓，精心编制城市规划，指导城市建设，依法审批“一书两证”，并做好市政设施施工图设计和测量放线工作。2015年，中心城区办理工程报建70项，建筑面积60.34万平方米，其中工业项目9项，面积7.75万平方米；房建项目12项，面积26.32万平方米；私人建房25项，面积1.10万平方米；公共建筑21项，面积25.18万平方米；市政建设项目3项，管线3条，总长4001米。</w:t>
      </w:r>
    </w:p>
    <w:p w14:paraId="53F60ACA">
      <w:pPr>
        <w:pStyle w:val="3"/>
        <w:bidi w:val="0"/>
        <w:rPr>
          <w:rFonts w:hint="eastAsia"/>
          <w:highlight w:val="none"/>
        </w:rPr>
      </w:pPr>
      <w:r>
        <w:rPr>
          <w:rFonts w:hint="eastAsia"/>
          <w:highlight w:val="none"/>
        </w:rPr>
        <w:t>城乡建设</w:t>
      </w:r>
    </w:p>
    <w:p w14:paraId="7C6CBE09">
      <w:pPr>
        <w:pStyle w:val="4"/>
        <w:bidi w:val="0"/>
        <w:rPr>
          <w:rFonts w:hint="eastAsia"/>
          <w:highlight w:val="none"/>
        </w:rPr>
      </w:pPr>
      <w:r>
        <w:rPr>
          <w:rFonts w:hint="eastAsia"/>
          <w:highlight w:val="none"/>
        </w:rPr>
        <w:t>【概况】</w:t>
      </w:r>
    </w:p>
    <w:p w14:paraId="018A4138">
      <w:pPr>
        <w:rPr>
          <w:rFonts w:hint="eastAsia" w:hAnsi="宋体" w:eastAsia="宋体" w:cs="宋体"/>
          <w:highlight w:val="none"/>
          <w:lang w:eastAsia="zh-CN"/>
        </w:rPr>
      </w:pPr>
      <w:r>
        <w:rPr>
          <w:rFonts w:hint="eastAsia" w:hAnsi="宋体" w:cs="宋体"/>
          <w:highlight w:val="none"/>
        </w:rPr>
        <w:t>围绕“打苏区牌、走生态路，主动融入珠三角，加快建设粤北门户城市”工作部署，实施“工业强市、旅游旺市、民生优先、生态城乡、姓氏名都、法制南雄”六大战略，以中心城区扩容提质为抓手，不断拉大城市框架，城镇化进程加快。</w:t>
      </w:r>
    </w:p>
    <w:p w14:paraId="2F9D2AC2">
      <w:pPr>
        <w:pStyle w:val="4"/>
        <w:bidi w:val="0"/>
        <w:rPr>
          <w:rFonts w:hint="eastAsia"/>
          <w:highlight w:val="none"/>
        </w:rPr>
      </w:pPr>
      <w:r>
        <w:rPr>
          <w:rFonts w:hint="eastAsia"/>
          <w:highlight w:val="none"/>
        </w:rPr>
        <w:t>【保障性安居工程建设】</w:t>
      </w:r>
    </w:p>
    <w:p w14:paraId="71A49BBA">
      <w:pPr>
        <w:rPr>
          <w:rFonts w:hint="eastAsia" w:hAnsi="宋体" w:cs="宋体"/>
          <w:highlight w:val="none"/>
        </w:rPr>
      </w:pPr>
      <w:r>
        <w:rPr>
          <w:rFonts w:hint="eastAsia" w:hAnsi="宋体" w:cs="宋体"/>
          <w:highlight w:val="none"/>
        </w:rPr>
        <w:t>位于教育南路住宅小区内二期40套保障房建设项目是市2015年九件民生实事之一，项目占地850平方米，建筑面积为2150平方米，框架8层，建设40套公租房，其中二房一厅32套，面积约50平方米，一房一厅8套，面积约30平方米，计划总投资450万元，2015年全面完工。</w:t>
      </w:r>
    </w:p>
    <w:p w14:paraId="77E44FCD">
      <w:pPr>
        <w:rPr>
          <w:rFonts w:hint="eastAsia" w:hAnsi="宋体" w:eastAsia="宋体" w:cs="宋体"/>
          <w:highlight w:val="none"/>
          <w:lang w:eastAsia="zh-CN"/>
        </w:rPr>
      </w:pPr>
      <w:r>
        <w:rPr>
          <w:rFonts w:hint="eastAsia" w:hAnsi="宋体" w:cs="宋体"/>
          <w:highlight w:val="none"/>
        </w:rPr>
        <w:t>做农村危旧房改造工作。2015年，通过入户抽查、检查“一户一档”资料等方式审查确认危旧房改造资格，完成全市306户农村危旧房改造工作，改善农村住房条件，解决低收入家庭住房困难问题，通过韶关审计。</w:t>
      </w:r>
    </w:p>
    <w:p w14:paraId="4679D1EA">
      <w:pPr>
        <w:pStyle w:val="4"/>
        <w:bidi w:val="0"/>
        <w:rPr>
          <w:rFonts w:hint="eastAsia"/>
          <w:highlight w:val="none"/>
        </w:rPr>
      </w:pPr>
      <w:r>
        <w:rPr>
          <w:rFonts w:hint="eastAsia"/>
          <w:highlight w:val="none"/>
        </w:rPr>
        <w:t>【建筑工程质量管理】</w:t>
      </w:r>
    </w:p>
    <w:p w14:paraId="5A5E7173">
      <w:pPr>
        <w:rPr>
          <w:rFonts w:hint="eastAsia" w:hAnsi="宋体" w:cs="宋体"/>
          <w:highlight w:val="none"/>
        </w:rPr>
      </w:pPr>
      <w:r>
        <w:rPr>
          <w:rFonts w:hint="eastAsia" w:hAnsi="宋体" w:cs="宋体"/>
          <w:highlight w:val="none"/>
        </w:rPr>
        <w:t>加强安全生产动态管理，开展安全生产专项整治工作和以防范建筑起重机械伤害、施工坍塌、高处坠落等三类生产安全事故为重点的专项治理行动，提升安全生产能力，坚决遏制特别重大事故发生。开展“安全生产月”等活动，抓好施工安全教育培训和事故应急演练。加强施工安全监督管理，落实企业安全生产主体责任，严厉查处施工安全生产违法违规行为，严肃追究事故责任单位和责任人责任，提高建筑施工安全生产水平。2015年检查在建工程项目36个，建筑面积31.27万平方米，对检查中发现安全隐患，下发停工通知4份，安全整改44份、质量整改27份。在广东省建设建筑施工安全生产动态扣分中，有施工安全生产动态扣分记录73份。</w:t>
      </w:r>
    </w:p>
    <w:p w14:paraId="1F94856C">
      <w:pPr>
        <w:rPr>
          <w:rFonts w:hint="eastAsia" w:hAnsi="宋体" w:eastAsia="宋体" w:cs="宋体"/>
          <w:highlight w:val="none"/>
          <w:lang w:eastAsia="zh-CN"/>
        </w:rPr>
      </w:pPr>
      <w:r>
        <w:rPr>
          <w:rFonts w:hint="eastAsia" w:hAnsi="宋体" w:cs="宋体"/>
          <w:highlight w:val="none"/>
        </w:rPr>
        <w:t>2015年办理报建工程及行政许可58项，建筑总面积45.91万平方米，总投资5.7亿元。竣工验收备案工程38项，建筑面积33.69万平方米，合同预算造价3.26亿元。工程质量评定合格率100%。备案率100%。全年新增报监工程项目34项，建筑面积26.78万平方米，工程造价3.31亿元。工程竣工验收38项，面积33.69万平方米，投资3.26亿元，工程验收合格率为100%。</w:t>
      </w:r>
    </w:p>
    <w:p w14:paraId="1895600C">
      <w:pPr>
        <w:pStyle w:val="4"/>
        <w:bidi w:val="0"/>
        <w:rPr>
          <w:rFonts w:hint="eastAsia"/>
          <w:highlight w:val="none"/>
        </w:rPr>
      </w:pPr>
      <w:r>
        <w:rPr>
          <w:rFonts w:hint="eastAsia"/>
          <w:highlight w:val="none"/>
        </w:rPr>
        <w:t>【推广建筑节能】</w:t>
      </w:r>
    </w:p>
    <w:p w14:paraId="298B3677">
      <w:pPr>
        <w:rPr>
          <w:rFonts w:hint="eastAsia" w:hAnsi="宋体" w:cs="宋体"/>
          <w:highlight w:val="none"/>
        </w:rPr>
      </w:pPr>
      <w:r>
        <w:rPr>
          <w:rFonts w:hint="eastAsia" w:hAnsi="宋体" w:cs="宋体"/>
          <w:highlight w:val="none"/>
        </w:rPr>
        <w:t>加强对民用建筑节能设计和备案监管工作，强制执行建筑节能设计标准，强化建筑节能、墙体革新推广应用，加强对建筑工程使用新型材料监督、检查和验收，促进节能减排。严格实施城区建筑工程一律禁止使用实心黏土砖，城区项目基本实现禁实目标。同时推广使用新型环保材料，推广使用商品混凝土。鼓励各工地使用新型环保材料和其他建筑节能材料、节能设备。2015年底有现预拌混凝土搅拌企业2家。</w:t>
      </w:r>
    </w:p>
    <w:p w14:paraId="7D864C2F">
      <w:pPr>
        <w:pStyle w:val="3"/>
        <w:bidi w:val="0"/>
        <w:rPr>
          <w:rFonts w:hint="eastAsia"/>
          <w:highlight w:val="none"/>
        </w:rPr>
      </w:pPr>
      <w:r>
        <w:rPr>
          <w:rFonts w:hint="eastAsia"/>
          <w:highlight w:val="none"/>
        </w:rPr>
        <w:t>重点、亮点、民生实事项目</w:t>
      </w:r>
    </w:p>
    <w:p w14:paraId="3C7D46A0">
      <w:pPr>
        <w:pStyle w:val="4"/>
        <w:bidi w:val="0"/>
        <w:rPr>
          <w:rFonts w:hint="eastAsia"/>
          <w:highlight w:val="none"/>
        </w:rPr>
      </w:pPr>
      <w:r>
        <w:rPr>
          <w:rFonts w:hint="eastAsia"/>
          <w:highlight w:val="none"/>
        </w:rPr>
        <w:t>【民生实事】</w:t>
      </w:r>
    </w:p>
    <w:p w14:paraId="1714F88D">
      <w:pPr>
        <w:rPr>
          <w:rFonts w:hint="eastAsia" w:hAnsi="宋体" w:cs="宋体"/>
          <w:highlight w:val="none"/>
        </w:rPr>
      </w:pPr>
      <w:r>
        <w:rPr>
          <w:rFonts w:hint="eastAsia" w:hAnsi="宋体" w:cs="宋体"/>
          <w:highlight w:val="none"/>
        </w:rPr>
        <w:t>开工建设100套公租房项目。100套公租房项目建设地点位于陵园路17号（原陶瓷厂内），项目用地面积为2327平方米，建筑面积为4965平方米，框架6层，计划投资为1200万元，分2栋建设。户型为一房一厅和二房一厅2种，其中一房一厅户型有22套，面积33平方米左右，二房一厅户型有22套，面积33平方米左右，二房一厅户型有78套，面积为50平方米左右。项目于2015年11月12日完成招标工作，建设企业为广东启业建设有限公司，主体中标价为643.7万元，工程于11月20日正式开工建设。</w:t>
      </w:r>
    </w:p>
    <w:p w14:paraId="4C497A97">
      <w:pPr>
        <w:rPr>
          <w:rFonts w:hint="eastAsia" w:hAnsi="宋体" w:cs="宋体"/>
          <w:highlight w:val="none"/>
        </w:rPr>
      </w:pPr>
      <w:r>
        <w:rPr>
          <w:rFonts w:hint="eastAsia" w:hAnsi="宋体" w:cs="宋体"/>
          <w:highlight w:val="none"/>
        </w:rPr>
        <w:t>镇村“五小”惠民项目建设小公园、小广场、小停车场、小运动场、小菜市场等“五小”场所建设是围绕“民生优先”战略大力实施的惠民项目，在全市各镇（街道）范围内广泛开展。从2015年4月开始组织各镇陆续上报90多个拟建项目，通过实地考察逐一核对，最后筛选出48个单项，2个综合50个符合要求项目作为2015年“五小”惠民项目，7月初正式下发2015年“五小”惠民建设项目实施方案。项目在年底基本完成施工。</w:t>
      </w:r>
    </w:p>
    <w:p w14:paraId="7C288C2F">
      <w:pPr>
        <w:pStyle w:val="4"/>
        <w:bidi w:val="0"/>
        <w:rPr>
          <w:rFonts w:hint="eastAsia"/>
          <w:highlight w:val="none"/>
        </w:rPr>
      </w:pPr>
      <w:r>
        <w:rPr>
          <w:rFonts w:hint="eastAsia"/>
          <w:highlight w:val="none"/>
        </w:rPr>
        <w:t>【亮点工程】</w:t>
      </w:r>
    </w:p>
    <w:p w14:paraId="2F9F69C0">
      <w:pPr>
        <w:rPr>
          <w:rFonts w:hint="eastAsia" w:hAnsi="宋体" w:cs="宋体"/>
          <w:highlight w:val="none"/>
        </w:rPr>
      </w:pPr>
      <w:r>
        <w:rPr>
          <w:rFonts w:hint="eastAsia" w:hAnsi="宋体" w:cs="宋体"/>
          <w:b/>
          <w:bCs/>
          <w:highlight w:val="none"/>
        </w:rPr>
        <w:t>雄州公园续建工程</w:t>
      </w:r>
      <w:r>
        <w:rPr>
          <w:rFonts w:hint="eastAsia" w:cs="宋体"/>
          <w:highlight w:val="none"/>
          <w:lang w:val="en-US" w:eastAsia="zh-CN"/>
        </w:rPr>
        <w:t xml:space="preserve">  </w:t>
      </w:r>
      <w:r>
        <w:rPr>
          <w:rFonts w:hint="eastAsia" w:hAnsi="宋体" w:cs="宋体"/>
          <w:highlight w:val="none"/>
        </w:rPr>
        <w:t>雄州公园位于城区南面，是集生态观光、科普宣传、休闲锻炼等多项功能于一体的高品位城市森林公园。公园由园前路、广场、人防（防空地下室）、人工湖、园路、后山园林景观、主题公园等项目建设构成。其中环公园设置有一级园路，中间穿插二级园路，沿路边设有休闲座椅、路灯、安全监控、垃圾筒等附属设施。公园广场占地1.78万平方米，广场规划建设项目有中心广场、全民健身广场、儿童公园、主碑等。公园后山园林景观工程包括公园小广场、雄州亭、百姓亭、樱花亭和樱花报景、荷塘月色、桂子飘香、银杏故里四个风景区，以及廉政主题公园、社会主义核心价值观主题公园、消防主题公园、次入口观景亭等。公园主入口设置在公园东北侧，次入口设置在公园西侧，是一座具有南雄特色的综合性城市公园。2015年底，4600米一级园路和2100米的二级园路基本完成施工。公园广场完成施工蓝图审查报批，正在进行挂牌招标工作。公园人防工程完成剪力墙及柱混凝土浇筑，正在进行顶板施工，施工进度完成55.5%。公园人工湖完成湖底平整及边坡修整，正在进行挂牌招标工作。公园后山园林景观工程小广场正在进行装饰工程，荷塘月色景区、桂子飘香景区完成建设，樱花报春景区、银杏故里景区完成石材铺设，雄州亭、百姓亭完成地面石材铺设和周边栏杆安装及墙面翻新，公园次入口广场完成路基平整及石材铺设；次入口观景亭（君子亭）完成建设。</w:t>
      </w:r>
    </w:p>
    <w:p w14:paraId="0ECDCB5D">
      <w:pPr>
        <w:rPr>
          <w:rFonts w:hint="eastAsia" w:hAnsi="宋体" w:cs="宋体"/>
          <w:highlight w:val="none"/>
        </w:rPr>
      </w:pPr>
      <w:r>
        <w:rPr>
          <w:rFonts w:hint="eastAsia" w:hAnsi="宋体" w:cs="宋体"/>
          <w:b/>
          <w:bCs/>
          <w:highlight w:val="none"/>
        </w:rPr>
        <w:t>陵园路扩建工程</w:t>
      </w:r>
      <w:r>
        <w:rPr>
          <w:rFonts w:hint="eastAsia" w:cs="宋体"/>
          <w:highlight w:val="none"/>
          <w:lang w:val="en-US" w:eastAsia="zh-CN"/>
        </w:rPr>
        <w:t xml:space="preserve">  </w:t>
      </w:r>
      <w:r>
        <w:rPr>
          <w:rFonts w:hint="eastAsia" w:hAnsi="宋体" w:cs="宋体"/>
          <w:highlight w:val="none"/>
        </w:rPr>
        <w:t>陵园路位于新规划北城片区东面，环城东路至新G323线，总长1.5公里，是城区重要交通道路。2015年，市委、市政府结合北城区建设规划，启动陵园路扩建项目，道路规划设计宽26—30米，其中环城路至市一中26米，市一中至新323线公路30米</w:t>
      </w:r>
      <w:r>
        <w:rPr>
          <w:rFonts w:hint="eastAsia" w:hAnsi="宋体" w:cs="宋体"/>
          <w:highlight w:val="none"/>
          <w:lang w:eastAsia="zh-CN"/>
        </w:rPr>
        <w:t>，</w:t>
      </w:r>
      <w:r>
        <w:rPr>
          <w:rFonts w:hint="eastAsia" w:hAnsi="宋体" w:cs="宋体"/>
          <w:highlight w:val="none"/>
        </w:rPr>
        <w:t>建成双向四车道城市道路。陵园路扩建工程从2015年4月开始进场调查摸底，9月制定《陵园路扩建项目房屋征收补偿方案》，10月28号成立陵园路扩建项目办公室，正式启动陵园路扩建项目建设工作，工作人员由住建局、雄州街道、经贸、城管、民政等单位抽调。</w:t>
      </w:r>
    </w:p>
    <w:p w14:paraId="43B251B1">
      <w:pPr>
        <w:rPr>
          <w:rFonts w:hint="eastAsia" w:hAnsi="宋体" w:cs="宋体"/>
          <w:highlight w:val="none"/>
        </w:rPr>
      </w:pPr>
      <w:r>
        <w:rPr>
          <w:rFonts w:hint="eastAsia" w:hAnsi="宋体" w:cs="宋体"/>
          <w:highlight w:val="none"/>
        </w:rPr>
        <w:t>陵园路扩建项目涉及征收建筑面积计14164.6平方米，其中私人建筑63户，建筑面积约7455.1平方米，其中私人建筑有产权证面积3694.9平方米，无产权证面积3760.2平方米</w:t>
      </w:r>
      <w:r>
        <w:rPr>
          <w:rFonts w:hint="eastAsia" w:hAnsi="宋体" w:cs="宋体"/>
          <w:highlight w:val="none"/>
          <w:lang w:eastAsia="zh-CN"/>
        </w:rPr>
        <w:t>，</w:t>
      </w:r>
      <w:r>
        <w:rPr>
          <w:rFonts w:hint="eastAsia" w:hAnsi="宋体" w:cs="宋体"/>
          <w:highlight w:val="none"/>
        </w:rPr>
        <w:t>涉及征地面积约35亩。2015年底，扩建项目房屋丈量认定工作已完成，房屋拆迁补偿协议签约工作共签约60户，签约总面积5185.92平方米，其中住房面积（含奖励）4521.28平方米，门店面积（含奖励）664.64平方米，选房27套，补偿款1444万元。拆迁安置房在环城路至医药公司仓库范围内建设。房屋拆除工作从2015年11月19日开始进行，现已拆除房屋60户，拆除房屋面积5461.02平方米。</w:t>
      </w:r>
    </w:p>
    <w:p w14:paraId="359B6CDD">
      <w:pPr>
        <w:rPr>
          <w:rFonts w:hint="eastAsia" w:hAnsi="宋体" w:eastAsia="宋体" w:cs="宋体"/>
          <w:highlight w:val="none"/>
          <w:lang w:eastAsia="zh-CN"/>
        </w:rPr>
      </w:pPr>
      <w:r>
        <w:rPr>
          <w:rFonts w:hint="eastAsia" w:hAnsi="宋体" w:cs="宋体"/>
          <w:b/>
          <w:bCs/>
          <w:highlight w:val="none"/>
        </w:rPr>
        <w:t>沿江东路路面升级改造工程</w:t>
      </w:r>
      <w:r>
        <w:rPr>
          <w:rFonts w:hint="eastAsia" w:cs="宋体"/>
          <w:b/>
          <w:bCs/>
          <w:highlight w:val="none"/>
          <w:lang w:val="en-US" w:eastAsia="zh-CN"/>
        </w:rPr>
        <w:t xml:space="preserve"> </w:t>
      </w:r>
      <w:r>
        <w:rPr>
          <w:rFonts w:hint="eastAsia" w:cs="宋体"/>
          <w:highlight w:val="none"/>
          <w:lang w:val="en-US" w:eastAsia="zh-CN"/>
        </w:rPr>
        <w:t xml:space="preserve"> </w:t>
      </w:r>
      <w:r>
        <w:rPr>
          <w:rFonts w:hint="eastAsia" w:hAnsi="宋体" w:cs="宋体"/>
          <w:highlight w:val="none"/>
        </w:rPr>
        <w:t>2015年，市委、市政府决定对沿江东路进行道路升级改造。改造项目建设规模为铺设沥青路面10871.73平方米，人行道块料铺设457.51平方米，花岗岩路缘石2254米，以及完善排水设施等。由南雄市人民政府采取公开招标方式对该项目进行公开招标，现招投标工作已完成，下一步将加快组织进场施工。</w:t>
      </w:r>
    </w:p>
    <w:p w14:paraId="5DE33F60">
      <w:pPr>
        <w:pStyle w:val="3"/>
        <w:bidi w:val="0"/>
        <w:rPr>
          <w:rFonts w:hint="eastAsia" w:eastAsia="宋体"/>
          <w:highlight w:val="none"/>
          <w:lang w:eastAsia="zh-CN"/>
        </w:rPr>
      </w:pPr>
      <w:r>
        <w:rPr>
          <w:rFonts w:hint="eastAsia"/>
          <w:highlight w:val="none"/>
        </w:rPr>
        <w:t>城乡环卫设施建设</w:t>
      </w:r>
    </w:p>
    <w:p w14:paraId="75A3D587">
      <w:pPr>
        <w:pStyle w:val="4"/>
        <w:bidi w:val="0"/>
        <w:rPr>
          <w:rFonts w:hint="eastAsia"/>
          <w:highlight w:val="none"/>
        </w:rPr>
      </w:pPr>
      <w:r>
        <w:rPr>
          <w:rFonts w:hint="eastAsia"/>
          <w:highlight w:val="none"/>
        </w:rPr>
        <w:t>【城乡环卫设施】</w:t>
      </w:r>
    </w:p>
    <w:p w14:paraId="02A23E30">
      <w:pPr>
        <w:rPr>
          <w:rFonts w:hint="eastAsia" w:hAnsi="宋体" w:cs="宋体"/>
          <w:highlight w:val="none"/>
        </w:rPr>
      </w:pPr>
      <w:r>
        <w:rPr>
          <w:rFonts w:hint="eastAsia" w:hAnsi="宋体" w:cs="宋体"/>
          <w:highlight w:val="none"/>
        </w:rPr>
        <w:t>以改善农村人居环境为重点，推进生态城乡建设，认真抓好农村生活垃圾处理、农村生活污水处理工作。</w:t>
      </w:r>
    </w:p>
    <w:p w14:paraId="682B0226">
      <w:pPr>
        <w:rPr>
          <w:rFonts w:hint="eastAsia" w:hAnsi="宋体" w:cs="宋体"/>
          <w:highlight w:val="none"/>
        </w:rPr>
      </w:pPr>
      <w:r>
        <w:rPr>
          <w:rFonts w:hint="eastAsia" w:hAnsi="宋体" w:cs="宋体"/>
          <w:b/>
          <w:bCs/>
          <w:highlight w:val="none"/>
        </w:rPr>
        <w:t>农村生活垃圾处理</w:t>
      </w:r>
      <w:r>
        <w:rPr>
          <w:rFonts w:hint="eastAsia" w:cs="宋体"/>
          <w:b/>
          <w:bCs/>
          <w:highlight w:val="none"/>
          <w:lang w:val="en-US" w:eastAsia="zh-CN"/>
        </w:rPr>
        <w:t xml:space="preserve"> </w:t>
      </w:r>
      <w:r>
        <w:rPr>
          <w:rFonts w:hint="eastAsia" w:cs="宋体"/>
          <w:highlight w:val="none"/>
          <w:lang w:val="en-US" w:eastAsia="zh-CN"/>
        </w:rPr>
        <w:t xml:space="preserve"> </w:t>
      </w:r>
      <w:r>
        <w:rPr>
          <w:rFonts w:hint="eastAsia" w:hAnsi="宋体" w:cs="宋体"/>
          <w:highlight w:val="none"/>
        </w:rPr>
        <w:t>2015年完成“一县一场、一镇一站、一村一点”必备硬件建设，生活垃圾处理基础设施得到完善。“户收集、村集中、镇转运、县处理”常态化工作机制搭起框架</w:t>
      </w:r>
      <w:r>
        <w:rPr>
          <w:rFonts w:hint="eastAsia" w:hAnsi="宋体" w:cs="宋体"/>
          <w:highlight w:val="none"/>
          <w:lang w:eastAsia="zh-CN"/>
        </w:rPr>
        <w:t>；</w:t>
      </w:r>
      <w:r>
        <w:rPr>
          <w:rFonts w:hint="eastAsia" w:hAnsi="宋体" w:cs="宋体"/>
          <w:highlight w:val="none"/>
        </w:rPr>
        <w:t>18台垃圾运输车辆和54台垃圾运输拖拉机也分配到各镇（街）。各镇镇区范围、交通主干道、59个省级帮扶村和51个整村推进村全面实现常态化管理。村庄保洁覆盖面达到60%，80%以上农村生活垃圾得到有效处理。</w:t>
      </w:r>
    </w:p>
    <w:p w14:paraId="17C8281A">
      <w:pPr>
        <w:rPr>
          <w:rFonts w:hint="eastAsia" w:hAnsi="宋体" w:cs="宋体"/>
          <w:highlight w:val="none"/>
        </w:rPr>
      </w:pPr>
      <w:r>
        <w:rPr>
          <w:rFonts w:hint="eastAsia" w:hAnsi="宋体" w:cs="宋体"/>
          <w:b/>
          <w:bCs/>
          <w:highlight w:val="none"/>
        </w:rPr>
        <w:t>农村生活污水处理</w:t>
      </w:r>
      <w:r>
        <w:rPr>
          <w:rFonts w:hint="eastAsia" w:cs="宋体"/>
          <w:highlight w:val="none"/>
          <w:lang w:val="en-US" w:eastAsia="zh-CN"/>
        </w:rPr>
        <w:t xml:space="preserve">  </w:t>
      </w:r>
      <w:r>
        <w:rPr>
          <w:rFonts w:hint="eastAsia" w:hAnsi="宋体" w:cs="宋体"/>
          <w:highlight w:val="none"/>
        </w:rPr>
        <w:t>完善17个镇污水处理厂和所有村村级污水处理设施建设。2015年底完成珠玑镇、乌迳镇、黄坑镇3个镇污水处理厂及配套市政管网建设。</w:t>
      </w:r>
    </w:p>
    <w:p w14:paraId="3A51F1FC">
      <w:pPr>
        <w:pStyle w:val="3"/>
        <w:bidi w:val="0"/>
        <w:rPr>
          <w:rFonts w:hint="eastAsia"/>
          <w:highlight w:val="none"/>
        </w:rPr>
      </w:pPr>
      <w:r>
        <w:rPr>
          <w:rFonts w:hint="eastAsia"/>
          <w:highlight w:val="none"/>
        </w:rPr>
        <w:t>建筑业管理</w:t>
      </w:r>
    </w:p>
    <w:p w14:paraId="03D9AE96">
      <w:pPr>
        <w:pStyle w:val="4"/>
        <w:bidi w:val="0"/>
        <w:rPr>
          <w:rFonts w:hint="eastAsia"/>
          <w:highlight w:val="none"/>
        </w:rPr>
      </w:pPr>
      <w:r>
        <w:rPr>
          <w:rFonts w:hint="eastAsia"/>
          <w:highlight w:val="none"/>
        </w:rPr>
        <w:t>【概况】</w:t>
      </w:r>
    </w:p>
    <w:p w14:paraId="6C2B2BD3">
      <w:pPr>
        <w:rPr>
          <w:rFonts w:hint="eastAsia" w:hAnsi="宋体" w:eastAsia="宋体" w:cs="宋体"/>
          <w:highlight w:val="none"/>
          <w:lang w:eastAsia="zh-CN"/>
        </w:rPr>
      </w:pPr>
      <w:r>
        <w:rPr>
          <w:rFonts w:hint="eastAsia" w:hAnsi="宋体" w:cs="宋体"/>
          <w:highlight w:val="none"/>
        </w:rPr>
        <w:t>2015年，建筑业持续较快发展，建筑业实现增加值9.07亿元，增长5.5%。资质等级及以上建筑企业9家</w:t>
      </w:r>
      <w:r>
        <w:rPr>
          <w:rFonts w:hint="eastAsia" w:hAnsi="宋体" w:cs="宋体"/>
          <w:highlight w:val="none"/>
          <w:lang w:eastAsia="zh-CN"/>
        </w:rPr>
        <w:t>，</w:t>
      </w:r>
      <w:r>
        <w:rPr>
          <w:rFonts w:hint="eastAsia" w:hAnsi="宋体" w:cs="宋体"/>
          <w:highlight w:val="none"/>
        </w:rPr>
        <w:t>完成建筑业总产值21.5亿元，增长2.2%；房屋施工面积197.04万平方米，下降0.7%；房屋竣工面积79.80万平方米，下降4.2%。</w:t>
      </w:r>
    </w:p>
    <w:p w14:paraId="74ACB6F5">
      <w:pPr>
        <w:pStyle w:val="4"/>
        <w:bidi w:val="0"/>
        <w:rPr>
          <w:rFonts w:hint="eastAsia"/>
          <w:highlight w:val="none"/>
        </w:rPr>
      </w:pPr>
      <w:r>
        <w:rPr>
          <w:rFonts w:hint="eastAsia"/>
          <w:highlight w:val="none"/>
        </w:rPr>
        <w:t>【建筑设计】</w:t>
      </w:r>
    </w:p>
    <w:p w14:paraId="5395D8AF">
      <w:pPr>
        <w:rPr>
          <w:rFonts w:hint="eastAsia" w:hAnsi="宋体" w:eastAsia="宋体" w:cs="宋体"/>
          <w:highlight w:val="none"/>
          <w:lang w:eastAsia="zh-CN"/>
        </w:rPr>
      </w:pPr>
      <w:r>
        <w:rPr>
          <w:rFonts w:hint="eastAsia" w:hAnsi="宋体" w:cs="宋体"/>
          <w:highlight w:val="none"/>
        </w:rPr>
        <w:t>2015年</w:t>
      </w:r>
      <w:r>
        <w:rPr>
          <w:rFonts w:hint="eastAsia" w:hAnsi="宋体" w:cs="宋体"/>
          <w:highlight w:val="none"/>
          <w:lang w:eastAsia="zh-CN"/>
        </w:rPr>
        <w:t>，</w:t>
      </w:r>
      <w:r>
        <w:rPr>
          <w:rFonts w:hint="eastAsia" w:hAnsi="宋体" w:cs="宋体"/>
          <w:highlight w:val="none"/>
        </w:rPr>
        <w:t>南雄市建筑设计院有专业技术人员17人，其中高级工程师4人，中级工程师10人，助理工程师3人；一级注册建筑师1人，一级注册结构师1人，二级注册建筑师3人，二级注册结构师1人。完成工程设计项目100项工程；地质勘探项目26宗，钻探完成6475.30米，桩基动测7宗，动测桩量410根，桩基抽芯56桩，抽芯完成917.9米。</w:t>
      </w:r>
    </w:p>
    <w:p w14:paraId="6B7BE859">
      <w:pPr>
        <w:pStyle w:val="4"/>
        <w:bidi w:val="0"/>
        <w:rPr>
          <w:rFonts w:hint="eastAsia"/>
          <w:highlight w:val="none"/>
        </w:rPr>
      </w:pPr>
      <w:r>
        <w:rPr>
          <w:rFonts w:hint="eastAsia"/>
          <w:highlight w:val="none"/>
        </w:rPr>
        <w:t>【建筑企业】</w:t>
      </w:r>
    </w:p>
    <w:p w14:paraId="18174977">
      <w:pPr>
        <w:rPr>
          <w:rFonts w:hint="eastAsia" w:hAnsi="宋体" w:cs="宋体"/>
          <w:highlight w:val="none"/>
        </w:rPr>
      </w:pPr>
      <w:r>
        <w:rPr>
          <w:rFonts w:hint="eastAsia" w:hAnsi="宋体" w:cs="宋体"/>
          <w:highlight w:val="none"/>
        </w:rPr>
        <w:t>2015年，全市施工企业资质中，房屋建筑工程施工总承包二级企业2家，为南雄市市政工程公司、广东省诚尊建筑工程有限公司；房屋建筑工程施工总承包三级企业4家，为南雄市建筑安装工程公司、南雄市雄州建筑工程公司、南雄市乐达建筑工程有限公司、广东广源达建设有限公司。</w:t>
      </w:r>
    </w:p>
    <w:p w14:paraId="3301FB47">
      <w:pPr>
        <w:pStyle w:val="3"/>
        <w:bidi w:val="0"/>
        <w:rPr>
          <w:rFonts w:hint="eastAsia"/>
          <w:highlight w:val="none"/>
        </w:rPr>
      </w:pPr>
      <w:r>
        <w:rPr>
          <w:rFonts w:hint="eastAsia"/>
          <w:highlight w:val="none"/>
        </w:rPr>
        <w:t>房地产业管理</w:t>
      </w:r>
    </w:p>
    <w:p w14:paraId="2EFD407D">
      <w:pPr>
        <w:pStyle w:val="4"/>
        <w:bidi w:val="0"/>
        <w:rPr>
          <w:rFonts w:hint="eastAsia"/>
          <w:highlight w:val="none"/>
        </w:rPr>
      </w:pPr>
      <w:r>
        <w:rPr>
          <w:rFonts w:hint="eastAsia"/>
          <w:highlight w:val="none"/>
        </w:rPr>
        <w:t>【概况】</w:t>
      </w:r>
    </w:p>
    <w:p w14:paraId="75D89B6B">
      <w:pPr>
        <w:rPr>
          <w:rFonts w:hint="eastAsia" w:hAnsi="宋体" w:eastAsia="宋体" w:cs="宋体"/>
          <w:highlight w:val="none"/>
          <w:lang w:eastAsia="zh-CN"/>
        </w:rPr>
      </w:pPr>
      <w:r>
        <w:rPr>
          <w:rFonts w:hint="eastAsia" w:hAnsi="宋体" w:cs="宋体"/>
          <w:highlight w:val="none"/>
        </w:rPr>
        <w:t>2015年，全市房地产投入资金近9亿元，核发预售许可证23宗，预售面积34.28万平方米；商品房销售面积26.55万平方米，销售套数为2549套，销售额为10.54亿元。完成全市28家房地产企业的日常管理，核发暂定资质2家。</w:t>
      </w:r>
    </w:p>
    <w:p w14:paraId="2532EF9B">
      <w:pPr>
        <w:pStyle w:val="4"/>
        <w:bidi w:val="0"/>
        <w:rPr>
          <w:rFonts w:hint="eastAsia"/>
          <w:highlight w:val="none"/>
        </w:rPr>
      </w:pPr>
      <w:r>
        <w:rPr>
          <w:rFonts w:hint="eastAsia"/>
          <w:highlight w:val="none"/>
        </w:rPr>
        <w:t>【房屋登记】</w:t>
      </w:r>
    </w:p>
    <w:p w14:paraId="150FD23D">
      <w:pPr>
        <w:rPr>
          <w:rFonts w:hint="eastAsia" w:hAnsi="宋体" w:eastAsia="宋体" w:cs="宋体"/>
          <w:highlight w:val="none"/>
          <w:lang w:eastAsia="zh-CN"/>
        </w:rPr>
      </w:pPr>
      <w:r>
        <w:rPr>
          <w:rFonts w:hint="eastAsia" w:hAnsi="宋体" w:cs="宋体"/>
          <w:highlight w:val="none"/>
        </w:rPr>
        <w:t>2015年办理房产权证1920户，面积14.47万平方米；（其中商品房住宅416宗</w:t>
      </w:r>
      <w:r>
        <w:rPr>
          <w:rFonts w:hint="eastAsia" w:hAnsi="宋体" w:cs="宋体"/>
          <w:highlight w:val="none"/>
          <w:lang w:eastAsia="zh-CN"/>
        </w:rPr>
        <w:t>，</w:t>
      </w:r>
      <w:r>
        <w:rPr>
          <w:rFonts w:hint="eastAsia" w:hAnsi="宋体" w:cs="宋体"/>
          <w:highlight w:val="none"/>
        </w:rPr>
        <w:t>面积4.51万平方米、非住宅50宗，面积0.28万平方米、单位新建38宗，面积3.53万平方米，二手房交易752宗，面积9.96万平方米）。商品房权属确认：权属证书16宗，面积17.8万平方米；初始权证1055户。在完成发证任务同时还办理房产抵押994宗，按揭1432宗。档案查询8021宗，整理归档产权档案1841份。</w:t>
      </w:r>
    </w:p>
    <w:p w14:paraId="23A306A4">
      <w:pPr>
        <w:pStyle w:val="4"/>
        <w:bidi w:val="0"/>
        <w:rPr>
          <w:rFonts w:hint="eastAsia"/>
          <w:highlight w:val="none"/>
        </w:rPr>
      </w:pPr>
      <w:r>
        <w:rPr>
          <w:rFonts w:hint="eastAsia"/>
          <w:highlight w:val="none"/>
        </w:rPr>
        <w:t>【公房管理】</w:t>
      </w:r>
    </w:p>
    <w:p w14:paraId="7FBFAAD9">
      <w:pPr>
        <w:rPr>
          <w:rFonts w:hint="eastAsia" w:hAnsi="宋体" w:cs="宋体"/>
          <w:highlight w:val="none"/>
          <w:vertAlign w:val="baseline"/>
        </w:rPr>
      </w:pPr>
      <w:r>
        <w:rPr>
          <w:rFonts w:hint="eastAsia" w:hAnsi="宋体" w:cs="宋体"/>
          <w:highlight w:val="none"/>
        </w:rPr>
        <w:t>实施直管公产房建设、申请、审批、分配安置、维护、租金收缴等工作。直管公房管理以“保安全”和“促增值”作为工作目标，抓好安全生产工作。加强危旧房巡查工作，在雨水多发季节，房管所党支部成立“雨季防汛防洪党员抢险突破队”，由班子成员、党员突击小组、房管员和入党积极分子组成。突击队分成5个突击小组，每个突击小组由1名班子成员带队巡查；采取全天候巡查方式，即雨季防汛期间不论是工作日还是节假日，白天和晚上各巡查一遍，务求对危旧房屋巡查做到不留死角。向所有住户公布24小时在线抢险电话。2015年全市公产房有919户，总面积8万多平方米。其中企业29户，房租上收率为95%。2015年维修旧瓦房、楼房480平方米，维修费用8万多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E9AB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144C55D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78" name="图片 233" descr="大福名城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3" descr="大福名城19"/>
                          <pic:cNvPicPr>
                            <a:picLocks noChangeAspect="1"/>
                          </pic:cNvPicPr>
                        </pic:nvPicPr>
                        <pic:blipFill>
                          <a:blip r:embed="rId83"/>
                          <a:stretch>
                            <a:fillRect/>
                          </a:stretch>
                        </pic:blipFill>
                        <pic:spPr>
                          <a:xfrm>
                            <a:off x="0" y="0"/>
                            <a:ext cx="3420110" cy="2279650"/>
                          </a:xfrm>
                          <a:prstGeom prst="rect">
                            <a:avLst/>
                          </a:prstGeom>
                          <a:noFill/>
                          <a:ln>
                            <a:noFill/>
                          </a:ln>
                        </pic:spPr>
                      </pic:pic>
                    </a:graphicData>
                  </a:graphic>
                </wp:inline>
              </w:drawing>
            </w:r>
          </w:p>
        </w:tc>
      </w:tr>
      <w:tr w14:paraId="18CC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7A5EABC">
            <w:pPr>
              <w:jc w:val="center"/>
              <w:rPr>
                <w:rFonts w:hint="eastAsia" w:hAnsi="宋体" w:cs="宋体"/>
                <w:highlight w:val="none"/>
                <w:vertAlign w:val="baseline"/>
              </w:rPr>
            </w:pPr>
            <w:r>
              <w:rPr>
                <w:rFonts w:hint="eastAsia" w:hAnsi="宋体" w:cs="宋体"/>
                <w:highlight w:val="none"/>
                <w:vertAlign w:val="baseline"/>
              </w:rPr>
              <w:t>大福名城楼盘</w:t>
            </w:r>
          </w:p>
        </w:tc>
      </w:tr>
    </w:tbl>
    <w:p w14:paraId="0FBD42C7">
      <w:pPr>
        <w:pStyle w:val="4"/>
        <w:bidi w:val="0"/>
        <w:rPr>
          <w:rFonts w:hint="eastAsia"/>
          <w:highlight w:val="none"/>
        </w:rPr>
      </w:pPr>
      <w:r>
        <w:rPr>
          <w:rFonts w:hint="eastAsia"/>
          <w:highlight w:val="none"/>
        </w:rPr>
        <w:t>【白蚁防治】</w:t>
      </w:r>
    </w:p>
    <w:p w14:paraId="1667AFC7">
      <w:pPr>
        <w:rPr>
          <w:rFonts w:hint="eastAsia" w:hAnsi="宋体" w:cs="宋体"/>
          <w:highlight w:val="none"/>
        </w:rPr>
      </w:pPr>
      <w:r>
        <w:rPr>
          <w:rFonts w:hint="eastAsia" w:hAnsi="宋体" w:cs="宋体"/>
          <w:highlight w:val="none"/>
        </w:rPr>
        <w:t>2015年开展白蚁防治业务25宗，面积23.95万平方米，白蚁防治收费98.03万元。</w:t>
      </w:r>
    </w:p>
    <w:p w14:paraId="70352F1D">
      <w:pPr>
        <w:pStyle w:val="3"/>
        <w:bidi w:val="0"/>
        <w:rPr>
          <w:rFonts w:hint="eastAsia"/>
          <w:highlight w:val="none"/>
        </w:rPr>
      </w:pPr>
      <w:r>
        <w:rPr>
          <w:rFonts w:hint="eastAsia"/>
          <w:highlight w:val="none"/>
        </w:rPr>
        <w:t>燃气安全管理</w:t>
      </w:r>
    </w:p>
    <w:p w14:paraId="2008D51D">
      <w:pPr>
        <w:pStyle w:val="4"/>
        <w:bidi w:val="0"/>
        <w:rPr>
          <w:rFonts w:hint="eastAsia"/>
          <w:highlight w:val="none"/>
        </w:rPr>
      </w:pPr>
      <w:r>
        <w:rPr>
          <w:rFonts w:hint="eastAsia"/>
          <w:highlight w:val="none"/>
        </w:rPr>
        <w:t>【概况】</w:t>
      </w:r>
    </w:p>
    <w:p w14:paraId="0EF856C4">
      <w:pPr>
        <w:rPr>
          <w:rFonts w:hint="eastAsia" w:hAnsi="宋体" w:eastAsia="宋体" w:cs="宋体"/>
          <w:highlight w:val="none"/>
          <w:lang w:eastAsia="zh-CN"/>
        </w:rPr>
      </w:pPr>
      <w:r>
        <w:rPr>
          <w:rFonts w:hint="eastAsia" w:hAnsi="宋体" w:cs="宋体"/>
          <w:highlight w:val="none"/>
        </w:rPr>
        <w:t>2015年，坚持牢固树立“责任重于泰山”意识，针对薄弱环节和突出问题，研究和制定行之有效措施，加强对各燃气企业、气站巡查检查工作，切实抓好燃气安全生产管理工作。</w:t>
      </w:r>
    </w:p>
    <w:p w14:paraId="2048D445">
      <w:pPr>
        <w:pStyle w:val="4"/>
        <w:bidi w:val="0"/>
        <w:rPr>
          <w:rFonts w:hint="eastAsia"/>
          <w:highlight w:val="none"/>
        </w:rPr>
      </w:pPr>
      <w:r>
        <w:rPr>
          <w:rFonts w:hint="eastAsia"/>
          <w:highlight w:val="none"/>
        </w:rPr>
        <w:t>【加强监管】</w:t>
      </w:r>
    </w:p>
    <w:p w14:paraId="16F80A36">
      <w:pPr>
        <w:ind w:firstLine="420"/>
        <w:rPr>
          <w:rFonts w:hint="eastAsia" w:hAnsi="宋体" w:cs="宋体"/>
          <w:highlight w:val="none"/>
        </w:rPr>
      </w:pPr>
      <w:r>
        <w:rPr>
          <w:rFonts w:hint="eastAsia" w:hAnsi="宋体" w:cs="宋体"/>
          <w:highlight w:val="none"/>
        </w:rPr>
        <w:t>加强对各燃气企业、气站巡查检查工作，与各燃气企业的负责人签订《燃气安全生产责任书》，切实抓好燃气安全管理。加强燃气安全知识宣传工作，要求有关人员坚持每月、每季到气站进行燃气安全检查监督工作，并督促企业领导、安全负责人，操作人员认真贯彻执行燃气安全技术规范和规程，在管道燃气方面，2015年，南雄佛燃天然气累计通气管线35公里，其中市政管31公里，庭院管4公里。新签约工业用户5家，新安装用户364户。（吴韬）</w:t>
      </w:r>
    </w:p>
    <w:p w14:paraId="58099222">
      <w:pPr>
        <w:rPr>
          <w:rFonts w:hint="eastAsia" w:hAnsi="宋体" w:eastAsia="宋体" w:cs="宋体"/>
          <w:b w:val="0"/>
          <w:bCs w:val="0"/>
          <w:highlight w:val="none"/>
          <w:lang w:eastAsia="zh-CN"/>
        </w:rPr>
      </w:pPr>
      <w:r>
        <w:rPr>
          <w:rFonts w:hint="eastAsia" w:hAnsi="宋体" w:cs="宋体"/>
          <w:b w:val="0"/>
          <w:bCs w:val="0"/>
          <w:highlight w:val="none"/>
        </w:rPr>
        <w:t>附：2015年市住建局领导班子成员名单</w:t>
      </w:r>
    </w:p>
    <w:p w14:paraId="53E6DA10">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长：吴良彬</w:t>
      </w:r>
    </w:p>
    <w:p w14:paraId="68E49005">
      <w:pPr>
        <w:rPr>
          <w:rFonts w:hint="eastAsia" w:hAnsi="宋体" w:eastAsia="宋体" w:cs="宋体"/>
          <w:highlight w:val="none"/>
          <w:lang w:eastAsia="zh-CN"/>
        </w:rPr>
      </w:pPr>
      <w:r>
        <w:rPr>
          <w:rFonts w:hint="eastAsia" w:hAnsi="宋体" w:cs="宋体"/>
          <w:highlight w:val="none"/>
        </w:rPr>
        <w:t>副局长：刘志军 刘景通</w:t>
      </w:r>
    </w:p>
    <w:p w14:paraId="76217965">
      <w:pPr>
        <w:rPr>
          <w:rFonts w:hint="eastAsia" w:hAnsi="宋体" w:eastAsia="宋体" w:cs="宋体"/>
          <w:highlight w:val="none"/>
          <w:lang w:eastAsia="zh-CN"/>
        </w:rPr>
      </w:pPr>
      <w:r>
        <w:rPr>
          <w:rFonts w:hint="eastAsia" w:hAnsi="宋体" w:cs="宋体"/>
          <w:highlight w:val="none"/>
        </w:rPr>
        <w:t>纪检组长：梁东宁</w:t>
      </w:r>
    </w:p>
    <w:p w14:paraId="182057DA">
      <w:pPr>
        <w:rPr>
          <w:rFonts w:hint="eastAsia" w:hAnsi="宋体" w:eastAsia="宋体" w:cs="宋体"/>
          <w:highlight w:val="none"/>
          <w:lang w:eastAsia="zh-CN"/>
        </w:rPr>
      </w:pPr>
      <w:r>
        <w:rPr>
          <w:rFonts w:hint="eastAsia" w:hAnsi="宋体" w:cs="宋体"/>
          <w:highlight w:val="none"/>
        </w:rPr>
        <w:t>党组成员：张学文</w:t>
      </w:r>
    </w:p>
    <w:p w14:paraId="40B0F39F">
      <w:pPr>
        <w:rPr>
          <w:rFonts w:hint="eastAsia" w:hAnsi="宋体" w:eastAsia="宋体" w:cs="宋体"/>
          <w:highlight w:val="none"/>
          <w:lang w:eastAsia="zh-CN"/>
        </w:rPr>
      </w:pPr>
      <w:r>
        <w:rPr>
          <w:rFonts w:hint="eastAsia" w:hAnsi="宋体" w:cs="宋体"/>
          <w:highlight w:val="none"/>
        </w:rPr>
        <w:t>工会主席：张明</w:t>
      </w:r>
    </w:p>
    <w:p w14:paraId="49E142B7">
      <w:pPr>
        <w:rPr>
          <w:rFonts w:hint="eastAsia" w:hAnsi="宋体" w:eastAsia="宋体" w:cs="宋体"/>
          <w:highlight w:val="none"/>
          <w:lang w:eastAsia="zh-CN"/>
        </w:rPr>
      </w:pPr>
      <w:r>
        <w:rPr>
          <w:rFonts w:hint="eastAsia" w:hAnsi="宋体" w:cs="宋体"/>
          <w:highlight w:val="none"/>
        </w:rPr>
        <w:t>总工程师：钟永汕</w:t>
      </w:r>
    </w:p>
    <w:p w14:paraId="0030D9A7">
      <w:pPr>
        <w:pStyle w:val="3"/>
        <w:bidi w:val="0"/>
        <w:rPr>
          <w:rFonts w:hint="eastAsia"/>
          <w:highlight w:val="none"/>
        </w:rPr>
      </w:pPr>
      <w:r>
        <w:rPr>
          <w:rFonts w:hint="eastAsia"/>
          <w:highlight w:val="none"/>
        </w:rPr>
        <w:t>城市管理</w:t>
      </w:r>
    </w:p>
    <w:p w14:paraId="6CAD0F8D">
      <w:pPr>
        <w:pStyle w:val="4"/>
        <w:bidi w:val="0"/>
        <w:rPr>
          <w:rFonts w:hint="eastAsia"/>
          <w:highlight w:val="none"/>
        </w:rPr>
      </w:pPr>
      <w:r>
        <w:rPr>
          <w:rFonts w:hint="eastAsia"/>
          <w:highlight w:val="none"/>
        </w:rPr>
        <w:t>【概况】</w:t>
      </w:r>
    </w:p>
    <w:p w14:paraId="4CAF2A76">
      <w:pPr>
        <w:rPr>
          <w:rFonts w:hint="eastAsia" w:hAnsi="宋体" w:eastAsia="宋体" w:cs="宋体"/>
          <w:highlight w:val="none"/>
          <w:lang w:eastAsia="zh-CN"/>
        </w:rPr>
      </w:pPr>
      <w:r>
        <w:rPr>
          <w:rFonts w:hint="eastAsia" w:hAnsi="宋体" w:cs="宋体"/>
          <w:highlight w:val="none"/>
        </w:rPr>
        <w:t>2014年城市综合管理局划入住房和城乡规划建设局。现坐落沿江东路125号。内设机构5个（办公室、人秘股、公用股、法制股、市容股），直属单位7个（城市综合管理执法大队、市容卫生管理所、园林管理所、液化石油气供应公司、国有土地上房屋征收与补偿办公室、市政管理所和市场物业管理站）。现有行政编制12名，其中，局长1名、副局长2名、纪检组长1名、股长4名、科员1名、其他干部3名。2015年，城管局获第四季度南雄市经济社会发展重大贡献奖（获奖项目，查处城区“三旧”改造地段违章建筑并在成功争取国家重点生态功能区县域生态环境质量考核转移支付资金项目获得奖励）、市人口和计划生育工作先进单位、市先进党总支和优质服务窗口等荣誉。</w:t>
      </w:r>
    </w:p>
    <w:p w14:paraId="2417B865">
      <w:pPr>
        <w:pStyle w:val="4"/>
        <w:bidi w:val="0"/>
        <w:rPr>
          <w:rFonts w:hint="eastAsia"/>
          <w:highlight w:val="none"/>
        </w:rPr>
      </w:pPr>
      <w:r>
        <w:rPr>
          <w:rFonts w:hint="eastAsia"/>
          <w:highlight w:val="none"/>
        </w:rPr>
        <w:t>【城市执法】</w:t>
      </w:r>
    </w:p>
    <w:p w14:paraId="513F12E9">
      <w:pPr>
        <w:ind w:firstLine="420"/>
        <w:rPr>
          <w:rFonts w:hint="eastAsia" w:hAnsi="宋体" w:eastAsia="宋体" w:cs="宋体"/>
          <w:highlight w:val="none"/>
          <w:lang w:eastAsia="zh-CN"/>
        </w:rPr>
      </w:pPr>
      <w:r>
        <w:rPr>
          <w:rFonts w:hint="eastAsia" w:hAnsi="宋体" w:cs="宋体"/>
          <w:highlight w:val="none"/>
        </w:rPr>
        <w:t>2015年，出动执法队员4200人次，发放《门前五包责任书》6000份；查处流动摊贩、马路市场及店外经营10500起；拆除乱搭雨棚、太阳伞1060只；清理建设装修、生活垃圾和水泥墩740吨；拆除违规横幅、灯箱及清除各类小广告1925处；铲除路边及小区菜地50宗；查处道路污染车辆46宗。</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C3EC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4CAB9E3">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566670"/>
                  <wp:effectExtent l="0" t="0" r="8890" b="5080"/>
                  <wp:docPr id="79" name="图片 234" descr="查处行动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34" descr="查处行动20"/>
                          <pic:cNvPicPr>
                            <a:picLocks noChangeAspect="1"/>
                          </pic:cNvPicPr>
                        </pic:nvPicPr>
                        <pic:blipFill>
                          <a:blip r:embed="rId84"/>
                          <a:stretch>
                            <a:fillRect/>
                          </a:stretch>
                        </pic:blipFill>
                        <pic:spPr>
                          <a:xfrm>
                            <a:off x="0" y="0"/>
                            <a:ext cx="3420110" cy="2566670"/>
                          </a:xfrm>
                          <a:prstGeom prst="rect">
                            <a:avLst/>
                          </a:prstGeom>
                          <a:noFill/>
                          <a:ln>
                            <a:noFill/>
                          </a:ln>
                        </pic:spPr>
                      </pic:pic>
                    </a:graphicData>
                  </a:graphic>
                </wp:inline>
              </w:drawing>
            </w:r>
          </w:p>
        </w:tc>
      </w:tr>
      <w:tr w14:paraId="7BCB9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3716678">
            <w:pPr>
              <w:jc w:val="center"/>
              <w:rPr>
                <w:rFonts w:hint="eastAsia" w:hAnsi="宋体" w:cs="宋体"/>
                <w:highlight w:val="none"/>
                <w:vertAlign w:val="baseline"/>
              </w:rPr>
            </w:pPr>
            <w:r>
              <w:rPr>
                <w:rFonts w:hint="eastAsia" w:hAnsi="宋体" w:cs="宋体"/>
                <w:highlight w:val="none"/>
                <w:vertAlign w:val="baseline"/>
              </w:rPr>
              <w:t>“两违”查处行动</w:t>
            </w:r>
          </w:p>
        </w:tc>
      </w:tr>
    </w:tbl>
    <w:p w14:paraId="40BF0FD4">
      <w:pPr>
        <w:pStyle w:val="4"/>
        <w:bidi w:val="0"/>
        <w:rPr>
          <w:rFonts w:hint="eastAsia"/>
          <w:highlight w:val="none"/>
        </w:rPr>
      </w:pPr>
      <w:r>
        <w:rPr>
          <w:rFonts w:hint="eastAsia"/>
          <w:highlight w:val="none"/>
        </w:rPr>
        <w:t>【“两违”查处】</w:t>
      </w:r>
    </w:p>
    <w:p w14:paraId="2FE81844">
      <w:pPr>
        <w:rPr>
          <w:rFonts w:hint="eastAsia" w:hAnsi="宋体" w:eastAsia="宋体" w:cs="宋体"/>
          <w:highlight w:val="none"/>
          <w:lang w:eastAsia="zh-CN"/>
        </w:rPr>
      </w:pPr>
      <w:r>
        <w:rPr>
          <w:rFonts w:hint="eastAsia" w:hAnsi="宋体" w:cs="宋体"/>
          <w:highlight w:val="none"/>
        </w:rPr>
        <w:t>2015年，联合雄州、建设、公安、供电、水厂等部门对莲塘、借村、田边水、河南街、水南等地违法建设进行严厉打击，采取停水、停电强制措施116户，制止违建抢建370户，拆除违法建筑48宗，拆除违法建筑面积7330平方米，扣缴违法违章建筑施工工具80批次。</w:t>
      </w:r>
    </w:p>
    <w:p w14:paraId="2AF8F4DF">
      <w:pPr>
        <w:pStyle w:val="4"/>
        <w:bidi w:val="0"/>
        <w:rPr>
          <w:rFonts w:hint="eastAsia"/>
          <w:highlight w:val="none"/>
        </w:rPr>
      </w:pPr>
      <w:r>
        <w:rPr>
          <w:rFonts w:hint="eastAsia"/>
          <w:highlight w:val="none"/>
        </w:rPr>
        <w:t>【环境卫生】</w:t>
      </w:r>
    </w:p>
    <w:p w14:paraId="53AAE677">
      <w:pPr>
        <w:rPr>
          <w:rFonts w:hint="eastAsia" w:hAnsi="宋体" w:eastAsia="宋体" w:cs="宋体"/>
          <w:highlight w:val="none"/>
          <w:lang w:eastAsia="zh-CN"/>
        </w:rPr>
      </w:pPr>
      <w:r>
        <w:rPr>
          <w:rFonts w:hint="eastAsia" w:hAnsi="宋体" w:cs="宋体"/>
          <w:highlight w:val="none"/>
        </w:rPr>
        <w:t>做好城区主、次街道以及没有形成小院子和不设门卫的小区空坪卫生保洁工作；不定期冲洗三影塔水池、土特产一条街、三影塔步行街、仁寿巷步行街、迎宾大道、旧323线等路段；抓好公厕卫生和药物灭杀“四害”工作；2015年，清理大型卫生死角19处，清理垃圾约35吨，清运卫生死角生活垃圾21吨。</w:t>
      </w:r>
    </w:p>
    <w:p w14:paraId="5ED94AF5">
      <w:pPr>
        <w:pStyle w:val="4"/>
        <w:bidi w:val="0"/>
        <w:rPr>
          <w:rFonts w:hint="eastAsia"/>
          <w:highlight w:val="none"/>
        </w:rPr>
      </w:pPr>
      <w:r>
        <w:rPr>
          <w:rFonts w:hint="eastAsia"/>
          <w:highlight w:val="none"/>
        </w:rPr>
        <w:t>【市政设施维护】</w:t>
      </w:r>
    </w:p>
    <w:p w14:paraId="73CAFF28">
      <w:pPr>
        <w:rPr>
          <w:rFonts w:hint="eastAsia" w:hAnsi="宋体" w:eastAsia="宋体" w:cs="宋体"/>
          <w:highlight w:val="none"/>
          <w:lang w:eastAsia="zh-CN"/>
        </w:rPr>
      </w:pPr>
      <w:r>
        <w:rPr>
          <w:rFonts w:hint="eastAsia" w:hAnsi="宋体" w:cs="宋体"/>
          <w:highlight w:val="none"/>
        </w:rPr>
        <w:t>做好城区市政基础设施以及街道沟渠、沉沙井维修和清疏工作；2015年，清疏下水道11084米，维修路面864平方米，修补人行道786平方米，修补、更换破烂大理石砖586块，更换雨水井35套，更换沉沙井179套，清运淤土513立方米，更换维修边沿石77米，新增排水口11个。</w:t>
      </w:r>
    </w:p>
    <w:p w14:paraId="164D1ACE">
      <w:pPr>
        <w:pStyle w:val="4"/>
        <w:bidi w:val="0"/>
        <w:rPr>
          <w:rFonts w:hint="eastAsia"/>
          <w:highlight w:val="none"/>
        </w:rPr>
      </w:pPr>
      <w:r>
        <w:rPr>
          <w:rFonts w:hint="eastAsia"/>
          <w:highlight w:val="none"/>
        </w:rPr>
        <w:t>【市场物业管理】</w:t>
      </w:r>
    </w:p>
    <w:p w14:paraId="3A69F502">
      <w:pPr>
        <w:rPr>
          <w:rFonts w:hint="eastAsia" w:hAnsi="宋体" w:eastAsia="宋体" w:cs="宋体"/>
          <w:highlight w:val="none"/>
          <w:lang w:eastAsia="zh-CN"/>
        </w:rPr>
      </w:pPr>
      <w:r>
        <w:rPr>
          <w:rFonts w:hint="eastAsia" w:hAnsi="宋体" w:cs="宋体"/>
          <w:highlight w:val="none"/>
        </w:rPr>
        <w:t>规范活禽交易市场管理，创造良好市场环境；开展市场环境卫生进行专项整治，2015年出动人员70多人次，出动市管车辆、洒水车、三轮车130多台次，清理市场卫生死角210多处，清运市场及市场周边路道余泥垃圾25吨。</w:t>
      </w:r>
    </w:p>
    <w:p w14:paraId="53C00491">
      <w:pPr>
        <w:pStyle w:val="4"/>
        <w:bidi w:val="0"/>
        <w:rPr>
          <w:rFonts w:hint="eastAsia"/>
          <w:highlight w:val="none"/>
        </w:rPr>
      </w:pPr>
      <w:r>
        <w:rPr>
          <w:rFonts w:hint="eastAsia"/>
          <w:highlight w:val="none"/>
        </w:rPr>
        <w:t>【园林绿化】</w:t>
      </w:r>
    </w:p>
    <w:p w14:paraId="48DDCBA9">
      <w:pPr>
        <w:rPr>
          <w:rFonts w:hint="eastAsia" w:hAnsi="宋体" w:cs="宋体"/>
          <w:highlight w:val="none"/>
        </w:rPr>
      </w:pPr>
      <w:r>
        <w:rPr>
          <w:rFonts w:hint="eastAsia" w:hAnsi="宋体" w:cs="宋体"/>
          <w:highlight w:val="none"/>
        </w:rPr>
        <w:t>2015年完成城市公共绿化补种面积300平方米；朝阳路添新绿，种植八月桂186株；浈江路补种乐昌含笑8株；完成三影塔广场绿化升级，种植柏树面积273平方米；完成沿江东路河边公园绿化，种植面积864平方米。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EDA5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A311E4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67585"/>
                  <wp:effectExtent l="0" t="0" r="8890" b="18415"/>
                  <wp:docPr id="80" name="图片 236" descr="三影塔广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6" descr="三影塔广场"/>
                          <pic:cNvPicPr>
                            <a:picLocks noChangeAspect="1"/>
                          </pic:cNvPicPr>
                        </pic:nvPicPr>
                        <pic:blipFill>
                          <a:blip r:embed="rId85"/>
                          <a:stretch>
                            <a:fillRect/>
                          </a:stretch>
                        </pic:blipFill>
                        <pic:spPr>
                          <a:xfrm>
                            <a:off x="0" y="0"/>
                            <a:ext cx="3420110" cy="2267585"/>
                          </a:xfrm>
                          <a:prstGeom prst="rect">
                            <a:avLst/>
                          </a:prstGeom>
                          <a:noFill/>
                          <a:ln>
                            <a:noFill/>
                          </a:ln>
                        </pic:spPr>
                      </pic:pic>
                    </a:graphicData>
                  </a:graphic>
                </wp:inline>
              </w:drawing>
            </w:r>
          </w:p>
        </w:tc>
      </w:tr>
      <w:tr w14:paraId="5EDB7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709468E">
            <w:pPr>
              <w:jc w:val="center"/>
              <w:rPr>
                <w:rFonts w:hint="eastAsia" w:hAnsi="宋体" w:cs="宋体"/>
                <w:highlight w:val="none"/>
                <w:vertAlign w:val="baseline"/>
              </w:rPr>
            </w:pPr>
            <w:r>
              <w:rPr>
                <w:rFonts w:hint="eastAsia" w:hAnsi="宋体" w:cs="宋体"/>
                <w:highlight w:val="none"/>
                <w:vertAlign w:val="baseline"/>
              </w:rPr>
              <w:t>举行《广东省城乡生活垃圾处理条例》暨“打苏区牌走生态路建设美丽南雄”活动仪式。</w:t>
            </w:r>
          </w:p>
        </w:tc>
      </w:tr>
    </w:tbl>
    <w:p w14:paraId="0E36B282">
      <w:pPr>
        <w:pStyle w:val="4"/>
        <w:bidi w:val="0"/>
        <w:rPr>
          <w:rFonts w:hint="eastAsia"/>
          <w:highlight w:val="none"/>
        </w:rPr>
      </w:pPr>
      <w:r>
        <w:rPr>
          <w:rFonts w:hint="eastAsia"/>
          <w:highlight w:val="none"/>
        </w:rPr>
        <w:t>【房屋征收】</w:t>
      </w:r>
    </w:p>
    <w:p w14:paraId="2E682A9A">
      <w:pPr>
        <w:rPr>
          <w:rFonts w:hint="eastAsia" w:hAnsi="宋体" w:eastAsia="宋体" w:cs="宋体"/>
          <w:highlight w:val="none"/>
          <w:lang w:eastAsia="zh-CN"/>
        </w:rPr>
      </w:pPr>
      <w:r>
        <w:rPr>
          <w:rFonts w:hint="eastAsia" w:hAnsi="宋体" w:cs="宋体"/>
          <w:highlight w:val="none"/>
        </w:rPr>
        <w:t>国有土地房屋征收情况：北城区莲塘路口总户数145户，已征收87户，已征收总面积9724.44平方米；陵园路总户数64户，已征收60户，已征收总面积4480.35平方米；做好环城路原医药公司棚改项目的搬迁工作。“三旧”改造地块拆迁情况：中医院南侧地块涉及拆迁户89户，签约78户，拆迁面积11314.42平方米；完成木制品厂地块，拆迁面积约3509.74平方米；花果山地块涉及拆迁户18户，签约11户，拆迁面积约3943.92平方米；中山街地块一涉及拆迁户332户，签约275户，拆迁面积约49391.52平方米；中山街地块二涉及拆迁户91户，签约71户，拆迁面积约15050.22平方米；雄州中学地块涉及拆迁户121户，签约97户，拆迁面积约10655.62平方米；河南街西侧地块涉及拆迁户57户，签约49户，拆迁面积11807.16平方米。</w:t>
      </w:r>
    </w:p>
    <w:p w14:paraId="245C7901">
      <w:pPr>
        <w:pStyle w:val="4"/>
        <w:bidi w:val="0"/>
        <w:rPr>
          <w:rFonts w:hint="eastAsia"/>
          <w:highlight w:val="none"/>
        </w:rPr>
      </w:pPr>
      <w:r>
        <w:rPr>
          <w:rFonts w:hint="eastAsia"/>
          <w:highlight w:val="none"/>
        </w:rPr>
        <w:t>【燃气安全】</w:t>
      </w:r>
    </w:p>
    <w:p w14:paraId="6C5E1260">
      <w:pPr>
        <w:rPr>
          <w:rFonts w:hint="eastAsia" w:hAnsi="宋体" w:eastAsia="宋体" w:cs="宋体"/>
          <w:highlight w:val="none"/>
          <w:lang w:eastAsia="zh-CN"/>
        </w:rPr>
      </w:pPr>
      <w:r>
        <w:rPr>
          <w:rFonts w:hint="eastAsia" w:hAnsi="宋体" w:cs="宋体"/>
          <w:highlight w:val="none"/>
        </w:rPr>
        <w:t>2015年在卸装台前安装防撞墙和反光装置；购置安全帽和防静电工作服；请专业公司安装和焊接站外候瓶区临边的防护杆及红白警示标志。全年销售液化气801.70吨，实现销售金额439.6万元，上缴税金25.9万元。</w:t>
      </w:r>
    </w:p>
    <w:p w14:paraId="212E689F">
      <w:pPr>
        <w:pStyle w:val="4"/>
        <w:bidi w:val="0"/>
        <w:rPr>
          <w:rFonts w:hint="eastAsia"/>
          <w:highlight w:val="none"/>
        </w:rPr>
      </w:pPr>
      <w:r>
        <w:rPr>
          <w:rFonts w:hint="eastAsia"/>
          <w:highlight w:val="none"/>
        </w:rPr>
        <w:t>【基础设施】</w:t>
      </w:r>
    </w:p>
    <w:p w14:paraId="241B47D5">
      <w:pPr>
        <w:rPr>
          <w:rFonts w:hint="eastAsia" w:hAnsi="宋体" w:eastAsia="宋体" w:cs="宋体"/>
          <w:highlight w:val="none"/>
          <w:lang w:eastAsia="zh-CN"/>
        </w:rPr>
      </w:pPr>
      <w:r>
        <w:rPr>
          <w:rFonts w:hint="eastAsia" w:hAnsi="宋体" w:cs="宋体"/>
          <w:highlight w:val="none"/>
        </w:rPr>
        <w:t>2015年在三影塔广场、新城市场周边安装179个警示桩；落实城区主、次干道“四防”装置666个，明渠改暗渠362米；在城区添置分类果皮箱200个、铁制垃圾桶150个，小区添置容量240升有盖塑料垃圾桶704个；增设密封式保洁手推车97台，手推车密闭盖120个，垃圾车3台。</w:t>
      </w:r>
    </w:p>
    <w:p w14:paraId="35C59FEC">
      <w:pPr>
        <w:pStyle w:val="4"/>
        <w:bidi w:val="0"/>
        <w:rPr>
          <w:rFonts w:hint="eastAsia"/>
          <w:highlight w:val="none"/>
        </w:rPr>
      </w:pPr>
      <w:r>
        <w:rPr>
          <w:rFonts w:hint="eastAsia"/>
          <w:highlight w:val="none"/>
        </w:rPr>
        <w:t>【工程建设】</w:t>
      </w:r>
    </w:p>
    <w:p w14:paraId="7820B0FD">
      <w:pPr>
        <w:rPr>
          <w:rFonts w:hint="eastAsia" w:hAnsi="宋体" w:cs="宋体"/>
          <w:highlight w:val="none"/>
        </w:rPr>
      </w:pPr>
      <w:r>
        <w:rPr>
          <w:rFonts w:hint="eastAsia" w:hAnsi="宋体" w:cs="宋体"/>
          <w:highlight w:val="none"/>
        </w:rPr>
        <w:t>1月完成新城市场升级改造</w:t>
      </w:r>
      <w:r>
        <w:rPr>
          <w:rFonts w:hint="eastAsia" w:hAnsi="宋体" w:cs="宋体"/>
          <w:highlight w:val="none"/>
          <w:lang w:eastAsia="zh-CN"/>
        </w:rPr>
        <w:t>，</w:t>
      </w:r>
      <w:r>
        <w:rPr>
          <w:rFonts w:hint="eastAsia" w:hAnsi="宋体" w:cs="宋体"/>
          <w:highlight w:val="none"/>
        </w:rPr>
        <w:t>改造面积1800多平方米，平整地面（土方）900多立方米，清理疏通下水道420米，修补市场地面70多平方米；2月完成新城中转站升级改造；8月完成满湖塘垃圾压缩站建设；垃圾填埋场工程建设，该工程建设选址在全安镇苍石村西南方向800米山坳，工程占地面积300亩，总库容量250万立方米，建成后日平均处理垃圾305吨。服务年限约20年，项目采用单层复合衬里防渗系统（HDPE膜+GCL），选用MBO+RO处理工艺进行渗滤液处理，达到《生活垃圾填埋场污染控制标准》（GB16889-2008）规定的水质排放标准。2016年3月全面完成工程建设，4月投入运营使用。</w:t>
      </w:r>
      <w:r>
        <w:rPr>
          <w:rFonts w:hint="eastAsia" w:hAnsi="宋体" w:cs="宋体"/>
          <w:highlight w:val="none"/>
          <w:lang w:eastAsia="zh-CN"/>
        </w:rPr>
        <w:t>（</w:t>
      </w:r>
      <w:r>
        <w:rPr>
          <w:rFonts w:hint="eastAsia" w:hAnsi="宋体" w:cs="宋体"/>
          <w:highlight w:val="none"/>
        </w:rPr>
        <w:t>李吉）</w:t>
      </w:r>
    </w:p>
    <w:p w14:paraId="6AB78799">
      <w:pPr>
        <w:rPr>
          <w:rFonts w:hint="eastAsia" w:hAnsi="宋体" w:eastAsia="宋体" w:cs="宋体"/>
          <w:b w:val="0"/>
          <w:bCs w:val="0"/>
          <w:highlight w:val="none"/>
          <w:lang w:eastAsia="zh-CN"/>
        </w:rPr>
      </w:pPr>
      <w:r>
        <w:rPr>
          <w:rFonts w:hint="eastAsia" w:hAnsi="宋体" w:cs="宋体"/>
          <w:b w:val="0"/>
          <w:bCs w:val="0"/>
          <w:highlight w:val="none"/>
        </w:rPr>
        <w:t>附：2015年市城管理局领导班子成员名单</w:t>
      </w:r>
    </w:p>
    <w:p w14:paraId="3D7099F6">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长：何荣生</w:t>
      </w:r>
    </w:p>
    <w:p w14:paraId="12ADD77A">
      <w:pPr>
        <w:rPr>
          <w:rFonts w:hint="eastAsia" w:hAnsi="宋体" w:eastAsia="宋体" w:cs="宋体"/>
          <w:highlight w:val="none"/>
          <w:lang w:eastAsia="zh-CN"/>
        </w:rPr>
      </w:pPr>
      <w:r>
        <w:rPr>
          <w:rFonts w:hint="eastAsia" w:hAnsi="宋体" w:cs="宋体"/>
          <w:b w:val="0"/>
          <w:bCs w:val="0"/>
          <w:highlight w:val="none"/>
        </w:rPr>
        <w:t>副局长：黄守强 王</w:t>
      </w:r>
      <w:r>
        <w:rPr>
          <w:rFonts w:hint="eastAsia" w:hAnsi="宋体" w:cs="宋体"/>
          <w:highlight w:val="none"/>
        </w:rPr>
        <w:t>树华</w:t>
      </w:r>
    </w:p>
    <w:p w14:paraId="70B25A04">
      <w:pPr>
        <w:rPr>
          <w:rFonts w:hint="eastAsia" w:hAnsi="宋体" w:eastAsia="宋体" w:cs="宋体"/>
          <w:highlight w:val="none"/>
          <w:lang w:eastAsia="zh-CN"/>
        </w:rPr>
      </w:pPr>
      <w:r>
        <w:rPr>
          <w:rFonts w:hint="eastAsia" w:hAnsi="宋体" w:cs="宋体"/>
          <w:highlight w:val="none"/>
        </w:rPr>
        <w:t>纪检组长：马喜成</w:t>
      </w:r>
    </w:p>
    <w:p w14:paraId="7B8AC1CB">
      <w:pPr>
        <w:pStyle w:val="3"/>
        <w:bidi w:val="0"/>
        <w:rPr>
          <w:rFonts w:hint="eastAsia" w:eastAsia="宋体"/>
          <w:highlight w:val="none"/>
          <w:lang w:eastAsia="zh-CN"/>
        </w:rPr>
      </w:pPr>
      <w:r>
        <w:rPr>
          <w:rFonts w:hint="eastAsia"/>
          <w:highlight w:val="none"/>
        </w:rPr>
        <w:t>环境保护</w:t>
      </w:r>
    </w:p>
    <w:p w14:paraId="4C725FB1">
      <w:pPr>
        <w:pStyle w:val="4"/>
        <w:bidi w:val="0"/>
        <w:rPr>
          <w:rFonts w:hint="eastAsia"/>
          <w:highlight w:val="none"/>
        </w:rPr>
      </w:pPr>
      <w:r>
        <w:rPr>
          <w:rFonts w:hint="eastAsia"/>
          <w:highlight w:val="none"/>
        </w:rPr>
        <w:t>【概况】</w:t>
      </w:r>
    </w:p>
    <w:p w14:paraId="3A0E68A1">
      <w:pPr>
        <w:rPr>
          <w:rFonts w:hint="eastAsia" w:hAnsi="宋体" w:eastAsia="宋体" w:cs="宋体"/>
          <w:highlight w:val="none"/>
          <w:lang w:eastAsia="zh-CN"/>
        </w:rPr>
      </w:pPr>
      <w:r>
        <w:rPr>
          <w:rFonts w:hint="eastAsia" w:hAnsi="宋体" w:cs="宋体"/>
          <w:highlight w:val="none"/>
        </w:rPr>
        <w:t>南雄市环境保护局成立于1981年5月，其前身是南雄县人民政府环境保护办公室，1987年5月更名为环境保护局，是市政府组成部门，正科级行政单位。其职责主要是：贯彻执行国家环保法律法规，实施环保制度，编制落实环保规划，发布环保信息，监管、防治环境污染，组织环境综合整治与行政执法，承担落实污染减排和各种环保考核任务。全局核有行政编制18名</w:t>
      </w:r>
      <w:r>
        <w:rPr>
          <w:rFonts w:hint="eastAsia" w:hAnsi="宋体" w:cs="宋体"/>
          <w:highlight w:val="none"/>
          <w:lang w:eastAsia="zh-CN"/>
        </w:rPr>
        <w:t>（</w:t>
      </w:r>
      <w:r>
        <w:rPr>
          <w:rFonts w:hint="eastAsia" w:hAnsi="宋体" w:cs="宋体"/>
          <w:highlight w:val="none"/>
        </w:rPr>
        <w:t>其中行政执法专项编制10名</w:t>
      </w:r>
      <w:r>
        <w:rPr>
          <w:rFonts w:hint="eastAsia" w:hAnsi="宋体" w:cs="宋体"/>
          <w:highlight w:val="none"/>
          <w:lang w:eastAsia="zh-CN"/>
        </w:rPr>
        <w:t>）</w:t>
      </w:r>
      <w:r>
        <w:rPr>
          <w:rFonts w:hint="eastAsia" w:hAnsi="宋体" w:cs="宋体"/>
          <w:highlight w:val="none"/>
        </w:rPr>
        <w:t>，其中局长1名，副局长职数3名。内设人事秘书股、规划审批股、污染控制股、环境应急与监察股（外挂环境监察分局）4个股室，下辖2个股级事业单位：环境监测站、广东省地表水水质自动监测系统南雄昆仑子站。核有监测站事业编制20名，昆仑子站事业编制6名。</w:t>
      </w:r>
    </w:p>
    <w:p w14:paraId="1F53270C">
      <w:pPr>
        <w:pStyle w:val="4"/>
        <w:bidi w:val="0"/>
        <w:rPr>
          <w:rFonts w:hint="eastAsia"/>
          <w:highlight w:val="none"/>
        </w:rPr>
      </w:pPr>
      <w:r>
        <w:rPr>
          <w:rFonts w:hint="eastAsia"/>
          <w:highlight w:val="none"/>
        </w:rPr>
        <w:t>【环境管理】</w:t>
      </w:r>
    </w:p>
    <w:p w14:paraId="5DBDE703">
      <w:pPr>
        <w:rPr>
          <w:rFonts w:hint="eastAsia" w:hAnsi="宋体" w:eastAsia="宋体" w:cs="宋体"/>
          <w:highlight w:val="none"/>
          <w:lang w:eastAsia="zh-CN"/>
        </w:rPr>
      </w:pPr>
      <w:r>
        <w:rPr>
          <w:rFonts w:hint="eastAsia" w:hAnsi="宋体" w:cs="宋体"/>
          <w:highlight w:val="none"/>
        </w:rPr>
        <w:t>2015年审批建设项目44个，办理“排放污染物许可证”56份，环评执行率100%。做好环保服务工作，协助3个中心镇完成污水处理厂建设工作，完成验收并投入运行；协助住建、园区加快推进城市污水处理厂及园区污水处理厂配套管网升级改造工作；重点协助华电热电冷联供项目顺利开展项目环评并获得国家环保部批复。开展南雄市“十三五”环境保护（生态保护）规划编制工作，完成南雄市城区噪声环境区划划定工作。2015年，争取孔江湿地公园、澜河稀土废弃矿点、环保能力建设等省级环保专项资金321万元，农业源减排扶持资金859.3万元和城镇污水处理设施奖补资金1700万元。组织开展国家重点生态功能区环境质量考核工作，在全省参考11个县市区中以第一名成绩争取生态转移支付资金8400多万。瀑布水库周边环境综合整治工程完成主体工程90%以上，累计完成投资210万元</w:t>
      </w:r>
      <w:r>
        <w:rPr>
          <w:rFonts w:hint="eastAsia" w:hAnsi="宋体" w:cs="宋体"/>
          <w:highlight w:val="none"/>
          <w:lang w:eastAsia="zh-CN"/>
        </w:rPr>
        <w:t>，</w:t>
      </w:r>
      <w:r>
        <w:rPr>
          <w:rFonts w:hint="eastAsia" w:hAnsi="宋体" w:cs="宋体"/>
          <w:highlight w:val="none"/>
        </w:rPr>
        <w:t>南雄市邓坊镇杨梅水库环境保护工程、南雄市（水口村、下楼村和石庄村）农村连片综合整治项目完成项目设计工作，现正在进行项目招投标工作。</w:t>
      </w:r>
    </w:p>
    <w:p w14:paraId="1C128566">
      <w:pPr>
        <w:pStyle w:val="4"/>
        <w:bidi w:val="0"/>
        <w:rPr>
          <w:rFonts w:hint="eastAsia"/>
          <w:highlight w:val="none"/>
        </w:rPr>
      </w:pPr>
      <w:r>
        <w:rPr>
          <w:rFonts w:hint="eastAsia"/>
          <w:highlight w:val="none"/>
        </w:rPr>
        <w:t>【污染防治】</w:t>
      </w:r>
    </w:p>
    <w:p w14:paraId="33E4BD72">
      <w:pPr>
        <w:rPr>
          <w:rFonts w:hint="eastAsia" w:hAnsi="宋体" w:cs="宋体"/>
          <w:highlight w:val="none"/>
        </w:rPr>
      </w:pPr>
      <w:r>
        <w:rPr>
          <w:rFonts w:hint="eastAsia" w:hAnsi="宋体" w:cs="宋体"/>
          <w:highlight w:val="none"/>
        </w:rPr>
        <w:t>制定并实施《2015年南雄市开展畜禽养殖污染减排综合整治工作要点》，对2014年污染减排养殖场进行倒逼督查，协调督促各镇（街道）做好禁养区、限养区、适养区的划定工作，制定辖区畜禽养殖业发展规划。开展2015年畜禽养殖污染整治督查，对存在问题正在督促整改。对坪田、珠玑、主田旅游景区内畜禽养殖污染进行重点整治，对景区内需清养关停28家畜禽养殖场和全市列入减排的121家养殖场开展重点整治，完成33家畜禽养殖场签订拆迁补偿协议，对位于坪田、帽子峰、主田、珠玑景区内及饮用水源地、村庄内人口密集区33家畜禽养殖场进行清栏停养，并通过市检查组验收。对畜禽养殖场下达限期整改通知30份，对21家畜禽养殖场进行立案调查，下达行政处罚事先告知书21份，作出行政处罚决定16家，出动执法人员840人次，检查养殖场280家。</w:t>
      </w:r>
    </w:p>
    <w:p w14:paraId="56FC81E0">
      <w:pPr>
        <w:rPr>
          <w:rFonts w:hint="eastAsia" w:hAnsi="宋体" w:eastAsia="宋体" w:cs="宋体"/>
          <w:highlight w:val="none"/>
          <w:lang w:eastAsia="zh-CN"/>
        </w:rPr>
      </w:pPr>
      <w:r>
        <w:rPr>
          <w:rFonts w:hint="eastAsia" w:hAnsi="宋体" w:cs="宋体"/>
          <w:highlight w:val="none"/>
        </w:rPr>
        <w:t>开展园区企业“未批先建、未验先投”环保专项检查工作，检查企业90家，查处未批先建企业10家，未验先投企业16家，正在安装设备企业3家，并按环保法律法规的相关要求，对相关企业下达限期整改通知，督促园区企业尽快通过环保“三同时”验收。累计出动执法人员704人次，检查企业328家次，下达限期整改通知111份，依法对18家违法企业进行立案调查，依法做出行政处罚的企业15家，累计罚款人民币达301910元；征收排污费123.6万元。</w:t>
      </w:r>
    </w:p>
    <w:p w14:paraId="119F4BD8">
      <w:pPr>
        <w:pStyle w:val="4"/>
        <w:bidi w:val="0"/>
        <w:rPr>
          <w:rFonts w:hint="eastAsia"/>
          <w:highlight w:val="none"/>
        </w:rPr>
      </w:pPr>
      <w:r>
        <w:rPr>
          <w:rFonts w:hint="eastAsia"/>
          <w:highlight w:val="none"/>
        </w:rPr>
        <w:t>【环境信访维稳】</w:t>
      </w:r>
    </w:p>
    <w:p w14:paraId="19B6627E">
      <w:pPr>
        <w:rPr>
          <w:rFonts w:hint="eastAsia" w:hAnsi="宋体" w:cs="宋体"/>
          <w:highlight w:val="none"/>
        </w:rPr>
      </w:pPr>
      <w:r>
        <w:rPr>
          <w:rFonts w:hint="eastAsia" w:hAnsi="宋体" w:cs="宋体"/>
          <w:highlight w:val="none"/>
        </w:rPr>
        <w:t>2015年受理各类环境问题信访事项总数141件，比上年同期下降16%，处理率100%，办结率100%。其中，电话投诉13宗，网络问政26件，办理OA监察网44件，来访22批42人，来信5件。办理省（市）转办案8件，办结8件，办结率100%；办理县（市）有关部门转办案23件，办结23件。水污染3件、大气污染26件、噪声污染31件，电磁辐射1件、第三产污染32件、畜养和农药化肥污染22件、粉尘1件、其他（咨询）25件。把矛盾纠纷化解在基层。</w:t>
      </w:r>
    </w:p>
    <w:p w14:paraId="11BB5086">
      <w:pPr>
        <w:pStyle w:val="4"/>
        <w:bidi w:val="0"/>
        <w:rPr>
          <w:rFonts w:hint="eastAsia"/>
          <w:highlight w:val="none"/>
        </w:rPr>
      </w:pPr>
      <w:r>
        <w:rPr>
          <w:rFonts w:hint="eastAsia"/>
          <w:highlight w:val="none"/>
        </w:rPr>
        <w:t>【环境监测】</w:t>
      </w:r>
    </w:p>
    <w:p w14:paraId="13DF5DAB">
      <w:pPr>
        <w:rPr>
          <w:rFonts w:hint="eastAsia" w:hAnsi="宋体" w:cs="宋体"/>
          <w:highlight w:val="none"/>
        </w:rPr>
      </w:pPr>
      <w:r>
        <w:rPr>
          <w:rFonts w:hint="eastAsia" w:hAnsi="宋体" w:cs="宋体"/>
          <w:highlight w:val="none"/>
        </w:rPr>
        <w:t>2015年出具监测报告：水145份，气45份，噪18份，综合报告100份。完成辖区内饮用水源、浈凌江河的断面、省、县2个交界断面（河坪、古市）水质监测，完成集中式生活饮用水水源地的常规监测，完成2015年度南雄市典型乡镇集中式生活饮用水珠玑镇河坑水源地水质监测以及南雄市17个乡镇饮用水水质监测。做好昆仑水站自动监测系统和全自动环境空气质量监测系统的监控监测和日常维护。完成“三废”污染物排放企业监督监测及存在环境污染事故与纠纷的企业单位进行应急和仲裁监测。</w:t>
      </w:r>
    </w:p>
    <w:p w14:paraId="0B11FDB1">
      <w:pPr>
        <w:pStyle w:val="4"/>
        <w:bidi w:val="0"/>
        <w:rPr>
          <w:rFonts w:hint="eastAsia"/>
          <w:highlight w:val="none"/>
        </w:rPr>
      </w:pPr>
      <w:r>
        <w:rPr>
          <w:rFonts w:hint="eastAsia"/>
          <w:highlight w:val="none"/>
        </w:rPr>
        <w:t>【环保宣传】</w:t>
      </w:r>
    </w:p>
    <w:p w14:paraId="6B969485">
      <w:pPr>
        <w:rPr>
          <w:rFonts w:hint="eastAsia" w:hAnsi="宋体" w:cs="宋体"/>
          <w:highlight w:val="none"/>
        </w:rPr>
      </w:pPr>
      <w:r>
        <w:rPr>
          <w:rFonts w:hint="eastAsia" w:hAnsi="宋体" w:cs="宋体"/>
          <w:highlight w:val="none"/>
        </w:rPr>
        <w:t>充分利用“6·5”世界环境日、扶贫“双到”和环保执法深入基层、进入企业和学校的机会，发放宣传资料，普及环保知识；为全市领导干部开展一堂“增强环保意识、建设生态南雄”讲座。与市广播电视台合作开辟《环保之窗》专栏，围绕群众关注环境热点问题开展调研，宣传环保法律法规与环保工作，让更多的群众了解环保、自觉参与环保；结合全省环境文化宣传活动，对前期制作23个宣传橱窗，分学校、企业、社区三种类别更新宣传内容，有针对性开展环保宣传教育；组织园区、国控重点排污企业负责人和环保执法人员参加新环保法及企业环境管理业务培训，加大对新环保法宣传力度，提高企业环保意识，做到知法、懂法、守法，努力营造社会各界广泛关心、关注、支持环保工作良好氛围。</w:t>
      </w:r>
    </w:p>
    <w:p w14:paraId="47C6E090">
      <w:pPr>
        <w:pStyle w:val="3"/>
        <w:bidi w:val="0"/>
        <w:rPr>
          <w:rFonts w:hint="eastAsia" w:eastAsia="宋体"/>
          <w:highlight w:val="none"/>
          <w:lang w:eastAsia="zh-CN"/>
        </w:rPr>
      </w:pPr>
      <w:r>
        <w:rPr>
          <w:rFonts w:hint="eastAsia"/>
          <w:highlight w:val="none"/>
        </w:rPr>
        <w:t>环境质量</w:t>
      </w:r>
    </w:p>
    <w:p w14:paraId="1E523954">
      <w:pPr>
        <w:pStyle w:val="4"/>
        <w:bidi w:val="0"/>
        <w:rPr>
          <w:rFonts w:hint="eastAsia"/>
          <w:highlight w:val="none"/>
        </w:rPr>
      </w:pPr>
      <w:r>
        <w:rPr>
          <w:rFonts w:hint="eastAsia"/>
          <w:highlight w:val="none"/>
        </w:rPr>
        <w:t>【概况】</w:t>
      </w:r>
    </w:p>
    <w:p w14:paraId="035F9EC6">
      <w:pPr>
        <w:rPr>
          <w:rFonts w:hint="eastAsia" w:hAnsi="宋体" w:eastAsia="宋体" w:cs="宋体"/>
          <w:highlight w:val="none"/>
          <w:lang w:eastAsia="zh-CN"/>
        </w:rPr>
      </w:pPr>
      <w:r>
        <w:rPr>
          <w:rFonts w:hint="eastAsia" w:hAnsi="宋体" w:cs="宋体"/>
          <w:highlight w:val="none"/>
        </w:rPr>
        <w:t>2015年全市环境质量状况为优良。全市全年空气质量优良以上达标率为100%；南雄市2015年饮用水源水质整体水质状况继续保持良好，总体综合污染指数与上年基本持平，达标率为100.0%；江河水质和声环境等级均达到相应功能区标准。</w:t>
      </w:r>
    </w:p>
    <w:p w14:paraId="75006DE6">
      <w:pPr>
        <w:pStyle w:val="4"/>
        <w:bidi w:val="0"/>
        <w:rPr>
          <w:rFonts w:hint="eastAsia"/>
          <w:highlight w:val="none"/>
        </w:rPr>
      </w:pPr>
      <w:r>
        <w:rPr>
          <w:rFonts w:hint="eastAsia"/>
          <w:highlight w:val="none"/>
        </w:rPr>
        <w:t>【水环境质量】</w:t>
      </w:r>
    </w:p>
    <w:p w14:paraId="185876B5">
      <w:pPr>
        <w:rPr>
          <w:rFonts w:hint="eastAsia" w:hAnsi="宋体" w:cs="宋体"/>
          <w:highlight w:val="none"/>
        </w:rPr>
      </w:pPr>
      <w:r>
        <w:rPr>
          <w:rFonts w:hint="eastAsia" w:hAnsi="宋体" w:cs="宋体"/>
          <w:highlight w:val="none"/>
        </w:rPr>
        <w:t>饮用水源水质为优。南雄市集中式生活饮用水源瀑布水库中库坝和塘坪2个断面年均值符合《地表水环境质量标准》（GB3838-2002）Ⅰ类水质标准。</w:t>
      </w:r>
    </w:p>
    <w:p w14:paraId="36D603F2">
      <w:pPr>
        <w:rPr>
          <w:rFonts w:hint="eastAsia" w:hAnsi="宋体" w:cs="宋体"/>
          <w:highlight w:val="none"/>
        </w:rPr>
      </w:pPr>
      <w:r>
        <w:rPr>
          <w:rFonts w:hint="eastAsia" w:hAnsi="宋体" w:cs="宋体"/>
          <w:highlight w:val="none"/>
        </w:rPr>
        <w:t>河流水质良好。浈江全河段水质类别以Ⅱ类水质为主，整体水质状况为优。</w:t>
      </w:r>
    </w:p>
    <w:p w14:paraId="530E2F01">
      <w:pPr>
        <w:pStyle w:val="4"/>
        <w:bidi w:val="0"/>
        <w:rPr>
          <w:rFonts w:hint="eastAsia"/>
          <w:highlight w:val="none"/>
        </w:rPr>
      </w:pPr>
      <w:r>
        <w:rPr>
          <w:rFonts w:hint="eastAsia"/>
          <w:highlight w:val="none"/>
        </w:rPr>
        <w:t>【大气环境质量】</w:t>
      </w:r>
    </w:p>
    <w:p w14:paraId="175DBEDB">
      <w:pPr>
        <w:rPr>
          <w:rFonts w:hint="eastAsia" w:hAnsi="宋体" w:cs="宋体"/>
          <w:highlight w:val="none"/>
        </w:rPr>
      </w:pPr>
      <w:r>
        <w:rPr>
          <w:rFonts w:hint="eastAsia" w:hAnsi="宋体" w:cs="宋体"/>
          <w:highlight w:val="none"/>
        </w:rPr>
        <w:t>2015年，南雄市空气质量监测指标主要是二氧化硫（SO2）、二氧化氮（NO2）、可吸入颗粒物（PM10）、降尘等项目。</w:t>
      </w:r>
    </w:p>
    <w:p w14:paraId="3CCC50B6">
      <w:pPr>
        <w:rPr>
          <w:rFonts w:hint="eastAsia" w:hAnsi="宋体" w:cs="宋体"/>
          <w:highlight w:val="none"/>
        </w:rPr>
      </w:pPr>
      <w:r>
        <w:rPr>
          <w:rFonts w:hint="eastAsia" w:hAnsi="宋体" w:cs="宋体"/>
          <w:highlight w:val="none"/>
        </w:rPr>
        <w:t>二氧化硫（SO2）年平均浓度值为0.015毫克/立方米、比上年（0.030毫克/立方米）下降了50%，达到国家环境空气质量一级标准（0.02毫克/立方米）；</w:t>
      </w:r>
    </w:p>
    <w:p w14:paraId="0E49E3BB">
      <w:pPr>
        <w:rPr>
          <w:rFonts w:hint="eastAsia" w:hAnsi="宋体" w:cs="宋体"/>
          <w:highlight w:val="none"/>
        </w:rPr>
      </w:pPr>
      <w:r>
        <w:rPr>
          <w:rFonts w:hint="eastAsia" w:hAnsi="宋体" w:cs="宋体"/>
          <w:highlight w:val="none"/>
        </w:rPr>
        <w:t>二氧化氮（NO2）年平均浓度值为0.009毫克/立方米、比上年（0.011毫克/立方米）下降了18.2%，达到国家环境空气质量一级标准（0.04毫克/立方米）；</w:t>
      </w:r>
    </w:p>
    <w:p w14:paraId="331F7635">
      <w:pPr>
        <w:rPr>
          <w:rFonts w:hint="eastAsia" w:hAnsi="宋体" w:cs="宋体"/>
          <w:highlight w:val="none"/>
        </w:rPr>
      </w:pPr>
      <w:r>
        <w:rPr>
          <w:rFonts w:hint="eastAsia" w:hAnsi="宋体" w:cs="宋体"/>
          <w:highlight w:val="none"/>
        </w:rPr>
        <w:t>可吸入颗粒物（PM10）年平均浓度值为0.036毫克/立方米、比上年（0.054毫克/立方米）下降了33.3%，达到国家环境空气质量一级标准（0.04毫克/立方米）；</w:t>
      </w:r>
    </w:p>
    <w:p w14:paraId="249CA2BB">
      <w:pPr>
        <w:rPr>
          <w:rFonts w:hint="eastAsia" w:hAnsi="宋体" w:cs="宋体"/>
          <w:highlight w:val="none"/>
        </w:rPr>
      </w:pPr>
      <w:r>
        <w:rPr>
          <w:rFonts w:hint="eastAsia" w:hAnsi="宋体" w:cs="宋体"/>
          <w:highlight w:val="none"/>
        </w:rPr>
        <w:t>降尘年平均浓度值为2.65吨/平方公里·月，低于广东省参考评价值（8.00吨/平方公里·月）。</w:t>
      </w:r>
    </w:p>
    <w:p w14:paraId="26AF55E4">
      <w:pPr>
        <w:rPr>
          <w:rFonts w:hint="eastAsia" w:hAnsi="宋体" w:cs="宋体"/>
          <w:highlight w:val="none"/>
        </w:rPr>
      </w:pPr>
      <w:r>
        <w:rPr>
          <w:rFonts w:hint="eastAsia" w:hAnsi="宋体" w:cs="宋体"/>
          <w:highlight w:val="none"/>
        </w:rPr>
        <w:t>从空气质量污染特征来看，4个指标污染指数均小于1，主要污染物为可吸入颗粒物（PM10）。市环境空气质量继续保持良好。</w:t>
      </w:r>
    </w:p>
    <w:p w14:paraId="6AF0215E">
      <w:pPr>
        <w:pStyle w:val="4"/>
        <w:bidi w:val="0"/>
        <w:rPr>
          <w:rFonts w:hint="eastAsia"/>
          <w:highlight w:val="none"/>
        </w:rPr>
      </w:pPr>
      <w:r>
        <w:rPr>
          <w:rFonts w:hint="eastAsia"/>
          <w:highlight w:val="none"/>
        </w:rPr>
        <w:t>【降水】</w:t>
      </w:r>
    </w:p>
    <w:p w14:paraId="41338619">
      <w:pPr>
        <w:rPr>
          <w:rFonts w:hint="eastAsia" w:hAnsi="宋体" w:cs="宋体"/>
          <w:highlight w:val="none"/>
        </w:rPr>
      </w:pPr>
      <w:r>
        <w:rPr>
          <w:rFonts w:hint="eastAsia" w:hAnsi="宋体" w:cs="宋体"/>
          <w:highlight w:val="none"/>
        </w:rPr>
        <w:t>2015年南雄市区降水pH值范围为4.08—5.2之间，降水pH值年均值为4.49，同比上年（4.89）下降0.40pH单位；酸雨频率为100%，与上年（100%）持平。</w:t>
      </w:r>
    </w:p>
    <w:p w14:paraId="25B283FE">
      <w:pPr>
        <w:pStyle w:val="4"/>
        <w:bidi w:val="0"/>
        <w:rPr>
          <w:rFonts w:hint="eastAsia"/>
          <w:highlight w:val="none"/>
        </w:rPr>
      </w:pPr>
      <w:r>
        <w:rPr>
          <w:rFonts w:hint="eastAsia"/>
          <w:highlight w:val="none"/>
        </w:rPr>
        <w:t>【声环境质量】</w:t>
      </w:r>
    </w:p>
    <w:p w14:paraId="31B99EB4">
      <w:pPr>
        <w:rPr>
          <w:rFonts w:hint="eastAsia" w:hAnsi="宋体" w:cs="宋体"/>
          <w:highlight w:val="none"/>
        </w:rPr>
      </w:pPr>
      <w:r>
        <w:rPr>
          <w:rFonts w:hint="eastAsia" w:hAnsi="宋体" w:cs="宋体"/>
          <w:highlight w:val="none"/>
        </w:rPr>
        <w:t>对城市区域环境噪声、道路交通噪声进行如下质量状况评价。</w:t>
      </w:r>
    </w:p>
    <w:p w14:paraId="3B8EFFCE">
      <w:pPr>
        <w:rPr>
          <w:rFonts w:hint="eastAsia" w:hAnsi="宋体" w:cs="宋体"/>
          <w:highlight w:val="none"/>
        </w:rPr>
      </w:pPr>
      <w:r>
        <w:rPr>
          <w:rFonts w:hint="eastAsia" w:hAnsi="宋体" w:cs="宋体"/>
          <w:highlight w:val="none"/>
        </w:rPr>
        <w:t>2015年城区道路交通噪声监测日期在12月，结果表明：全市城区10条主要道路交通噪声平均等效声级为70.26dB</w:t>
      </w:r>
      <w:r>
        <w:rPr>
          <w:rFonts w:hint="eastAsia" w:hAnsi="宋体" w:cs="宋体"/>
          <w:highlight w:val="none"/>
          <w:lang w:eastAsia="zh-CN"/>
        </w:rPr>
        <w:t>（</w:t>
      </w:r>
      <w:r>
        <w:rPr>
          <w:rFonts w:hint="eastAsia" w:hAnsi="宋体" w:cs="宋体"/>
          <w:highlight w:val="none"/>
        </w:rPr>
        <w:t>A</w:t>
      </w:r>
      <w:r>
        <w:rPr>
          <w:rFonts w:hint="eastAsia" w:hAnsi="宋体" w:cs="宋体"/>
          <w:highlight w:val="none"/>
          <w:lang w:eastAsia="zh-CN"/>
        </w:rPr>
        <w:t>）</w:t>
      </w:r>
      <w:r>
        <w:rPr>
          <w:rFonts w:hint="eastAsia" w:hAnsi="宋体" w:cs="宋体"/>
          <w:highlight w:val="none"/>
        </w:rPr>
        <w:t>，同比[2014年69.5dB</w:t>
      </w:r>
      <w:r>
        <w:rPr>
          <w:rFonts w:hint="eastAsia" w:hAnsi="宋体" w:cs="宋体"/>
          <w:highlight w:val="none"/>
          <w:lang w:eastAsia="zh-CN"/>
        </w:rPr>
        <w:t>（</w:t>
      </w:r>
      <w:r>
        <w:rPr>
          <w:rFonts w:hint="eastAsia" w:hAnsi="宋体" w:cs="宋体"/>
          <w:highlight w:val="none"/>
        </w:rPr>
        <w:t>A</w:t>
      </w:r>
      <w:r>
        <w:rPr>
          <w:rFonts w:hint="eastAsia" w:hAnsi="宋体" w:cs="宋体"/>
          <w:highlight w:val="none"/>
          <w:lang w:eastAsia="zh-CN"/>
        </w:rPr>
        <w:t>）</w:t>
      </w:r>
      <w:r>
        <w:rPr>
          <w:rFonts w:hint="eastAsia" w:hAnsi="宋体" w:cs="宋体"/>
          <w:highlight w:val="none"/>
        </w:rPr>
        <w:t>]变化幅度为1.08%，略高于4a类区（交通干线）环境噪声昼间标准值70.0dB</w:t>
      </w:r>
      <w:r>
        <w:rPr>
          <w:rFonts w:hint="eastAsia" w:hAnsi="宋体" w:cs="宋体"/>
          <w:highlight w:val="none"/>
          <w:lang w:eastAsia="zh-CN"/>
        </w:rPr>
        <w:t>（</w:t>
      </w:r>
      <w:r>
        <w:rPr>
          <w:rFonts w:hint="eastAsia" w:hAnsi="宋体" w:cs="宋体"/>
          <w:highlight w:val="none"/>
        </w:rPr>
        <w:t>A</w:t>
      </w:r>
      <w:r>
        <w:rPr>
          <w:rFonts w:hint="eastAsia" w:hAnsi="宋体" w:cs="宋体"/>
          <w:highlight w:val="none"/>
          <w:lang w:eastAsia="zh-CN"/>
        </w:rPr>
        <w:t>）</w:t>
      </w:r>
      <w:r>
        <w:rPr>
          <w:rFonts w:hint="eastAsia" w:hAnsi="宋体" w:cs="宋体"/>
          <w:highlight w:val="none"/>
        </w:rPr>
        <w:t>要求，道路交通噪声质量等级略高于功能区标准，主要是因为2015年城区10条主要道路平均车流量1033辆/小时，同比（2014年364辆/小时）变化幅度为183.6%。</w:t>
      </w:r>
    </w:p>
    <w:p w14:paraId="605ACC6A">
      <w:pPr>
        <w:rPr>
          <w:rFonts w:hint="eastAsia" w:hAnsi="宋体" w:cs="宋体"/>
          <w:highlight w:val="none"/>
        </w:rPr>
      </w:pPr>
      <w:r>
        <w:rPr>
          <w:rFonts w:hint="eastAsia" w:hAnsi="宋体" w:cs="宋体"/>
          <w:highlight w:val="none"/>
        </w:rPr>
        <w:t>城市区域环境噪声等效声级为49.9dB</w:t>
      </w:r>
      <w:r>
        <w:rPr>
          <w:rFonts w:hint="eastAsia" w:hAnsi="宋体" w:cs="宋体"/>
          <w:highlight w:val="none"/>
          <w:lang w:eastAsia="zh-CN"/>
        </w:rPr>
        <w:t>（</w:t>
      </w:r>
      <w:r>
        <w:rPr>
          <w:rFonts w:hint="eastAsia" w:hAnsi="宋体" w:cs="宋体"/>
          <w:highlight w:val="none"/>
        </w:rPr>
        <w:t>A</w:t>
      </w:r>
      <w:r>
        <w:rPr>
          <w:rFonts w:hint="eastAsia" w:hAnsi="宋体" w:cs="宋体"/>
          <w:highlight w:val="none"/>
          <w:lang w:eastAsia="zh-CN"/>
        </w:rPr>
        <w:t>）</w:t>
      </w:r>
      <w:r>
        <w:rPr>
          <w:rFonts w:hint="eastAsia" w:hAnsi="宋体" w:cs="宋体"/>
          <w:highlight w:val="none"/>
        </w:rPr>
        <w:t>，低于1类区55dB</w:t>
      </w:r>
      <w:r>
        <w:rPr>
          <w:rFonts w:hint="eastAsia" w:hAnsi="宋体" w:cs="宋体"/>
          <w:highlight w:val="none"/>
          <w:lang w:eastAsia="zh-CN"/>
        </w:rPr>
        <w:t>（</w:t>
      </w:r>
      <w:r>
        <w:rPr>
          <w:rFonts w:hint="eastAsia" w:hAnsi="宋体" w:cs="宋体"/>
          <w:highlight w:val="none"/>
        </w:rPr>
        <w:t>A</w:t>
      </w:r>
      <w:r>
        <w:rPr>
          <w:rFonts w:hint="eastAsia" w:hAnsi="宋体" w:cs="宋体"/>
          <w:highlight w:val="none"/>
          <w:lang w:eastAsia="zh-CN"/>
        </w:rPr>
        <w:t>）</w:t>
      </w:r>
      <w:r>
        <w:rPr>
          <w:rFonts w:hint="eastAsia" w:hAnsi="宋体" w:cs="宋体"/>
          <w:highlight w:val="none"/>
        </w:rPr>
        <w:t>的标准，2015年区域环境噪声质量等级达到相应功能区标准。（沈雄雄）</w:t>
      </w:r>
    </w:p>
    <w:p w14:paraId="5A0BB56E">
      <w:pPr>
        <w:rPr>
          <w:rFonts w:hint="eastAsia" w:hAnsi="宋体" w:eastAsia="宋体" w:cs="宋体"/>
          <w:b w:val="0"/>
          <w:bCs w:val="0"/>
          <w:highlight w:val="none"/>
          <w:lang w:eastAsia="zh-CN"/>
        </w:rPr>
      </w:pPr>
      <w:r>
        <w:rPr>
          <w:rFonts w:hint="eastAsia" w:hAnsi="宋体" w:cs="宋体"/>
          <w:b w:val="0"/>
          <w:bCs w:val="0"/>
          <w:highlight w:val="none"/>
        </w:rPr>
        <w:t>附：2015年市环境保护局领导班子成员名单</w:t>
      </w:r>
    </w:p>
    <w:p w14:paraId="5B646880">
      <w:pPr>
        <w:rPr>
          <w:rFonts w:hint="eastAsia" w:hAnsi="宋体" w:eastAsia="宋体" w:cs="宋体"/>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长：叶贤</w:t>
      </w:r>
      <w:r>
        <w:rPr>
          <w:rFonts w:hint="eastAsia" w:hAnsi="宋体" w:cs="宋体"/>
          <w:highlight w:val="none"/>
        </w:rPr>
        <w:t>银</w:t>
      </w:r>
    </w:p>
    <w:p w14:paraId="71CD4900">
      <w:pPr>
        <w:rPr>
          <w:rFonts w:hint="eastAsia" w:hAnsi="宋体" w:eastAsia="宋体" w:cs="宋体"/>
          <w:highlight w:val="none"/>
          <w:lang w:eastAsia="zh-CN"/>
        </w:rPr>
      </w:pPr>
      <w:r>
        <w:rPr>
          <w:rFonts w:hint="eastAsia" w:hAnsi="宋体" w:cs="宋体"/>
          <w:highlight w:val="none"/>
        </w:rPr>
        <w:t>副局长：王全生 袁小平</w:t>
      </w:r>
    </w:p>
    <w:p w14:paraId="3AF78FD9">
      <w:pPr>
        <w:rPr>
          <w:rFonts w:hint="eastAsia" w:hAnsi="宋体" w:eastAsia="宋体" w:cs="宋体"/>
          <w:highlight w:val="none"/>
          <w:lang w:eastAsia="zh-CN"/>
        </w:rPr>
      </w:pPr>
      <w:r>
        <w:rPr>
          <w:rFonts w:hint="eastAsia" w:hAnsi="宋体" w:cs="宋体"/>
          <w:highlight w:val="none"/>
        </w:rPr>
        <w:t>纪检组长：张宗正</w:t>
      </w:r>
    </w:p>
    <w:p w14:paraId="3A90071D">
      <w:pPr>
        <w:rPr>
          <w:rFonts w:hint="eastAsia" w:hAnsi="宋体" w:eastAsia="宋体" w:cs="宋体"/>
          <w:highlight w:val="none"/>
          <w:lang w:eastAsia="zh-CN"/>
        </w:rPr>
      </w:pPr>
      <w:r>
        <w:rPr>
          <w:rFonts w:hint="eastAsia" w:hAnsi="宋体" w:cs="宋体"/>
          <w:highlight w:val="none"/>
        </w:rPr>
        <w:t>工会主席：刘剑锐</w:t>
      </w:r>
    </w:p>
    <w:p w14:paraId="2D1B68B5">
      <w:pPr>
        <w:rPr>
          <w:rFonts w:hint="eastAsia" w:hAnsi="宋体" w:eastAsia="宋体" w:cs="宋体"/>
          <w:highlight w:val="none"/>
          <w:lang w:eastAsia="zh-CN"/>
        </w:rPr>
      </w:pPr>
      <w:r>
        <w:rPr>
          <w:rFonts w:hint="eastAsia" w:hAnsi="宋体" w:cs="宋体"/>
          <w:highlight w:val="none"/>
        </w:rPr>
        <w:t>监察分局局长：黄海辉</w:t>
      </w:r>
    </w:p>
    <w:p w14:paraId="50AAAF79">
      <w:pPr>
        <w:jc w:val="center"/>
        <w:rPr>
          <w:rFonts w:hint="eastAsia" w:hAnsi="宋体" w:cs="宋体"/>
          <w:highlight w:val="none"/>
        </w:rPr>
      </w:pPr>
      <w:r>
        <w:rPr>
          <w:rFonts w:hint="eastAsia" w:hAnsi="宋体" w:cs="宋体"/>
          <w:highlight w:val="none"/>
        </w:rPr>
        <w:t>南雄市饮用水水源地水质年度比较情况</w:t>
      </w:r>
    </w:p>
    <w:p w14:paraId="29639E47">
      <w:pPr>
        <w:rPr>
          <w:rFonts w:hint="eastAsia" w:hAnsi="宋体" w:cs="宋体"/>
          <w:highlight w:val="none"/>
        </w:rPr>
      </w:pPr>
      <w:r>
        <w:rPr>
          <w:rFonts w:hint="eastAsia" w:hAnsi="宋体" w:cs="宋体"/>
          <w:highlight w:val="none"/>
        </w:rPr>
        <w:t>表22</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957"/>
        <w:gridCol w:w="960"/>
        <w:gridCol w:w="1038"/>
        <w:gridCol w:w="1072"/>
        <w:gridCol w:w="1069"/>
        <w:gridCol w:w="1282"/>
        <w:gridCol w:w="1157"/>
      </w:tblGrid>
      <w:tr w14:paraId="2AE22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1169" w:type="dxa"/>
            <w:vMerge w:val="restart"/>
            <w:noWrap w:val="0"/>
            <w:vAlign w:val="center"/>
          </w:tcPr>
          <w:p w14:paraId="0096A6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饮用</w:t>
            </w:r>
          </w:p>
          <w:p w14:paraId="1A0DFD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水源地</w:t>
            </w:r>
          </w:p>
        </w:tc>
        <w:tc>
          <w:tcPr>
            <w:tcW w:w="3188" w:type="dxa"/>
            <w:gridSpan w:val="3"/>
            <w:noWrap w:val="0"/>
            <w:vAlign w:val="center"/>
          </w:tcPr>
          <w:p w14:paraId="47BAC6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综合污染指数</w:t>
            </w:r>
          </w:p>
        </w:tc>
        <w:tc>
          <w:tcPr>
            <w:tcW w:w="2314" w:type="dxa"/>
            <w:gridSpan w:val="2"/>
            <w:noWrap w:val="0"/>
            <w:vAlign w:val="center"/>
          </w:tcPr>
          <w:p w14:paraId="19821E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水质类别</w:t>
            </w:r>
          </w:p>
        </w:tc>
        <w:tc>
          <w:tcPr>
            <w:tcW w:w="2643" w:type="dxa"/>
            <w:gridSpan w:val="2"/>
            <w:noWrap w:val="0"/>
            <w:vAlign w:val="center"/>
          </w:tcPr>
          <w:p w14:paraId="5893FE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达标率</w:t>
            </w:r>
          </w:p>
        </w:tc>
      </w:tr>
      <w:tr w14:paraId="3BDB8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169" w:type="dxa"/>
            <w:vMerge w:val="continue"/>
            <w:noWrap w:val="0"/>
            <w:vAlign w:val="center"/>
          </w:tcPr>
          <w:p w14:paraId="4C1A94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32" w:type="dxa"/>
            <w:noWrap w:val="0"/>
            <w:vAlign w:val="center"/>
          </w:tcPr>
          <w:p w14:paraId="0AB82E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2014年</w:t>
            </w:r>
          </w:p>
        </w:tc>
        <w:tc>
          <w:tcPr>
            <w:tcW w:w="1035" w:type="dxa"/>
            <w:noWrap w:val="0"/>
            <w:vAlign w:val="center"/>
          </w:tcPr>
          <w:p w14:paraId="03D10C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c>
          <w:tcPr>
            <w:tcW w:w="1121" w:type="dxa"/>
            <w:noWrap w:val="0"/>
            <w:vAlign w:val="center"/>
          </w:tcPr>
          <w:p w14:paraId="1E565B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水质分级</w:t>
            </w:r>
          </w:p>
        </w:tc>
        <w:tc>
          <w:tcPr>
            <w:tcW w:w="1159" w:type="dxa"/>
            <w:noWrap w:val="0"/>
            <w:vAlign w:val="center"/>
          </w:tcPr>
          <w:p w14:paraId="4FBEA0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2014年</w:t>
            </w:r>
          </w:p>
        </w:tc>
        <w:tc>
          <w:tcPr>
            <w:tcW w:w="1155" w:type="dxa"/>
            <w:noWrap w:val="0"/>
            <w:vAlign w:val="center"/>
          </w:tcPr>
          <w:p w14:paraId="128755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c>
          <w:tcPr>
            <w:tcW w:w="1391" w:type="dxa"/>
            <w:noWrap w:val="0"/>
            <w:vAlign w:val="center"/>
          </w:tcPr>
          <w:p w14:paraId="288A79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2014年</w:t>
            </w:r>
          </w:p>
        </w:tc>
        <w:tc>
          <w:tcPr>
            <w:tcW w:w="1252" w:type="dxa"/>
            <w:noWrap w:val="0"/>
            <w:vAlign w:val="center"/>
          </w:tcPr>
          <w:p w14:paraId="2E2931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r>
      <w:tr w14:paraId="205AC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1169" w:type="dxa"/>
            <w:noWrap w:val="0"/>
            <w:vAlign w:val="center"/>
          </w:tcPr>
          <w:p w14:paraId="7C36EB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塘坪</w:t>
            </w:r>
          </w:p>
        </w:tc>
        <w:tc>
          <w:tcPr>
            <w:tcW w:w="1032" w:type="dxa"/>
            <w:noWrap w:val="0"/>
            <w:vAlign w:val="center"/>
          </w:tcPr>
          <w:p w14:paraId="131721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0.17</w:t>
            </w:r>
          </w:p>
        </w:tc>
        <w:tc>
          <w:tcPr>
            <w:tcW w:w="1035" w:type="dxa"/>
            <w:noWrap w:val="0"/>
            <w:vAlign w:val="center"/>
          </w:tcPr>
          <w:p w14:paraId="4A76B1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0.15</w:t>
            </w:r>
          </w:p>
        </w:tc>
        <w:tc>
          <w:tcPr>
            <w:tcW w:w="1121" w:type="dxa"/>
            <w:noWrap w:val="0"/>
            <w:vAlign w:val="center"/>
          </w:tcPr>
          <w:p w14:paraId="4D1191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清洁</w:t>
            </w:r>
          </w:p>
        </w:tc>
        <w:tc>
          <w:tcPr>
            <w:tcW w:w="1159" w:type="dxa"/>
            <w:noWrap w:val="0"/>
            <w:vAlign w:val="center"/>
          </w:tcPr>
          <w:p w14:paraId="78FC01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w:t>
            </w:r>
          </w:p>
        </w:tc>
        <w:tc>
          <w:tcPr>
            <w:tcW w:w="1155" w:type="dxa"/>
            <w:noWrap w:val="0"/>
            <w:vAlign w:val="center"/>
          </w:tcPr>
          <w:p w14:paraId="60BD0A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w:t>
            </w:r>
          </w:p>
        </w:tc>
        <w:tc>
          <w:tcPr>
            <w:tcW w:w="1391" w:type="dxa"/>
            <w:noWrap w:val="0"/>
            <w:vAlign w:val="center"/>
          </w:tcPr>
          <w:p w14:paraId="2FE5A0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100.0%</w:t>
            </w:r>
          </w:p>
        </w:tc>
        <w:tc>
          <w:tcPr>
            <w:tcW w:w="1252" w:type="dxa"/>
            <w:noWrap w:val="0"/>
            <w:vAlign w:val="center"/>
          </w:tcPr>
          <w:p w14:paraId="5E3772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100.0%</w:t>
            </w:r>
          </w:p>
        </w:tc>
      </w:tr>
      <w:tr w14:paraId="7AD43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169" w:type="dxa"/>
            <w:noWrap w:val="0"/>
            <w:vAlign w:val="center"/>
          </w:tcPr>
          <w:p w14:paraId="5E66E8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库坝</w:t>
            </w:r>
          </w:p>
        </w:tc>
        <w:tc>
          <w:tcPr>
            <w:tcW w:w="1032" w:type="dxa"/>
            <w:noWrap w:val="0"/>
            <w:vAlign w:val="center"/>
          </w:tcPr>
          <w:p w14:paraId="0E47C8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0.16</w:t>
            </w:r>
          </w:p>
        </w:tc>
        <w:tc>
          <w:tcPr>
            <w:tcW w:w="1035" w:type="dxa"/>
            <w:noWrap w:val="0"/>
            <w:vAlign w:val="center"/>
          </w:tcPr>
          <w:p w14:paraId="03976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0.15</w:t>
            </w:r>
          </w:p>
        </w:tc>
        <w:tc>
          <w:tcPr>
            <w:tcW w:w="1121" w:type="dxa"/>
            <w:noWrap w:val="0"/>
            <w:vAlign w:val="center"/>
          </w:tcPr>
          <w:p w14:paraId="5B7327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清洁</w:t>
            </w:r>
          </w:p>
        </w:tc>
        <w:tc>
          <w:tcPr>
            <w:tcW w:w="1159" w:type="dxa"/>
            <w:noWrap w:val="0"/>
            <w:vAlign w:val="center"/>
          </w:tcPr>
          <w:p w14:paraId="782ED2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w:t>
            </w:r>
          </w:p>
        </w:tc>
        <w:tc>
          <w:tcPr>
            <w:tcW w:w="1155" w:type="dxa"/>
            <w:noWrap w:val="0"/>
            <w:vAlign w:val="center"/>
          </w:tcPr>
          <w:p w14:paraId="186438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w:t>
            </w:r>
          </w:p>
        </w:tc>
        <w:tc>
          <w:tcPr>
            <w:tcW w:w="1391" w:type="dxa"/>
            <w:noWrap w:val="0"/>
            <w:vAlign w:val="center"/>
          </w:tcPr>
          <w:p w14:paraId="77F902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100.0%</w:t>
            </w:r>
          </w:p>
        </w:tc>
        <w:tc>
          <w:tcPr>
            <w:tcW w:w="1252" w:type="dxa"/>
            <w:noWrap w:val="0"/>
            <w:vAlign w:val="center"/>
          </w:tcPr>
          <w:p w14:paraId="5094C2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100.0%</w:t>
            </w:r>
          </w:p>
        </w:tc>
      </w:tr>
    </w:tbl>
    <w:p w14:paraId="27A10382">
      <w:pPr>
        <w:jc w:val="center"/>
        <w:rPr>
          <w:rFonts w:hint="eastAsia" w:hAnsi="宋体" w:eastAsia="宋体" w:cs="宋体"/>
          <w:highlight w:val="none"/>
          <w:lang w:eastAsia="zh-CN"/>
        </w:rPr>
      </w:pPr>
      <w:r>
        <w:rPr>
          <w:rFonts w:hint="eastAsia" w:hAnsi="宋体" w:cs="宋体"/>
          <w:highlight w:val="none"/>
        </w:rPr>
        <w:t>河流、流域（水系）水质定性评价分级</w:t>
      </w:r>
    </w:p>
    <w:p w14:paraId="4BE3C30B">
      <w:pPr>
        <w:rPr>
          <w:rFonts w:hint="eastAsia" w:hAnsi="宋体" w:cs="宋体"/>
          <w:highlight w:val="none"/>
        </w:rPr>
      </w:pPr>
      <w:r>
        <w:rPr>
          <w:rFonts w:hint="eastAsia" w:hAnsi="宋体" w:cs="宋体"/>
          <w:highlight w:val="none"/>
        </w:rPr>
        <w:t>表23</w:t>
      </w:r>
    </w:p>
    <w:tbl>
      <w:tblPr>
        <w:tblStyle w:val="7"/>
        <w:tblW w:w="87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8"/>
        <w:gridCol w:w="1578"/>
        <w:gridCol w:w="1665"/>
      </w:tblGrid>
      <w:tr w14:paraId="2DA80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528" w:type="dxa"/>
            <w:noWrap w:val="0"/>
            <w:vAlign w:val="center"/>
          </w:tcPr>
          <w:p w14:paraId="557063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水质类别</w:t>
            </w:r>
          </w:p>
        </w:tc>
        <w:tc>
          <w:tcPr>
            <w:tcW w:w="1578" w:type="dxa"/>
            <w:noWrap w:val="0"/>
            <w:vAlign w:val="center"/>
          </w:tcPr>
          <w:p w14:paraId="76A295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水质状况</w:t>
            </w:r>
          </w:p>
        </w:tc>
        <w:tc>
          <w:tcPr>
            <w:tcW w:w="1665" w:type="dxa"/>
            <w:noWrap w:val="0"/>
            <w:vAlign w:val="center"/>
          </w:tcPr>
          <w:p w14:paraId="2DD734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表征颜色</w:t>
            </w:r>
          </w:p>
        </w:tc>
      </w:tr>
      <w:tr w14:paraId="2CB82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5528" w:type="dxa"/>
            <w:noWrap w:val="0"/>
            <w:vAlign w:val="center"/>
          </w:tcPr>
          <w:p w14:paraId="6AA4FD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Ⅰ～Ⅲ类水质比例≥90%</w:t>
            </w:r>
          </w:p>
        </w:tc>
        <w:tc>
          <w:tcPr>
            <w:tcW w:w="1578" w:type="dxa"/>
            <w:noWrap w:val="0"/>
            <w:vAlign w:val="center"/>
          </w:tcPr>
          <w:p w14:paraId="03D3E6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优</w:t>
            </w:r>
          </w:p>
        </w:tc>
        <w:tc>
          <w:tcPr>
            <w:tcW w:w="1665" w:type="dxa"/>
            <w:noWrap w:val="0"/>
            <w:vAlign w:val="center"/>
          </w:tcPr>
          <w:p w14:paraId="0F46B5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蓝色</w:t>
            </w:r>
          </w:p>
        </w:tc>
      </w:tr>
      <w:tr w14:paraId="122EA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528" w:type="dxa"/>
            <w:noWrap w:val="0"/>
            <w:vAlign w:val="center"/>
          </w:tcPr>
          <w:p w14:paraId="5CB56A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75%≤Ⅰ～Ⅲ类水质比例＜90%</w:t>
            </w:r>
          </w:p>
        </w:tc>
        <w:tc>
          <w:tcPr>
            <w:tcW w:w="1578" w:type="dxa"/>
            <w:noWrap w:val="0"/>
            <w:vAlign w:val="center"/>
          </w:tcPr>
          <w:p w14:paraId="256605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良好</w:t>
            </w:r>
          </w:p>
        </w:tc>
        <w:tc>
          <w:tcPr>
            <w:tcW w:w="1665" w:type="dxa"/>
            <w:noWrap w:val="0"/>
            <w:vAlign w:val="center"/>
          </w:tcPr>
          <w:p w14:paraId="4F843F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绿色</w:t>
            </w:r>
          </w:p>
        </w:tc>
      </w:tr>
      <w:tr w14:paraId="259FD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5528" w:type="dxa"/>
            <w:noWrap w:val="0"/>
            <w:vAlign w:val="center"/>
          </w:tcPr>
          <w:p w14:paraId="167B43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Ⅰ～Ⅲ类水质比例＜75%，且劣Ⅴ类比例＜20%</w:t>
            </w:r>
          </w:p>
        </w:tc>
        <w:tc>
          <w:tcPr>
            <w:tcW w:w="1578" w:type="dxa"/>
            <w:noWrap w:val="0"/>
            <w:vAlign w:val="center"/>
          </w:tcPr>
          <w:p w14:paraId="114926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轻度污染</w:t>
            </w:r>
          </w:p>
        </w:tc>
        <w:tc>
          <w:tcPr>
            <w:tcW w:w="1665" w:type="dxa"/>
            <w:noWrap w:val="0"/>
            <w:vAlign w:val="center"/>
          </w:tcPr>
          <w:p w14:paraId="0BB349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黄色</w:t>
            </w:r>
          </w:p>
        </w:tc>
      </w:tr>
      <w:tr w14:paraId="26D79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5528" w:type="dxa"/>
            <w:noWrap w:val="0"/>
            <w:vAlign w:val="center"/>
          </w:tcPr>
          <w:p w14:paraId="5325BE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Ⅰ～Ⅲ类水质比例＜75%，且20%≤劣Ⅴ类比例＜40%</w:t>
            </w:r>
          </w:p>
        </w:tc>
        <w:tc>
          <w:tcPr>
            <w:tcW w:w="1578" w:type="dxa"/>
            <w:noWrap w:val="0"/>
            <w:vAlign w:val="center"/>
          </w:tcPr>
          <w:p w14:paraId="438B6B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中度污染</w:t>
            </w:r>
          </w:p>
        </w:tc>
        <w:tc>
          <w:tcPr>
            <w:tcW w:w="1665" w:type="dxa"/>
            <w:noWrap w:val="0"/>
            <w:vAlign w:val="center"/>
          </w:tcPr>
          <w:p w14:paraId="16B720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橙色</w:t>
            </w:r>
          </w:p>
        </w:tc>
      </w:tr>
      <w:tr w14:paraId="0393E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5528" w:type="dxa"/>
            <w:noWrap w:val="0"/>
            <w:vAlign w:val="center"/>
          </w:tcPr>
          <w:p w14:paraId="74836A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Ⅰ～Ⅲ类水质比例＜75%，且劣Ⅴ类比例≥40%</w:t>
            </w:r>
          </w:p>
        </w:tc>
        <w:tc>
          <w:tcPr>
            <w:tcW w:w="1578" w:type="dxa"/>
            <w:noWrap w:val="0"/>
            <w:vAlign w:val="center"/>
          </w:tcPr>
          <w:p w14:paraId="6889E2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重度污染</w:t>
            </w:r>
          </w:p>
        </w:tc>
        <w:tc>
          <w:tcPr>
            <w:tcW w:w="1665" w:type="dxa"/>
            <w:noWrap w:val="0"/>
            <w:vAlign w:val="center"/>
          </w:tcPr>
          <w:p w14:paraId="38D55B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红色</w:t>
            </w:r>
          </w:p>
        </w:tc>
      </w:tr>
    </w:tbl>
    <w:p w14:paraId="2C010D16">
      <w:pPr>
        <w:jc w:val="center"/>
        <w:rPr>
          <w:rFonts w:hint="eastAsia" w:hAnsi="宋体" w:cs="宋体"/>
          <w:highlight w:val="none"/>
        </w:rPr>
      </w:pPr>
      <w:r>
        <w:rPr>
          <w:rFonts w:hint="eastAsia" w:hAnsi="宋体" w:cs="宋体"/>
          <w:highlight w:val="none"/>
        </w:rPr>
        <w:t>全河段各断面水质类别占评价断面总数的比例</w:t>
      </w:r>
    </w:p>
    <w:p w14:paraId="2F4B50C3">
      <w:pPr>
        <w:rPr>
          <w:rFonts w:hint="eastAsia" w:hAnsi="宋体" w:cs="宋体"/>
          <w:highlight w:val="none"/>
        </w:rPr>
      </w:pPr>
      <w:r>
        <w:rPr>
          <w:rFonts w:hint="eastAsia" w:hAnsi="宋体" w:cs="宋体"/>
          <w:highlight w:val="none"/>
        </w:rPr>
        <w:t>表24</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1"/>
        <w:gridCol w:w="997"/>
        <w:gridCol w:w="998"/>
        <w:gridCol w:w="997"/>
        <w:gridCol w:w="998"/>
        <w:gridCol w:w="997"/>
        <w:gridCol w:w="998"/>
      </w:tblGrid>
      <w:tr w14:paraId="46B2E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78" w:type="dxa"/>
            <w:noWrap w:val="0"/>
            <w:vAlign w:val="top"/>
          </w:tcPr>
          <w:p w14:paraId="195A47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全河段</w:t>
            </w:r>
          </w:p>
          <w:p w14:paraId="7DB4E0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评价断面</w:t>
            </w:r>
          </w:p>
        </w:tc>
        <w:tc>
          <w:tcPr>
            <w:tcW w:w="1043" w:type="dxa"/>
            <w:noWrap w:val="0"/>
            <w:vAlign w:val="top"/>
          </w:tcPr>
          <w:p w14:paraId="0EF8D9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Ⅰ类水断面及比例</w:t>
            </w:r>
          </w:p>
        </w:tc>
        <w:tc>
          <w:tcPr>
            <w:tcW w:w="1044" w:type="dxa"/>
            <w:noWrap w:val="0"/>
            <w:vAlign w:val="top"/>
          </w:tcPr>
          <w:p w14:paraId="374DA1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Ⅱ类水断面及比例</w:t>
            </w:r>
          </w:p>
        </w:tc>
        <w:tc>
          <w:tcPr>
            <w:tcW w:w="1043" w:type="dxa"/>
            <w:noWrap w:val="0"/>
            <w:vAlign w:val="top"/>
          </w:tcPr>
          <w:p w14:paraId="64DEFA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Ⅲ类水断面及比例</w:t>
            </w:r>
          </w:p>
        </w:tc>
        <w:tc>
          <w:tcPr>
            <w:tcW w:w="1044" w:type="dxa"/>
            <w:noWrap w:val="0"/>
            <w:vAlign w:val="top"/>
          </w:tcPr>
          <w:p w14:paraId="0B35F3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Ⅳ类水断面及比例</w:t>
            </w:r>
          </w:p>
        </w:tc>
        <w:tc>
          <w:tcPr>
            <w:tcW w:w="1043" w:type="dxa"/>
            <w:noWrap w:val="0"/>
            <w:vAlign w:val="top"/>
          </w:tcPr>
          <w:p w14:paraId="6E54F8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Ⅴ类水断面</w:t>
            </w:r>
          </w:p>
          <w:p w14:paraId="283DD0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及比例</w:t>
            </w:r>
          </w:p>
        </w:tc>
        <w:tc>
          <w:tcPr>
            <w:tcW w:w="1044" w:type="dxa"/>
            <w:noWrap w:val="0"/>
            <w:vAlign w:val="top"/>
          </w:tcPr>
          <w:p w14:paraId="42B6DA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劣Ⅴ类水断面</w:t>
            </w:r>
          </w:p>
          <w:p w14:paraId="6EEFD5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及比例</w:t>
            </w:r>
          </w:p>
        </w:tc>
      </w:tr>
      <w:tr w14:paraId="57655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78" w:type="dxa"/>
            <w:noWrap w:val="0"/>
            <w:vAlign w:val="top"/>
          </w:tcPr>
          <w:p w14:paraId="177D8B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共5个：河坪、判官塘、河南桥、古市、凌江口</w:t>
            </w:r>
          </w:p>
        </w:tc>
        <w:tc>
          <w:tcPr>
            <w:tcW w:w="1043" w:type="dxa"/>
            <w:noWrap w:val="0"/>
            <w:vAlign w:val="center"/>
          </w:tcPr>
          <w:p w14:paraId="019DC4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44" w:type="dxa"/>
            <w:noWrap w:val="0"/>
            <w:vAlign w:val="center"/>
          </w:tcPr>
          <w:p w14:paraId="413608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w:t>
            </w:r>
          </w:p>
        </w:tc>
        <w:tc>
          <w:tcPr>
            <w:tcW w:w="1043" w:type="dxa"/>
            <w:noWrap w:val="0"/>
            <w:vAlign w:val="center"/>
          </w:tcPr>
          <w:p w14:paraId="536997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w:t>
            </w:r>
          </w:p>
        </w:tc>
        <w:tc>
          <w:tcPr>
            <w:tcW w:w="1044" w:type="dxa"/>
            <w:noWrap w:val="0"/>
            <w:vAlign w:val="center"/>
          </w:tcPr>
          <w:p w14:paraId="2994D4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43" w:type="dxa"/>
            <w:noWrap w:val="0"/>
            <w:vAlign w:val="center"/>
          </w:tcPr>
          <w:p w14:paraId="0A5F3C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44" w:type="dxa"/>
            <w:noWrap w:val="0"/>
            <w:vAlign w:val="center"/>
          </w:tcPr>
          <w:p w14:paraId="566450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r>
    </w:tbl>
    <w:p w14:paraId="06571ADF">
      <w:pPr>
        <w:jc w:val="center"/>
        <w:rPr>
          <w:rFonts w:hint="eastAsia" w:hAnsi="宋体" w:cs="宋体"/>
          <w:highlight w:val="none"/>
        </w:rPr>
      </w:pPr>
      <w:r>
        <w:rPr>
          <w:rFonts w:hint="eastAsia" w:hAnsi="宋体" w:cs="宋体"/>
          <w:highlight w:val="none"/>
        </w:rPr>
        <w:t>南雄市空气环境质量状况年度比较</w:t>
      </w:r>
    </w:p>
    <w:p w14:paraId="0EA66BEC">
      <w:pPr>
        <w:rPr>
          <w:rFonts w:hint="eastAsia" w:hAnsi="宋体" w:cs="宋体"/>
          <w:highlight w:val="none"/>
        </w:rPr>
      </w:pPr>
      <w:r>
        <w:rPr>
          <w:rFonts w:hint="eastAsia" w:hAnsi="宋体" w:cs="宋体"/>
          <w:highlight w:val="none"/>
        </w:rPr>
        <w:t>表25</w:t>
      </w:r>
    </w:p>
    <w:tbl>
      <w:tblPr>
        <w:tblStyle w:val="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5"/>
        <w:gridCol w:w="1266"/>
        <w:gridCol w:w="1163"/>
        <w:gridCol w:w="1790"/>
        <w:gridCol w:w="891"/>
        <w:gridCol w:w="1131"/>
      </w:tblGrid>
      <w:tr w14:paraId="2321B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2475" w:type="dxa"/>
            <w:noWrap w:val="0"/>
            <w:vAlign w:val="center"/>
          </w:tcPr>
          <w:p w14:paraId="5E2962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项    目</w:t>
            </w:r>
          </w:p>
        </w:tc>
        <w:tc>
          <w:tcPr>
            <w:tcW w:w="1314" w:type="dxa"/>
            <w:noWrap w:val="0"/>
            <w:vAlign w:val="center"/>
          </w:tcPr>
          <w:p w14:paraId="73883F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2014年年均值</w:t>
            </w:r>
          </w:p>
        </w:tc>
        <w:tc>
          <w:tcPr>
            <w:tcW w:w="1206" w:type="dxa"/>
            <w:noWrap w:val="0"/>
            <w:vAlign w:val="center"/>
          </w:tcPr>
          <w:p w14:paraId="4E3A7A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2015年年均值</w:t>
            </w:r>
          </w:p>
        </w:tc>
        <w:tc>
          <w:tcPr>
            <w:tcW w:w="1862" w:type="dxa"/>
            <w:noWrap w:val="0"/>
            <w:vAlign w:val="center"/>
          </w:tcPr>
          <w:p w14:paraId="347A07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2015年与2014年比的变化幅度</w:t>
            </w:r>
          </w:p>
        </w:tc>
        <w:tc>
          <w:tcPr>
            <w:tcW w:w="922" w:type="dxa"/>
            <w:noWrap w:val="0"/>
            <w:vAlign w:val="center"/>
          </w:tcPr>
          <w:p w14:paraId="351F9E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评价标准</w:t>
            </w:r>
          </w:p>
        </w:tc>
        <w:tc>
          <w:tcPr>
            <w:tcW w:w="1173" w:type="dxa"/>
            <w:noWrap w:val="0"/>
            <w:vAlign w:val="center"/>
          </w:tcPr>
          <w:p w14:paraId="71291E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2015年达标情况</w:t>
            </w:r>
          </w:p>
        </w:tc>
      </w:tr>
      <w:tr w14:paraId="4FB93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475" w:type="dxa"/>
            <w:noWrap w:val="0"/>
            <w:vAlign w:val="center"/>
          </w:tcPr>
          <w:p w14:paraId="246546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二氧化硫（mg/m3）</w:t>
            </w:r>
          </w:p>
        </w:tc>
        <w:tc>
          <w:tcPr>
            <w:tcW w:w="1314" w:type="dxa"/>
            <w:noWrap w:val="0"/>
            <w:vAlign w:val="center"/>
          </w:tcPr>
          <w:p w14:paraId="5BEAC5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0.030</w:t>
            </w:r>
          </w:p>
        </w:tc>
        <w:tc>
          <w:tcPr>
            <w:tcW w:w="1206" w:type="dxa"/>
            <w:noWrap w:val="0"/>
            <w:vAlign w:val="center"/>
          </w:tcPr>
          <w:p w14:paraId="3949CE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0.015</w:t>
            </w:r>
          </w:p>
        </w:tc>
        <w:tc>
          <w:tcPr>
            <w:tcW w:w="1862" w:type="dxa"/>
            <w:noWrap w:val="0"/>
            <w:vAlign w:val="center"/>
          </w:tcPr>
          <w:p w14:paraId="0B888A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-50.00%</w:t>
            </w:r>
          </w:p>
        </w:tc>
        <w:tc>
          <w:tcPr>
            <w:tcW w:w="922" w:type="dxa"/>
            <w:noWrap w:val="0"/>
            <w:vAlign w:val="center"/>
          </w:tcPr>
          <w:p w14:paraId="1DB0ED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0.06</w:t>
            </w:r>
          </w:p>
        </w:tc>
        <w:tc>
          <w:tcPr>
            <w:tcW w:w="1173" w:type="dxa"/>
            <w:noWrap w:val="0"/>
            <w:vAlign w:val="center"/>
          </w:tcPr>
          <w:p w14:paraId="1A0F45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达标</w:t>
            </w:r>
          </w:p>
        </w:tc>
      </w:tr>
      <w:tr w14:paraId="2BE4B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2475" w:type="dxa"/>
            <w:noWrap w:val="0"/>
            <w:vAlign w:val="center"/>
          </w:tcPr>
          <w:p w14:paraId="33D2BA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二氧化氮（mg/m3）</w:t>
            </w:r>
          </w:p>
        </w:tc>
        <w:tc>
          <w:tcPr>
            <w:tcW w:w="1314" w:type="dxa"/>
            <w:noWrap w:val="0"/>
            <w:vAlign w:val="center"/>
          </w:tcPr>
          <w:p w14:paraId="10CEDF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0.011</w:t>
            </w:r>
          </w:p>
        </w:tc>
        <w:tc>
          <w:tcPr>
            <w:tcW w:w="1206" w:type="dxa"/>
            <w:noWrap w:val="0"/>
            <w:vAlign w:val="center"/>
          </w:tcPr>
          <w:p w14:paraId="5F6C79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0.009</w:t>
            </w:r>
          </w:p>
        </w:tc>
        <w:tc>
          <w:tcPr>
            <w:tcW w:w="1862" w:type="dxa"/>
            <w:noWrap w:val="0"/>
            <w:vAlign w:val="center"/>
          </w:tcPr>
          <w:p w14:paraId="0224C4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-18.18%</w:t>
            </w:r>
          </w:p>
        </w:tc>
        <w:tc>
          <w:tcPr>
            <w:tcW w:w="922" w:type="dxa"/>
            <w:noWrap w:val="0"/>
            <w:vAlign w:val="center"/>
          </w:tcPr>
          <w:p w14:paraId="5FE425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0.08</w:t>
            </w:r>
          </w:p>
        </w:tc>
        <w:tc>
          <w:tcPr>
            <w:tcW w:w="1173" w:type="dxa"/>
            <w:noWrap w:val="0"/>
            <w:vAlign w:val="center"/>
          </w:tcPr>
          <w:p w14:paraId="113594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达标</w:t>
            </w:r>
          </w:p>
        </w:tc>
      </w:tr>
      <w:tr w14:paraId="50ABE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2475" w:type="dxa"/>
            <w:noWrap w:val="0"/>
            <w:vAlign w:val="center"/>
          </w:tcPr>
          <w:p w14:paraId="0336EA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可吸入颗粒物（mg/m3）</w:t>
            </w:r>
          </w:p>
        </w:tc>
        <w:tc>
          <w:tcPr>
            <w:tcW w:w="1314" w:type="dxa"/>
            <w:noWrap w:val="0"/>
            <w:vAlign w:val="center"/>
          </w:tcPr>
          <w:p w14:paraId="2A7F94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0.054</w:t>
            </w:r>
          </w:p>
        </w:tc>
        <w:tc>
          <w:tcPr>
            <w:tcW w:w="1206" w:type="dxa"/>
            <w:noWrap w:val="0"/>
            <w:vAlign w:val="center"/>
          </w:tcPr>
          <w:p w14:paraId="54A9E0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0.036</w:t>
            </w:r>
          </w:p>
        </w:tc>
        <w:tc>
          <w:tcPr>
            <w:tcW w:w="1862" w:type="dxa"/>
            <w:noWrap w:val="0"/>
            <w:vAlign w:val="center"/>
          </w:tcPr>
          <w:p w14:paraId="401484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-33.33%</w:t>
            </w:r>
          </w:p>
        </w:tc>
        <w:tc>
          <w:tcPr>
            <w:tcW w:w="922" w:type="dxa"/>
            <w:noWrap w:val="0"/>
            <w:vAlign w:val="center"/>
          </w:tcPr>
          <w:p w14:paraId="707418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w:t>
            </w:r>
          </w:p>
        </w:tc>
        <w:tc>
          <w:tcPr>
            <w:tcW w:w="1173" w:type="dxa"/>
            <w:noWrap w:val="0"/>
            <w:vAlign w:val="center"/>
          </w:tcPr>
          <w:p w14:paraId="15BB77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达标</w:t>
            </w:r>
          </w:p>
        </w:tc>
      </w:tr>
      <w:tr w14:paraId="79E17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2475" w:type="dxa"/>
            <w:noWrap w:val="0"/>
            <w:vAlign w:val="center"/>
          </w:tcPr>
          <w:p w14:paraId="11A1D6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降尘（t/km2·月）</w:t>
            </w:r>
          </w:p>
        </w:tc>
        <w:tc>
          <w:tcPr>
            <w:tcW w:w="1314" w:type="dxa"/>
            <w:noWrap w:val="0"/>
            <w:vAlign w:val="center"/>
          </w:tcPr>
          <w:p w14:paraId="225F44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2.59</w:t>
            </w:r>
          </w:p>
        </w:tc>
        <w:tc>
          <w:tcPr>
            <w:tcW w:w="1206" w:type="dxa"/>
            <w:noWrap w:val="0"/>
            <w:vAlign w:val="center"/>
          </w:tcPr>
          <w:p w14:paraId="30534C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2.65</w:t>
            </w:r>
          </w:p>
        </w:tc>
        <w:tc>
          <w:tcPr>
            <w:tcW w:w="1862" w:type="dxa"/>
            <w:noWrap w:val="0"/>
            <w:vAlign w:val="center"/>
          </w:tcPr>
          <w:p w14:paraId="11E3A8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2.32%</w:t>
            </w:r>
          </w:p>
        </w:tc>
        <w:tc>
          <w:tcPr>
            <w:tcW w:w="922" w:type="dxa"/>
            <w:noWrap w:val="0"/>
            <w:vAlign w:val="center"/>
          </w:tcPr>
          <w:p w14:paraId="6FBF88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173" w:type="dxa"/>
            <w:noWrap w:val="0"/>
            <w:vAlign w:val="center"/>
          </w:tcPr>
          <w:p w14:paraId="6E6C27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达标</w:t>
            </w:r>
          </w:p>
        </w:tc>
      </w:tr>
    </w:tbl>
    <w:p w14:paraId="105CE4B2">
      <w:pPr>
        <w:jc w:val="center"/>
        <w:rPr>
          <w:rFonts w:hint="eastAsia" w:hAnsi="宋体" w:cs="宋体"/>
          <w:b/>
          <w:highlight w:val="none"/>
        </w:rPr>
      </w:pPr>
      <w:r>
        <w:rPr>
          <w:rFonts w:hint="eastAsia" w:hAnsi="宋体" w:cs="宋体"/>
          <w:highlight w:val="none"/>
        </w:rPr>
        <w:t>2015年南雄市城区及各监测点位环境空气污染特征统</w:t>
      </w:r>
      <w:r>
        <w:rPr>
          <w:rFonts w:hint="eastAsia" w:hAnsi="宋体" w:cs="宋体"/>
          <w:b/>
          <w:highlight w:val="none"/>
        </w:rPr>
        <w:t>计</w:t>
      </w:r>
    </w:p>
    <w:p w14:paraId="69D5A87E">
      <w:pPr>
        <w:ind w:firstLine="420"/>
        <w:rPr>
          <w:rFonts w:hint="eastAsia" w:hAnsi="宋体" w:cs="宋体"/>
          <w:highlight w:val="none"/>
        </w:rPr>
      </w:pPr>
      <w:r>
        <w:rPr>
          <w:rFonts w:hint="eastAsia" w:hAnsi="宋体" w:cs="宋体"/>
          <w:b/>
          <w:highlight w:val="none"/>
        </w:rPr>
        <w:t xml:space="preserve">表26                       </w:t>
      </w:r>
      <w:r>
        <w:rPr>
          <w:rFonts w:hint="eastAsia" w:hAnsi="宋体" w:cs="宋体"/>
          <w:highlight w:val="none"/>
        </w:rPr>
        <w:t xml:space="preserve">   单位：毫克/立方米（其中降尘：吨/（平方公里·月）</w:t>
      </w:r>
    </w:p>
    <w:tbl>
      <w:tblPr>
        <w:tblStyle w:val="7"/>
        <w:tblW w:w="5000" w:type="pct"/>
        <w:jc w:val="center"/>
        <w:tblLayout w:type="fixed"/>
        <w:tblCellMar>
          <w:top w:w="0" w:type="dxa"/>
          <w:left w:w="108" w:type="dxa"/>
          <w:bottom w:w="0" w:type="dxa"/>
          <w:right w:w="108" w:type="dxa"/>
        </w:tblCellMar>
      </w:tblPr>
      <w:tblGrid>
        <w:gridCol w:w="775"/>
        <w:gridCol w:w="1978"/>
        <w:gridCol w:w="1377"/>
        <w:gridCol w:w="1377"/>
        <w:gridCol w:w="1732"/>
        <w:gridCol w:w="1377"/>
      </w:tblGrid>
      <w:tr w14:paraId="7C866ED2">
        <w:tblPrEx>
          <w:tblCellMar>
            <w:top w:w="0" w:type="dxa"/>
            <w:left w:w="108" w:type="dxa"/>
            <w:bottom w:w="0" w:type="dxa"/>
            <w:right w:w="108" w:type="dxa"/>
          </w:tblCellMar>
        </w:tblPrEx>
        <w:trPr>
          <w:trHeight w:val="491" w:hRule="atLeast"/>
          <w:jc w:val="center"/>
        </w:trPr>
        <w:tc>
          <w:tcPr>
            <w:tcW w:w="729" w:type="dxa"/>
            <w:vMerge w:val="restart"/>
            <w:tcBorders>
              <w:top w:val="single" w:color="auto" w:sz="4" w:space="0"/>
              <w:left w:val="single" w:color="auto" w:sz="4" w:space="0"/>
              <w:bottom w:val="single" w:color="auto" w:sz="4" w:space="0"/>
              <w:right w:val="single" w:color="auto" w:sz="4" w:space="0"/>
            </w:tcBorders>
            <w:noWrap w:val="0"/>
            <w:vAlign w:val="center"/>
          </w:tcPr>
          <w:p w14:paraId="24823C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序号</w:t>
            </w:r>
          </w:p>
        </w:tc>
        <w:tc>
          <w:tcPr>
            <w:tcW w:w="1860" w:type="dxa"/>
            <w:vMerge w:val="restart"/>
            <w:tcBorders>
              <w:top w:val="single" w:color="auto" w:sz="4" w:space="0"/>
              <w:left w:val="nil"/>
              <w:bottom w:val="single" w:color="auto" w:sz="4" w:space="0"/>
              <w:right w:val="single" w:color="auto" w:sz="4" w:space="0"/>
            </w:tcBorders>
            <w:noWrap w:val="0"/>
            <w:vAlign w:val="center"/>
          </w:tcPr>
          <w:p w14:paraId="46BA17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路段名称</w:t>
            </w:r>
          </w:p>
        </w:tc>
        <w:tc>
          <w:tcPr>
            <w:tcW w:w="1295" w:type="dxa"/>
            <w:vMerge w:val="restart"/>
            <w:tcBorders>
              <w:top w:val="single" w:color="auto" w:sz="4" w:space="0"/>
              <w:left w:val="nil"/>
              <w:bottom w:val="single" w:color="auto" w:sz="4" w:space="0"/>
              <w:right w:val="single" w:color="auto" w:sz="4" w:space="0"/>
            </w:tcBorders>
            <w:noWrap w:val="0"/>
            <w:vAlign w:val="center"/>
          </w:tcPr>
          <w:p w14:paraId="3E07BA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路段长度</w:t>
            </w:r>
            <w:r>
              <w:rPr>
                <w:rFonts w:hint="eastAsia"/>
                <w:highlight w:val="none"/>
                <w:lang w:eastAsia="zh-CN"/>
              </w:rPr>
              <w:t>（</w:t>
            </w:r>
            <w:r>
              <w:rPr>
                <w:rFonts w:hint="eastAsia"/>
                <w:highlight w:val="none"/>
              </w:rPr>
              <w:t>m</w:t>
            </w:r>
            <w:r>
              <w:rPr>
                <w:rFonts w:hint="eastAsia"/>
                <w:highlight w:val="none"/>
                <w:lang w:eastAsia="zh-CN"/>
              </w:rPr>
              <w:t>）</w:t>
            </w:r>
          </w:p>
        </w:tc>
        <w:tc>
          <w:tcPr>
            <w:tcW w:w="1295" w:type="dxa"/>
            <w:vMerge w:val="restart"/>
            <w:tcBorders>
              <w:top w:val="single" w:color="auto" w:sz="4" w:space="0"/>
              <w:left w:val="nil"/>
              <w:bottom w:val="single" w:color="auto" w:sz="4" w:space="0"/>
              <w:right w:val="single" w:color="auto" w:sz="4" w:space="0"/>
            </w:tcBorders>
            <w:noWrap w:val="0"/>
            <w:vAlign w:val="center"/>
          </w:tcPr>
          <w:p w14:paraId="49F443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路段宽度</w:t>
            </w:r>
          </w:p>
        </w:tc>
        <w:tc>
          <w:tcPr>
            <w:tcW w:w="1629" w:type="dxa"/>
            <w:vMerge w:val="restart"/>
            <w:tcBorders>
              <w:top w:val="single" w:color="auto" w:sz="4" w:space="0"/>
              <w:left w:val="nil"/>
              <w:bottom w:val="single" w:color="auto" w:sz="4" w:space="0"/>
              <w:right w:val="single" w:color="auto" w:sz="4" w:space="0"/>
            </w:tcBorders>
            <w:noWrap w:val="0"/>
            <w:vAlign w:val="center"/>
          </w:tcPr>
          <w:p w14:paraId="68F843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平均车流量</w:t>
            </w:r>
          </w:p>
          <w:p w14:paraId="621FD3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辆/小时</w:t>
            </w:r>
            <w:r>
              <w:rPr>
                <w:rFonts w:hint="eastAsia"/>
                <w:highlight w:val="none"/>
                <w:lang w:eastAsia="zh-CN"/>
              </w:rPr>
              <w:t>）</w:t>
            </w:r>
          </w:p>
        </w:tc>
        <w:tc>
          <w:tcPr>
            <w:tcW w:w="1295" w:type="dxa"/>
            <w:tcBorders>
              <w:top w:val="single" w:color="auto" w:sz="4" w:space="0"/>
              <w:left w:val="nil"/>
              <w:bottom w:val="single" w:color="auto" w:sz="4" w:space="0"/>
              <w:right w:val="single" w:color="auto" w:sz="4" w:space="0"/>
            </w:tcBorders>
            <w:noWrap w:val="0"/>
            <w:vAlign w:val="center"/>
          </w:tcPr>
          <w:p w14:paraId="51D2AD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等效声级</w:t>
            </w:r>
          </w:p>
        </w:tc>
      </w:tr>
      <w:tr w14:paraId="19EBCF06">
        <w:tblPrEx>
          <w:tblCellMar>
            <w:top w:w="0" w:type="dxa"/>
            <w:left w:w="108" w:type="dxa"/>
            <w:bottom w:w="0" w:type="dxa"/>
            <w:right w:w="108" w:type="dxa"/>
          </w:tblCellMar>
        </w:tblPrEx>
        <w:trPr>
          <w:trHeight w:val="167" w:hRule="atLeast"/>
          <w:jc w:val="center"/>
        </w:trPr>
        <w:tc>
          <w:tcPr>
            <w:tcW w:w="729" w:type="dxa"/>
            <w:vMerge w:val="continue"/>
            <w:tcBorders>
              <w:top w:val="single" w:color="auto" w:sz="4" w:space="0"/>
              <w:left w:val="single" w:color="auto" w:sz="4" w:space="0"/>
              <w:bottom w:val="single" w:color="auto" w:sz="4" w:space="0"/>
              <w:right w:val="single" w:color="auto" w:sz="4" w:space="0"/>
            </w:tcBorders>
            <w:noWrap w:val="0"/>
            <w:vAlign w:val="center"/>
          </w:tcPr>
          <w:p w14:paraId="6AEB91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860" w:type="dxa"/>
            <w:vMerge w:val="continue"/>
            <w:tcBorders>
              <w:top w:val="single" w:color="auto" w:sz="4" w:space="0"/>
              <w:left w:val="nil"/>
              <w:bottom w:val="single" w:color="auto" w:sz="4" w:space="0"/>
              <w:right w:val="single" w:color="auto" w:sz="4" w:space="0"/>
            </w:tcBorders>
            <w:noWrap w:val="0"/>
            <w:vAlign w:val="center"/>
          </w:tcPr>
          <w:p w14:paraId="23969F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295" w:type="dxa"/>
            <w:vMerge w:val="continue"/>
            <w:tcBorders>
              <w:top w:val="single" w:color="auto" w:sz="4" w:space="0"/>
              <w:left w:val="nil"/>
              <w:bottom w:val="single" w:color="auto" w:sz="4" w:space="0"/>
              <w:right w:val="single" w:color="auto" w:sz="4" w:space="0"/>
            </w:tcBorders>
            <w:noWrap w:val="0"/>
            <w:vAlign w:val="center"/>
          </w:tcPr>
          <w:p w14:paraId="4E7E22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295" w:type="dxa"/>
            <w:vMerge w:val="continue"/>
            <w:tcBorders>
              <w:top w:val="single" w:color="auto" w:sz="4" w:space="0"/>
              <w:left w:val="nil"/>
              <w:bottom w:val="single" w:color="auto" w:sz="4" w:space="0"/>
              <w:right w:val="single" w:color="auto" w:sz="4" w:space="0"/>
            </w:tcBorders>
            <w:noWrap w:val="0"/>
            <w:vAlign w:val="center"/>
          </w:tcPr>
          <w:p w14:paraId="1448DD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629" w:type="dxa"/>
            <w:vMerge w:val="continue"/>
            <w:tcBorders>
              <w:top w:val="single" w:color="auto" w:sz="4" w:space="0"/>
              <w:left w:val="nil"/>
              <w:bottom w:val="single" w:color="auto" w:sz="4" w:space="0"/>
              <w:right w:val="single" w:color="auto" w:sz="4" w:space="0"/>
            </w:tcBorders>
            <w:noWrap w:val="0"/>
            <w:vAlign w:val="center"/>
          </w:tcPr>
          <w:p w14:paraId="670BE5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295" w:type="dxa"/>
            <w:tcBorders>
              <w:top w:val="nil"/>
              <w:left w:val="nil"/>
              <w:bottom w:val="single" w:color="auto" w:sz="4" w:space="0"/>
              <w:right w:val="single" w:color="auto" w:sz="4" w:space="0"/>
            </w:tcBorders>
            <w:noWrap w:val="0"/>
            <w:vAlign w:val="center"/>
          </w:tcPr>
          <w:p w14:paraId="19DB90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[dB</w:t>
            </w:r>
            <w:r>
              <w:rPr>
                <w:rFonts w:hint="eastAsia"/>
                <w:highlight w:val="none"/>
                <w:lang w:eastAsia="zh-CN"/>
              </w:rPr>
              <w:t>（</w:t>
            </w:r>
            <w:r>
              <w:rPr>
                <w:rFonts w:hint="eastAsia"/>
                <w:highlight w:val="none"/>
              </w:rPr>
              <w:t>A</w:t>
            </w:r>
            <w:r>
              <w:rPr>
                <w:rFonts w:hint="eastAsia"/>
                <w:highlight w:val="none"/>
                <w:lang w:eastAsia="zh-CN"/>
              </w:rPr>
              <w:t>）</w:t>
            </w:r>
            <w:r>
              <w:rPr>
                <w:rFonts w:hint="eastAsia"/>
                <w:highlight w:val="none"/>
              </w:rPr>
              <w:t>]</w:t>
            </w:r>
          </w:p>
        </w:tc>
      </w:tr>
      <w:tr w14:paraId="7231950B">
        <w:tblPrEx>
          <w:tblCellMar>
            <w:top w:w="0" w:type="dxa"/>
            <w:left w:w="108" w:type="dxa"/>
            <w:bottom w:w="0" w:type="dxa"/>
            <w:right w:w="108" w:type="dxa"/>
          </w:tblCellMar>
        </w:tblPrEx>
        <w:trPr>
          <w:trHeight w:val="327" w:hRule="atLeast"/>
          <w:jc w:val="center"/>
        </w:trPr>
        <w:tc>
          <w:tcPr>
            <w:tcW w:w="729" w:type="dxa"/>
            <w:tcBorders>
              <w:top w:val="nil"/>
              <w:left w:val="single" w:color="auto" w:sz="4" w:space="0"/>
              <w:bottom w:val="single" w:color="auto" w:sz="4" w:space="0"/>
              <w:right w:val="single" w:color="auto" w:sz="4" w:space="0"/>
            </w:tcBorders>
            <w:noWrap w:val="0"/>
            <w:vAlign w:val="center"/>
          </w:tcPr>
          <w:p w14:paraId="7007B4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860" w:type="dxa"/>
            <w:tcBorders>
              <w:top w:val="nil"/>
              <w:left w:val="nil"/>
              <w:bottom w:val="single" w:color="auto" w:sz="4" w:space="0"/>
              <w:right w:val="single" w:color="auto" w:sz="4" w:space="0"/>
            </w:tcBorders>
            <w:noWrap w:val="0"/>
            <w:vAlign w:val="center"/>
          </w:tcPr>
          <w:p w14:paraId="6097AB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雄东路</w:t>
            </w:r>
            <w:r>
              <w:rPr>
                <w:rFonts w:hint="eastAsia"/>
                <w:highlight w:val="none"/>
                <w:lang w:eastAsia="zh-CN"/>
              </w:rPr>
              <w:t>（</w:t>
            </w:r>
            <w:r>
              <w:rPr>
                <w:rFonts w:hint="eastAsia"/>
                <w:highlight w:val="none"/>
              </w:rPr>
              <w:t>主</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3D8B12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2300</w:t>
            </w:r>
          </w:p>
        </w:tc>
        <w:tc>
          <w:tcPr>
            <w:tcW w:w="1295" w:type="dxa"/>
            <w:tcBorders>
              <w:top w:val="nil"/>
              <w:left w:val="nil"/>
              <w:bottom w:val="single" w:color="auto" w:sz="4" w:space="0"/>
              <w:right w:val="single" w:color="auto" w:sz="4" w:space="0"/>
            </w:tcBorders>
            <w:noWrap w:val="0"/>
            <w:vAlign w:val="center"/>
          </w:tcPr>
          <w:p w14:paraId="502F69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w:t>
            </w:r>
          </w:p>
        </w:tc>
        <w:tc>
          <w:tcPr>
            <w:tcW w:w="1629" w:type="dxa"/>
            <w:tcBorders>
              <w:top w:val="nil"/>
              <w:left w:val="nil"/>
              <w:bottom w:val="single" w:color="auto" w:sz="4" w:space="0"/>
              <w:right w:val="single" w:color="auto" w:sz="4" w:space="0"/>
            </w:tcBorders>
            <w:noWrap w:val="0"/>
            <w:vAlign w:val="center"/>
          </w:tcPr>
          <w:p w14:paraId="10E9A9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1020</w:t>
            </w:r>
          </w:p>
        </w:tc>
        <w:tc>
          <w:tcPr>
            <w:tcW w:w="1295" w:type="dxa"/>
            <w:tcBorders>
              <w:top w:val="nil"/>
              <w:left w:val="nil"/>
              <w:bottom w:val="single" w:color="auto" w:sz="4" w:space="0"/>
              <w:right w:val="single" w:color="auto" w:sz="4" w:space="0"/>
            </w:tcBorders>
            <w:noWrap w:val="0"/>
            <w:vAlign w:val="center"/>
          </w:tcPr>
          <w:p w14:paraId="582643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65.5</w:t>
            </w:r>
          </w:p>
        </w:tc>
      </w:tr>
      <w:tr w14:paraId="7C4EDF61">
        <w:tblPrEx>
          <w:tblCellMar>
            <w:top w:w="0" w:type="dxa"/>
            <w:left w:w="108" w:type="dxa"/>
            <w:bottom w:w="0" w:type="dxa"/>
            <w:right w:w="108" w:type="dxa"/>
          </w:tblCellMar>
        </w:tblPrEx>
        <w:trPr>
          <w:trHeight w:val="311" w:hRule="atLeast"/>
          <w:jc w:val="center"/>
        </w:trPr>
        <w:tc>
          <w:tcPr>
            <w:tcW w:w="729" w:type="dxa"/>
            <w:tcBorders>
              <w:top w:val="nil"/>
              <w:left w:val="single" w:color="auto" w:sz="4" w:space="0"/>
              <w:bottom w:val="single" w:color="auto" w:sz="4" w:space="0"/>
              <w:right w:val="single" w:color="auto" w:sz="4" w:space="0"/>
            </w:tcBorders>
            <w:noWrap w:val="0"/>
            <w:vAlign w:val="center"/>
          </w:tcPr>
          <w:p w14:paraId="2683D2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1860" w:type="dxa"/>
            <w:tcBorders>
              <w:top w:val="nil"/>
              <w:left w:val="nil"/>
              <w:bottom w:val="single" w:color="auto" w:sz="4" w:space="0"/>
              <w:right w:val="single" w:color="auto" w:sz="4" w:space="0"/>
            </w:tcBorders>
            <w:noWrap w:val="0"/>
            <w:vAlign w:val="center"/>
          </w:tcPr>
          <w:p w14:paraId="072505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雄中路东段</w:t>
            </w:r>
            <w:r>
              <w:rPr>
                <w:rFonts w:hint="eastAsia"/>
                <w:highlight w:val="none"/>
                <w:lang w:eastAsia="zh-CN"/>
              </w:rPr>
              <w:t>（</w:t>
            </w:r>
            <w:r>
              <w:rPr>
                <w:rFonts w:hint="eastAsia"/>
                <w:highlight w:val="none"/>
              </w:rPr>
              <w:t>主</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0E890C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2000</w:t>
            </w:r>
          </w:p>
        </w:tc>
        <w:tc>
          <w:tcPr>
            <w:tcW w:w="1295" w:type="dxa"/>
            <w:tcBorders>
              <w:top w:val="nil"/>
              <w:left w:val="nil"/>
              <w:bottom w:val="single" w:color="auto" w:sz="4" w:space="0"/>
              <w:right w:val="single" w:color="auto" w:sz="4" w:space="0"/>
            </w:tcBorders>
            <w:noWrap w:val="0"/>
            <w:vAlign w:val="center"/>
          </w:tcPr>
          <w:p w14:paraId="11ABD9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w:t>
            </w:r>
          </w:p>
        </w:tc>
        <w:tc>
          <w:tcPr>
            <w:tcW w:w="1629" w:type="dxa"/>
            <w:tcBorders>
              <w:top w:val="nil"/>
              <w:left w:val="nil"/>
              <w:bottom w:val="single" w:color="auto" w:sz="4" w:space="0"/>
              <w:right w:val="single" w:color="auto" w:sz="4" w:space="0"/>
            </w:tcBorders>
            <w:noWrap w:val="0"/>
            <w:vAlign w:val="center"/>
          </w:tcPr>
          <w:p w14:paraId="3B8AB5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1080</w:t>
            </w:r>
          </w:p>
        </w:tc>
        <w:tc>
          <w:tcPr>
            <w:tcW w:w="1295" w:type="dxa"/>
            <w:tcBorders>
              <w:top w:val="nil"/>
              <w:left w:val="nil"/>
              <w:bottom w:val="single" w:color="auto" w:sz="4" w:space="0"/>
              <w:right w:val="single" w:color="auto" w:sz="4" w:space="0"/>
            </w:tcBorders>
            <w:noWrap w:val="0"/>
            <w:vAlign w:val="center"/>
          </w:tcPr>
          <w:p w14:paraId="573481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72.3</w:t>
            </w:r>
          </w:p>
        </w:tc>
      </w:tr>
      <w:tr w14:paraId="2B808177">
        <w:tblPrEx>
          <w:tblCellMar>
            <w:top w:w="0" w:type="dxa"/>
            <w:left w:w="108" w:type="dxa"/>
            <w:bottom w:w="0" w:type="dxa"/>
            <w:right w:w="108" w:type="dxa"/>
          </w:tblCellMar>
        </w:tblPrEx>
        <w:trPr>
          <w:trHeight w:val="344" w:hRule="atLeast"/>
          <w:jc w:val="center"/>
        </w:trPr>
        <w:tc>
          <w:tcPr>
            <w:tcW w:w="729" w:type="dxa"/>
            <w:tcBorders>
              <w:top w:val="nil"/>
              <w:left w:val="single" w:color="auto" w:sz="4" w:space="0"/>
              <w:bottom w:val="single" w:color="auto" w:sz="4" w:space="0"/>
              <w:right w:val="single" w:color="auto" w:sz="4" w:space="0"/>
            </w:tcBorders>
            <w:noWrap w:val="0"/>
            <w:vAlign w:val="center"/>
          </w:tcPr>
          <w:p w14:paraId="100F12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860" w:type="dxa"/>
            <w:tcBorders>
              <w:top w:val="nil"/>
              <w:left w:val="nil"/>
              <w:bottom w:val="single" w:color="auto" w:sz="4" w:space="0"/>
              <w:right w:val="single" w:color="auto" w:sz="4" w:space="0"/>
            </w:tcBorders>
            <w:noWrap w:val="0"/>
            <w:vAlign w:val="center"/>
          </w:tcPr>
          <w:p w14:paraId="6CD5C4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雄中路西段</w:t>
            </w:r>
            <w:r>
              <w:rPr>
                <w:rFonts w:hint="eastAsia"/>
                <w:highlight w:val="none"/>
                <w:lang w:eastAsia="zh-CN"/>
              </w:rPr>
              <w:t>（</w:t>
            </w:r>
            <w:r>
              <w:rPr>
                <w:rFonts w:hint="eastAsia"/>
                <w:highlight w:val="none"/>
              </w:rPr>
              <w:t>主</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01EA0A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1300</w:t>
            </w:r>
          </w:p>
        </w:tc>
        <w:tc>
          <w:tcPr>
            <w:tcW w:w="1295" w:type="dxa"/>
            <w:tcBorders>
              <w:top w:val="nil"/>
              <w:left w:val="nil"/>
              <w:bottom w:val="single" w:color="auto" w:sz="4" w:space="0"/>
              <w:right w:val="single" w:color="auto" w:sz="4" w:space="0"/>
            </w:tcBorders>
            <w:noWrap w:val="0"/>
            <w:vAlign w:val="center"/>
          </w:tcPr>
          <w:p w14:paraId="78AC18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w:t>
            </w:r>
          </w:p>
        </w:tc>
        <w:tc>
          <w:tcPr>
            <w:tcW w:w="1629" w:type="dxa"/>
            <w:tcBorders>
              <w:top w:val="nil"/>
              <w:left w:val="nil"/>
              <w:bottom w:val="single" w:color="auto" w:sz="4" w:space="0"/>
              <w:right w:val="single" w:color="auto" w:sz="4" w:space="0"/>
            </w:tcBorders>
            <w:noWrap w:val="0"/>
            <w:vAlign w:val="center"/>
          </w:tcPr>
          <w:p w14:paraId="0D9B59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1950</w:t>
            </w:r>
          </w:p>
        </w:tc>
        <w:tc>
          <w:tcPr>
            <w:tcW w:w="1295" w:type="dxa"/>
            <w:tcBorders>
              <w:top w:val="nil"/>
              <w:left w:val="nil"/>
              <w:bottom w:val="single" w:color="auto" w:sz="4" w:space="0"/>
              <w:right w:val="single" w:color="auto" w:sz="4" w:space="0"/>
            </w:tcBorders>
            <w:noWrap w:val="0"/>
            <w:vAlign w:val="center"/>
          </w:tcPr>
          <w:p w14:paraId="61083B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76.4</w:t>
            </w:r>
          </w:p>
        </w:tc>
      </w:tr>
      <w:tr w14:paraId="1F98457F">
        <w:tblPrEx>
          <w:tblCellMar>
            <w:top w:w="0" w:type="dxa"/>
            <w:left w:w="108" w:type="dxa"/>
            <w:bottom w:w="0" w:type="dxa"/>
            <w:right w:w="108" w:type="dxa"/>
          </w:tblCellMar>
        </w:tblPrEx>
        <w:trPr>
          <w:trHeight w:val="311" w:hRule="atLeast"/>
          <w:jc w:val="center"/>
        </w:trPr>
        <w:tc>
          <w:tcPr>
            <w:tcW w:w="729" w:type="dxa"/>
            <w:tcBorders>
              <w:top w:val="nil"/>
              <w:left w:val="single" w:color="auto" w:sz="4" w:space="0"/>
              <w:bottom w:val="single" w:color="auto" w:sz="4" w:space="0"/>
              <w:right w:val="single" w:color="auto" w:sz="4" w:space="0"/>
            </w:tcBorders>
            <w:noWrap w:val="0"/>
            <w:vAlign w:val="center"/>
          </w:tcPr>
          <w:p w14:paraId="43FBBA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1860" w:type="dxa"/>
            <w:tcBorders>
              <w:top w:val="nil"/>
              <w:left w:val="nil"/>
              <w:bottom w:val="single" w:color="auto" w:sz="4" w:space="0"/>
              <w:right w:val="single" w:color="auto" w:sz="4" w:space="0"/>
            </w:tcBorders>
            <w:noWrap w:val="0"/>
            <w:vAlign w:val="center"/>
          </w:tcPr>
          <w:p w14:paraId="40EA73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雄南路</w:t>
            </w:r>
            <w:r>
              <w:rPr>
                <w:rFonts w:hint="eastAsia"/>
                <w:highlight w:val="none"/>
                <w:lang w:eastAsia="zh-CN"/>
              </w:rPr>
              <w:t>（</w:t>
            </w:r>
            <w:r>
              <w:rPr>
                <w:rFonts w:hint="eastAsia"/>
                <w:highlight w:val="none"/>
              </w:rPr>
              <w:t>主</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134087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3600</w:t>
            </w:r>
          </w:p>
        </w:tc>
        <w:tc>
          <w:tcPr>
            <w:tcW w:w="1295" w:type="dxa"/>
            <w:tcBorders>
              <w:top w:val="nil"/>
              <w:left w:val="nil"/>
              <w:bottom w:val="single" w:color="auto" w:sz="4" w:space="0"/>
              <w:right w:val="single" w:color="auto" w:sz="4" w:space="0"/>
            </w:tcBorders>
            <w:noWrap w:val="0"/>
            <w:vAlign w:val="center"/>
          </w:tcPr>
          <w:p w14:paraId="008171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w:t>
            </w:r>
          </w:p>
        </w:tc>
        <w:tc>
          <w:tcPr>
            <w:tcW w:w="1629" w:type="dxa"/>
            <w:tcBorders>
              <w:top w:val="nil"/>
              <w:left w:val="nil"/>
              <w:bottom w:val="single" w:color="auto" w:sz="4" w:space="0"/>
              <w:right w:val="single" w:color="auto" w:sz="4" w:space="0"/>
            </w:tcBorders>
            <w:noWrap w:val="0"/>
            <w:vAlign w:val="center"/>
          </w:tcPr>
          <w:p w14:paraId="3FD31C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1260</w:t>
            </w:r>
          </w:p>
        </w:tc>
        <w:tc>
          <w:tcPr>
            <w:tcW w:w="1295" w:type="dxa"/>
            <w:tcBorders>
              <w:top w:val="nil"/>
              <w:left w:val="nil"/>
              <w:bottom w:val="single" w:color="auto" w:sz="4" w:space="0"/>
              <w:right w:val="single" w:color="auto" w:sz="4" w:space="0"/>
            </w:tcBorders>
            <w:noWrap w:val="0"/>
            <w:vAlign w:val="center"/>
          </w:tcPr>
          <w:p w14:paraId="4A4A51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72.9</w:t>
            </w:r>
          </w:p>
        </w:tc>
      </w:tr>
      <w:tr w14:paraId="464778C0">
        <w:tblPrEx>
          <w:tblCellMar>
            <w:top w:w="0" w:type="dxa"/>
            <w:left w:w="108" w:type="dxa"/>
            <w:bottom w:w="0" w:type="dxa"/>
            <w:right w:w="108" w:type="dxa"/>
          </w:tblCellMar>
        </w:tblPrEx>
        <w:trPr>
          <w:trHeight w:val="311" w:hRule="atLeast"/>
          <w:jc w:val="center"/>
        </w:trPr>
        <w:tc>
          <w:tcPr>
            <w:tcW w:w="729" w:type="dxa"/>
            <w:tcBorders>
              <w:top w:val="nil"/>
              <w:left w:val="single" w:color="auto" w:sz="4" w:space="0"/>
              <w:bottom w:val="single" w:color="auto" w:sz="4" w:space="0"/>
              <w:right w:val="single" w:color="auto" w:sz="4" w:space="0"/>
            </w:tcBorders>
            <w:noWrap w:val="0"/>
            <w:vAlign w:val="center"/>
          </w:tcPr>
          <w:p w14:paraId="5E23CB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860" w:type="dxa"/>
            <w:tcBorders>
              <w:top w:val="nil"/>
              <w:left w:val="nil"/>
              <w:bottom w:val="single" w:color="auto" w:sz="4" w:space="0"/>
              <w:right w:val="single" w:color="auto" w:sz="4" w:space="0"/>
            </w:tcBorders>
            <w:noWrap w:val="0"/>
            <w:vAlign w:val="center"/>
          </w:tcPr>
          <w:p w14:paraId="67EA7C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光明路</w:t>
            </w:r>
            <w:r>
              <w:rPr>
                <w:rFonts w:hint="eastAsia"/>
                <w:highlight w:val="none"/>
                <w:lang w:eastAsia="zh-CN"/>
              </w:rPr>
              <w:t>（</w:t>
            </w:r>
            <w:r>
              <w:rPr>
                <w:rFonts w:hint="eastAsia"/>
                <w:highlight w:val="none"/>
              </w:rPr>
              <w:t>次</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1A1BFA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1430</w:t>
            </w:r>
          </w:p>
        </w:tc>
        <w:tc>
          <w:tcPr>
            <w:tcW w:w="1295" w:type="dxa"/>
            <w:tcBorders>
              <w:top w:val="nil"/>
              <w:left w:val="nil"/>
              <w:bottom w:val="single" w:color="auto" w:sz="4" w:space="0"/>
              <w:right w:val="single" w:color="auto" w:sz="4" w:space="0"/>
            </w:tcBorders>
            <w:noWrap w:val="0"/>
            <w:vAlign w:val="center"/>
          </w:tcPr>
          <w:p w14:paraId="3B4073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w:t>
            </w:r>
          </w:p>
        </w:tc>
        <w:tc>
          <w:tcPr>
            <w:tcW w:w="1629" w:type="dxa"/>
            <w:tcBorders>
              <w:top w:val="nil"/>
              <w:left w:val="nil"/>
              <w:bottom w:val="single" w:color="auto" w:sz="4" w:space="0"/>
              <w:right w:val="single" w:color="auto" w:sz="4" w:space="0"/>
            </w:tcBorders>
            <w:noWrap w:val="0"/>
            <w:vAlign w:val="center"/>
          </w:tcPr>
          <w:p w14:paraId="391B89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660</w:t>
            </w:r>
          </w:p>
        </w:tc>
        <w:tc>
          <w:tcPr>
            <w:tcW w:w="1295" w:type="dxa"/>
            <w:tcBorders>
              <w:top w:val="nil"/>
              <w:left w:val="nil"/>
              <w:bottom w:val="single" w:color="auto" w:sz="4" w:space="0"/>
              <w:right w:val="single" w:color="auto" w:sz="4" w:space="0"/>
            </w:tcBorders>
            <w:noWrap w:val="0"/>
            <w:vAlign w:val="center"/>
          </w:tcPr>
          <w:p w14:paraId="0D2A27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71.0</w:t>
            </w:r>
          </w:p>
        </w:tc>
      </w:tr>
      <w:tr w14:paraId="0EAF14EA">
        <w:tblPrEx>
          <w:tblCellMar>
            <w:top w:w="0" w:type="dxa"/>
            <w:left w:w="108" w:type="dxa"/>
            <w:bottom w:w="0" w:type="dxa"/>
            <w:right w:w="108" w:type="dxa"/>
          </w:tblCellMar>
        </w:tblPrEx>
        <w:trPr>
          <w:trHeight w:val="311" w:hRule="atLeast"/>
          <w:jc w:val="center"/>
        </w:trPr>
        <w:tc>
          <w:tcPr>
            <w:tcW w:w="729" w:type="dxa"/>
            <w:tcBorders>
              <w:top w:val="nil"/>
              <w:left w:val="single" w:color="auto" w:sz="4" w:space="0"/>
              <w:bottom w:val="single" w:color="auto" w:sz="4" w:space="0"/>
              <w:right w:val="single" w:color="auto" w:sz="4" w:space="0"/>
            </w:tcBorders>
            <w:noWrap w:val="0"/>
            <w:vAlign w:val="center"/>
          </w:tcPr>
          <w:p w14:paraId="264593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860" w:type="dxa"/>
            <w:tcBorders>
              <w:top w:val="nil"/>
              <w:left w:val="nil"/>
              <w:bottom w:val="single" w:color="auto" w:sz="4" w:space="0"/>
              <w:right w:val="single" w:color="auto" w:sz="4" w:space="0"/>
            </w:tcBorders>
            <w:noWrap w:val="0"/>
            <w:vAlign w:val="center"/>
          </w:tcPr>
          <w:p w14:paraId="3874B0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环城路</w:t>
            </w:r>
            <w:r>
              <w:rPr>
                <w:rFonts w:hint="eastAsia"/>
                <w:highlight w:val="none"/>
                <w:lang w:eastAsia="zh-CN"/>
              </w:rPr>
              <w:t>（</w:t>
            </w:r>
            <w:r>
              <w:rPr>
                <w:rFonts w:hint="eastAsia"/>
                <w:highlight w:val="none"/>
              </w:rPr>
              <w:t>次</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3B2233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2500</w:t>
            </w:r>
          </w:p>
        </w:tc>
        <w:tc>
          <w:tcPr>
            <w:tcW w:w="1295" w:type="dxa"/>
            <w:tcBorders>
              <w:top w:val="nil"/>
              <w:left w:val="nil"/>
              <w:bottom w:val="single" w:color="auto" w:sz="4" w:space="0"/>
              <w:right w:val="single" w:color="auto" w:sz="4" w:space="0"/>
            </w:tcBorders>
            <w:noWrap w:val="0"/>
            <w:vAlign w:val="center"/>
          </w:tcPr>
          <w:p w14:paraId="3B0069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w:t>
            </w:r>
          </w:p>
        </w:tc>
        <w:tc>
          <w:tcPr>
            <w:tcW w:w="1629" w:type="dxa"/>
            <w:tcBorders>
              <w:top w:val="nil"/>
              <w:left w:val="nil"/>
              <w:bottom w:val="single" w:color="auto" w:sz="4" w:space="0"/>
              <w:right w:val="single" w:color="auto" w:sz="4" w:space="0"/>
            </w:tcBorders>
            <w:noWrap w:val="0"/>
            <w:vAlign w:val="center"/>
          </w:tcPr>
          <w:p w14:paraId="7778D9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945</w:t>
            </w:r>
          </w:p>
        </w:tc>
        <w:tc>
          <w:tcPr>
            <w:tcW w:w="1295" w:type="dxa"/>
            <w:tcBorders>
              <w:top w:val="nil"/>
              <w:left w:val="nil"/>
              <w:bottom w:val="single" w:color="auto" w:sz="4" w:space="0"/>
              <w:right w:val="single" w:color="auto" w:sz="4" w:space="0"/>
            </w:tcBorders>
            <w:noWrap w:val="0"/>
            <w:vAlign w:val="center"/>
          </w:tcPr>
          <w:p w14:paraId="757C9E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73.5</w:t>
            </w:r>
          </w:p>
        </w:tc>
      </w:tr>
      <w:tr w14:paraId="00D6A1D2">
        <w:tblPrEx>
          <w:tblCellMar>
            <w:top w:w="0" w:type="dxa"/>
            <w:left w:w="108" w:type="dxa"/>
            <w:bottom w:w="0" w:type="dxa"/>
            <w:right w:w="108" w:type="dxa"/>
          </w:tblCellMar>
        </w:tblPrEx>
        <w:trPr>
          <w:trHeight w:val="395" w:hRule="atLeast"/>
          <w:jc w:val="center"/>
        </w:trPr>
        <w:tc>
          <w:tcPr>
            <w:tcW w:w="729" w:type="dxa"/>
            <w:tcBorders>
              <w:top w:val="nil"/>
              <w:left w:val="single" w:color="auto" w:sz="4" w:space="0"/>
              <w:bottom w:val="single" w:color="auto" w:sz="4" w:space="0"/>
              <w:right w:val="single" w:color="auto" w:sz="4" w:space="0"/>
            </w:tcBorders>
            <w:noWrap w:val="0"/>
            <w:vAlign w:val="center"/>
          </w:tcPr>
          <w:p w14:paraId="6820BD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c>
          <w:tcPr>
            <w:tcW w:w="1860" w:type="dxa"/>
            <w:tcBorders>
              <w:top w:val="nil"/>
              <w:left w:val="nil"/>
              <w:bottom w:val="single" w:color="auto" w:sz="4" w:space="0"/>
              <w:right w:val="single" w:color="auto" w:sz="4" w:space="0"/>
            </w:tcBorders>
            <w:noWrap w:val="0"/>
            <w:vAlign w:val="center"/>
          </w:tcPr>
          <w:p w14:paraId="4C6C49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繁荣路</w:t>
            </w:r>
            <w:r>
              <w:rPr>
                <w:rFonts w:hint="eastAsia"/>
                <w:highlight w:val="none"/>
                <w:lang w:eastAsia="zh-CN"/>
              </w:rPr>
              <w:t>（</w:t>
            </w:r>
            <w:r>
              <w:rPr>
                <w:rFonts w:hint="eastAsia"/>
                <w:highlight w:val="none"/>
              </w:rPr>
              <w:t>次</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44C658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950</w:t>
            </w:r>
          </w:p>
        </w:tc>
        <w:tc>
          <w:tcPr>
            <w:tcW w:w="1295" w:type="dxa"/>
            <w:tcBorders>
              <w:top w:val="nil"/>
              <w:left w:val="nil"/>
              <w:bottom w:val="single" w:color="auto" w:sz="4" w:space="0"/>
              <w:right w:val="single" w:color="auto" w:sz="4" w:space="0"/>
            </w:tcBorders>
            <w:noWrap w:val="0"/>
            <w:vAlign w:val="center"/>
          </w:tcPr>
          <w:p w14:paraId="144B55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w:t>
            </w:r>
          </w:p>
        </w:tc>
        <w:tc>
          <w:tcPr>
            <w:tcW w:w="1629" w:type="dxa"/>
            <w:tcBorders>
              <w:top w:val="nil"/>
              <w:left w:val="nil"/>
              <w:bottom w:val="single" w:color="auto" w:sz="4" w:space="0"/>
              <w:right w:val="single" w:color="auto" w:sz="4" w:space="0"/>
            </w:tcBorders>
            <w:noWrap w:val="0"/>
            <w:vAlign w:val="center"/>
          </w:tcPr>
          <w:p w14:paraId="69CB8C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855</w:t>
            </w:r>
          </w:p>
        </w:tc>
        <w:tc>
          <w:tcPr>
            <w:tcW w:w="1295" w:type="dxa"/>
            <w:tcBorders>
              <w:top w:val="nil"/>
              <w:left w:val="nil"/>
              <w:bottom w:val="single" w:color="auto" w:sz="4" w:space="0"/>
              <w:right w:val="single" w:color="auto" w:sz="4" w:space="0"/>
            </w:tcBorders>
            <w:noWrap w:val="0"/>
            <w:vAlign w:val="center"/>
          </w:tcPr>
          <w:p w14:paraId="03BC5C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68.9</w:t>
            </w:r>
          </w:p>
        </w:tc>
      </w:tr>
      <w:tr w14:paraId="3B48FEA4">
        <w:tblPrEx>
          <w:tblCellMar>
            <w:top w:w="0" w:type="dxa"/>
            <w:left w:w="108" w:type="dxa"/>
            <w:bottom w:w="0" w:type="dxa"/>
            <w:right w:w="108" w:type="dxa"/>
          </w:tblCellMar>
        </w:tblPrEx>
        <w:trPr>
          <w:trHeight w:val="311" w:hRule="atLeast"/>
          <w:jc w:val="center"/>
        </w:trPr>
        <w:tc>
          <w:tcPr>
            <w:tcW w:w="729" w:type="dxa"/>
            <w:tcBorders>
              <w:top w:val="nil"/>
              <w:left w:val="single" w:color="auto" w:sz="4" w:space="0"/>
              <w:bottom w:val="single" w:color="auto" w:sz="4" w:space="0"/>
              <w:right w:val="single" w:color="auto" w:sz="4" w:space="0"/>
            </w:tcBorders>
            <w:noWrap w:val="0"/>
            <w:vAlign w:val="center"/>
          </w:tcPr>
          <w:p w14:paraId="668800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860" w:type="dxa"/>
            <w:tcBorders>
              <w:top w:val="nil"/>
              <w:left w:val="nil"/>
              <w:bottom w:val="single" w:color="auto" w:sz="4" w:space="0"/>
              <w:right w:val="single" w:color="auto" w:sz="4" w:space="0"/>
            </w:tcBorders>
            <w:noWrap w:val="0"/>
            <w:vAlign w:val="center"/>
          </w:tcPr>
          <w:p w14:paraId="29E27C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浈江大道</w:t>
            </w:r>
            <w:r>
              <w:rPr>
                <w:rFonts w:hint="eastAsia"/>
                <w:highlight w:val="none"/>
                <w:lang w:eastAsia="zh-CN"/>
              </w:rPr>
              <w:t>（</w:t>
            </w:r>
            <w:r>
              <w:rPr>
                <w:rFonts w:hint="eastAsia"/>
                <w:highlight w:val="none"/>
              </w:rPr>
              <w:t>次</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04B458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800</w:t>
            </w:r>
          </w:p>
        </w:tc>
        <w:tc>
          <w:tcPr>
            <w:tcW w:w="1295" w:type="dxa"/>
            <w:tcBorders>
              <w:top w:val="nil"/>
              <w:left w:val="nil"/>
              <w:bottom w:val="single" w:color="auto" w:sz="4" w:space="0"/>
              <w:right w:val="single" w:color="auto" w:sz="4" w:space="0"/>
            </w:tcBorders>
            <w:noWrap w:val="0"/>
            <w:vAlign w:val="center"/>
          </w:tcPr>
          <w:p w14:paraId="797652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w:t>
            </w:r>
          </w:p>
        </w:tc>
        <w:tc>
          <w:tcPr>
            <w:tcW w:w="1629" w:type="dxa"/>
            <w:tcBorders>
              <w:top w:val="nil"/>
              <w:left w:val="nil"/>
              <w:bottom w:val="single" w:color="auto" w:sz="4" w:space="0"/>
              <w:right w:val="single" w:color="auto" w:sz="4" w:space="0"/>
            </w:tcBorders>
            <w:noWrap w:val="0"/>
            <w:vAlign w:val="center"/>
          </w:tcPr>
          <w:p w14:paraId="292A0A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1035</w:t>
            </w:r>
          </w:p>
        </w:tc>
        <w:tc>
          <w:tcPr>
            <w:tcW w:w="1295" w:type="dxa"/>
            <w:tcBorders>
              <w:top w:val="nil"/>
              <w:left w:val="nil"/>
              <w:bottom w:val="single" w:color="auto" w:sz="4" w:space="0"/>
              <w:right w:val="single" w:color="auto" w:sz="4" w:space="0"/>
            </w:tcBorders>
            <w:noWrap w:val="0"/>
            <w:vAlign w:val="center"/>
          </w:tcPr>
          <w:p w14:paraId="43F4BF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66.6</w:t>
            </w:r>
          </w:p>
        </w:tc>
      </w:tr>
      <w:tr w14:paraId="3F4587E4">
        <w:tblPrEx>
          <w:tblCellMar>
            <w:top w:w="0" w:type="dxa"/>
            <w:left w:w="108" w:type="dxa"/>
            <w:bottom w:w="0" w:type="dxa"/>
            <w:right w:w="108" w:type="dxa"/>
          </w:tblCellMar>
        </w:tblPrEx>
        <w:trPr>
          <w:trHeight w:val="311" w:hRule="atLeast"/>
          <w:jc w:val="center"/>
        </w:trPr>
        <w:tc>
          <w:tcPr>
            <w:tcW w:w="729" w:type="dxa"/>
            <w:tcBorders>
              <w:top w:val="nil"/>
              <w:left w:val="single" w:color="auto" w:sz="4" w:space="0"/>
              <w:bottom w:val="single" w:color="auto" w:sz="4" w:space="0"/>
              <w:right w:val="single" w:color="auto" w:sz="4" w:space="0"/>
            </w:tcBorders>
            <w:noWrap w:val="0"/>
            <w:vAlign w:val="center"/>
          </w:tcPr>
          <w:p w14:paraId="6DAF60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860" w:type="dxa"/>
            <w:tcBorders>
              <w:top w:val="nil"/>
              <w:left w:val="nil"/>
              <w:bottom w:val="single" w:color="auto" w:sz="4" w:space="0"/>
              <w:right w:val="single" w:color="auto" w:sz="4" w:space="0"/>
            </w:tcBorders>
            <w:noWrap w:val="0"/>
            <w:vAlign w:val="center"/>
          </w:tcPr>
          <w:p w14:paraId="03E1DB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河南街</w:t>
            </w:r>
            <w:r>
              <w:rPr>
                <w:rFonts w:hint="eastAsia"/>
                <w:highlight w:val="none"/>
                <w:lang w:eastAsia="zh-CN"/>
              </w:rPr>
              <w:t>（</w:t>
            </w:r>
            <w:r>
              <w:rPr>
                <w:rFonts w:hint="eastAsia"/>
                <w:highlight w:val="none"/>
              </w:rPr>
              <w:t>次</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2AE91B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500</w:t>
            </w:r>
          </w:p>
        </w:tc>
        <w:tc>
          <w:tcPr>
            <w:tcW w:w="1295" w:type="dxa"/>
            <w:tcBorders>
              <w:top w:val="nil"/>
              <w:left w:val="nil"/>
              <w:bottom w:val="single" w:color="auto" w:sz="4" w:space="0"/>
              <w:right w:val="single" w:color="auto" w:sz="4" w:space="0"/>
            </w:tcBorders>
            <w:noWrap w:val="0"/>
            <w:vAlign w:val="center"/>
          </w:tcPr>
          <w:p w14:paraId="5F54CA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p>
        </w:tc>
        <w:tc>
          <w:tcPr>
            <w:tcW w:w="1629" w:type="dxa"/>
            <w:tcBorders>
              <w:top w:val="nil"/>
              <w:left w:val="nil"/>
              <w:bottom w:val="single" w:color="auto" w:sz="4" w:space="0"/>
              <w:right w:val="single" w:color="auto" w:sz="4" w:space="0"/>
            </w:tcBorders>
            <w:noWrap w:val="0"/>
            <w:vAlign w:val="center"/>
          </w:tcPr>
          <w:p w14:paraId="5950CC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640</w:t>
            </w:r>
          </w:p>
        </w:tc>
        <w:tc>
          <w:tcPr>
            <w:tcW w:w="1295" w:type="dxa"/>
            <w:tcBorders>
              <w:top w:val="nil"/>
              <w:left w:val="nil"/>
              <w:bottom w:val="single" w:color="auto" w:sz="4" w:space="0"/>
              <w:right w:val="single" w:color="auto" w:sz="4" w:space="0"/>
            </w:tcBorders>
            <w:noWrap w:val="0"/>
            <w:vAlign w:val="center"/>
          </w:tcPr>
          <w:p w14:paraId="0E7B40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70.0</w:t>
            </w:r>
          </w:p>
        </w:tc>
      </w:tr>
      <w:tr w14:paraId="715C8D35">
        <w:tblPrEx>
          <w:tblCellMar>
            <w:top w:w="0" w:type="dxa"/>
            <w:left w:w="108" w:type="dxa"/>
            <w:bottom w:w="0" w:type="dxa"/>
            <w:right w:w="108" w:type="dxa"/>
          </w:tblCellMar>
        </w:tblPrEx>
        <w:trPr>
          <w:trHeight w:val="311" w:hRule="atLeast"/>
          <w:jc w:val="center"/>
        </w:trPr>
        <w:tc>
          <w:tcPr>
            <w:tcW w:w="729" w:type="dxa"/>
            <w:tcBorders>
              <w:top w:val="nil"/>
              <w:left w:val="single" w:color="auto" w:sz="4" w:space="0"/>
              <w:bottom w:val="single" w:color="auto" w:sz="4" w:space="0"/>
              <w:right w:val="single" w:color="auto" w:sz="4" w:space="0"/>
            </w:tcBorders>
            <w:noWrap w:val="0"/>
            <w:vAlign w:val="center"/>
          </w:tcPr>
          <w:p w14:paraId="4A72CE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860" w:type="dxa"/>
            <w:tcBorders>
              <w:top w:val="nil"/>
              <w:left w:val="nil"/>
              <w:bottom w:val="single" w:color="auto" w:sz="4" w:space="0"/>
              <w:right w:val="single" w:color="auto" w:sz="4" w:space="0"/>
            </w:tcBorders>
            <w:noWrap w:val="0"/>
            <w:vAlign w:val="center"/>
          </w:tcPr>
          <w:p w14:paraId="279F21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八一路</w:t>
            </w:r>
            <w:r>
              <w:rPr>
                <w:rFonts w:hint="eastAsia"/>
                <w:highlight w:val="none"/>
                <w:lang w:eastAsia="zh-CN"/>
              </w:rPr>
              <w:t>（</w:t>
            </w:r>
            <w:r>
              <w:rPr>
                <w:rFonts w:hint="eastAsia"/>
                <w:highlight w:val="none"/>
              </w:rPr>
              <w:t>次</w:t>
            </w:r>
            <w:r>
              <w:rPr>
                <w:rFonts w:hint="eastAsia"/>
                <w:highlight w:val="none"/>
                <w:lang w:eastAsia="zh-CN"/>
              </w:rPr>
              <w:t>）</w:t>
            </w:r>
          </w:p>
        </w:tc>
        <w:tc>
          <w:tcPr>
            <w:tcW w:w="1295" w:type="dxa"/>
            <w:tcBorders>
              <w:top w:val="nil"/>
              <w:left w:val="nil"/>
              <w:bottom w:val="single" w:color="auto" w:sz="4" w:space="0"/>
              <w:right w:val="single" w:color="auto" w:sz="4" w:space="0"/>
            </w:tcBorders>
            <w:noWrap w:val="0"/>
            <w:vAlign w:val="center"/>
          </w:tcPr>
          <w:p w14:paraId="6BA98E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180</w:t>
            </w:r>
          </w:p>
        </w:tc>
        <w:tc>
          <w:tcPr>
            <w:tcW w:w="1295" w:type="dxa"/>
            <w:tcBorders>
              <w:top w:val="nil"/>
              <w:left w:val="nil"/>
              <w:bottom w:val="single" w:color="auto" w:sz="4" w:space="0"/>
              <w:right w:val="single" w:color="auto" w:sz="4" w:space="0"/>
            </w:tcBorders>
            <w:noWrap w:val="0"/>
            <w:vAlign w:val="center"/>
          </w:tcPr>
          <w:p w14:paraId="6D9938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w:t>
            </w:r>
          </w:p>
        </w:tc>
        <w:tc>
          <w:tcPr>
            <w:tcW w:w="1629" w:type="dxa"/>
            <w:tcBorders>
              <w:top w:val="nil"/>
              <w:left w:val="nil"/>
              <w:bottom w:val="single" w:color="auto" w:sz="4" w:space="0"/>
              <w:right w:val="single" w:color="auto" w:sz="4" w:space="0"/>
            </w:tcBorders>
            <w:noWrap w:val="0"/>
            <w:vAlign w:val="center"/>
          </w:tcPr>
          <w:p w14:paraId="140409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888</w:t>
            </w:r>
          </w:p>
        </w:tc>
        <w:tc>
          <w:tcPr>
            <w:tcW w:w="1295" w:type="dxa"/>
            <w:tcBorders>
              <w:top w:val="nil"/>
              <w:left w:val="nil"/>
              <w:bottom w:val="single" w:color="auto" w:sz="4" w:space="0"/>
              <w:right w:val="single" w:color="auto" w:sz="4" w:space="0"/>
            </w:tcBorders>
            <w:noWrap w:val="0"/>
            <w:vAlign w:val="center"/>
          </w:tcPr>
          <w:p w14:paraId="42FAAA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65.5</w:t>
            </w:r>
          </w:p>
        </w:tc>
      </w:tr>
    </w:tbl>
    <w:p w14:paraId="1C36ED39">
      <w:pPr>
        <w:jc w:val="center"/>
        <w:rPr>
          <w:rFonts w:hint="eastAsia" w:hAnsi="宋体" w:cs="宋体"/>
          <w:highlight w:val="none"/>
        </w:rPr>
      </w:pPr>
      <w:r>
        <w:rPr>
          <w:rFonts w:hint="eastAsia" w:hAnsi="宋体" w:cs="宋体"/>
          <w:highlight w:val="none"/>
        </w:rPr>
        <w:t>2015年南雄市城区道路交通噪声（昼间）监测结果统计表</w:t>
      </w:r>
    </w:p>
    <w:p w14:paraId="735E1AFB">
      <w:pPr>
        <w:rPr>
          <w:rFonts w:hint="eastAsia" w:hAnsi="宋体" w:cs="宋体"/>
          <w:highlight w:val="none"/>
        </w:rPr>
      </w:pPr>
      <w:r>
        <w:rPr>
          <w:rFonts w:hint="eastAsia" w:hAnsi="宋体" w:cs="宋体"/>
          <w:highlight w:val="none"/>
        </w:rPr>
        <w:t>表27</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3"/>
        <w:gridCol w:w="1454"/>
        <w:gridCol w:w="1160"/>
        <w:gridCol w:w="1061"/>
        <w:gridCol w:w="1486"/>
        <w:gridCol w:w="899"/>
        <w:gridCol w:w="1233"/>
      </w:tblGrid>
      <w:tr w14:paraId="51BC9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402" w:type="dxa"/>
            <w:noWrap w:val="0"/>
            <w:vAlign w:val="center"/>
          </w:tcPr>
          <w:p w14:paraId="15BF8B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监测点位</w:t>
            </w:r>
          </w:p>
        </w:tc>
        <w:tc>
          <w:tcPr>
            <w:tcW w:w="1542" w:type="dxa"/>
            <w:noWrap w:val="0"/>
            <w:vAlign w:val="center"/>
          </w:tcPr>
          <w:p w14:paraId="117F9B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监测项目</w:t>
            </w:r>
          </w:p>
        </w:tc>
        <w:tc>
          <w:tcPr>
            <w:tcW w:w="1227" w:type="dxa"/>
            <w:noWrap w:val="0"/>
            <w:vAlign w:val="center"/>
          </w:tcPr>
          <w:p w14:paraId="35E644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二氧化硫</w:t>
            </w:r>
          </w:p>
        </w:tc>
        <w:tc>
          <w:tcPr>
            <w:tcW w:w="1121" w:type="dxa"/>
            <w:noWrap w:val="0"/>
            <w:vAlign w:val="center"/>
          </w:tcPr>
          <w:p w14:paraId="2E1867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二氧化氮</w:t>
            </w:r>
          </w:p>
        </w:tc>
        <w:tc>
          <w:tcPr>
            <w:tcW w:w="1576" w:type="dxa"/>
            <w:noWrap w:val="0"/>
            <w:vAlign w:val="center"/>
          </w:tcPr>
          <w:p w14:paraId="492594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可吸入颗粒物</w:t>
            </w:r>
          </w:p>
        </w:tc>
        <w:tc>
          <w:tcPr>
            <w:tcW w:w="947" w:type="dxa"/>
            <w:noWrap w:val="0"/>
            <w:vAlign w:val="center"/>
          </w:tcPr>
          <w:p w14:paraId="41DC20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降尘</w:t>
            </w:r>
          </w:p>
        </w:tc>
        <w:tc>
          <w:tcPr>
            <w:tcW w:w="1305" w:type="dxa"/>
            <w:noWrap w:val="0"/>
            <w:vAlign w:val="center"/>
          </w:tcPr>
          <w:p w14:paraId="454DA5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综合污染指数</w:t>
            </w:r>
          </w:p>
        </w:tc>
      </w:tr>
      <w:tr w14:paraId="342DC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402" w:type="dxa"/>
            <w:vMerge w:val="restart"/>
            <w:noWrap w:val="0"/>
            <w:vAlign w:val="center"/>
          </w:tcPr>
          <w:p w14:paraId="2F84AE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监测站</w:t>
            </w:r>
          </w:p>
          <w:p w14:paraId="1DC431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大楼</w:t>
            </w:r>
          </w:p>
        </w:tc>
        <w:tc>
          <w:tcPr>
            <w:tcW w:w="1542" w:type="dxa"/>
            <w:noWrap w:val="0"/>
            <w:vAlign w:val="center"/>
          </w:tcPr>
          <w:p w14:paraId="0244DC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年均浓度</w:t>
            </w:r>
          </w:p>
        </w:tc>
        <w:tc>
          <w:tcPr>
            <w:tcW w:w="1227" w:type="dxa"/>
            <w:noWrap w:val="0"/>
            <w:vAlign w:val="center"/>
          </w:tcPr>
          <w:p w14:paraId="76790B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0.015</w:t>
            </w:r>
          </w:p>
        </w:tc>
        <w:tc>
          <w:tcPr>
            <w:tcW w:w="1121" w:type="dxa"/>
            <w:noWrap w:val="0"/>
            <w:vAlign w:val="center"/>
          </w:tcPr>
          <w:p w14:paraId="23A5EA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0.009</w:t>
            </w:r>
          </w:p>
        </w:tc>
        <w:tc>
          <w:tcPr>
            <w:tcW w:w="1576" w:type="dxa"/>
            <w:noWrap w:val="0"/>
            <w:vAlign w:val="center"/>
          </w:tcPr>
          <w:p w14:paraId="223EB8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0.036</w:t>
            </w:r>
          </w:p>
        </w:tc>
        <w:tc>
          <w:tcPr>
            <w:tcW w:w="947" w:type="dxa"/>
            <w:noWrap w:val="0"/>
            <w:vAlign w:val="center"/>
          </w:tcPr>
          <w:p w14:paraId="627582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2.99</w:t>
            </w:r>
          </w:p>
        </w:tc>
        <w:tc>
          <w:tcPr>
            <w:tcW w:w="1305" w:type="dxa"/>
            <w:vMerge w:val="restart"/>
            <w:noWrap w:val="0"/>
            <w:vAlign w:val="center"/>
          </w:tcPr>
          <w:p w14:paraId="3968D2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1.21</w:t>
            </w:r>
          </w:p>
        </w:tc>
      </w:tr>
      <w:tr w14:paraId="5F25F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02" w:type="dxa"/>
            <w:vMerge w:val="continue"/>
            <w:noWrap w:val="0"/>
            <w:vAlign w:val="center"/>
          </w:tcPr>
          <w:p w14:paraId="261D30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42" w:type="dxa"/>
            <w:noWrap w:val="0"/>
            <w:vAlign w:val="center"/>
          </w:tcPr>
          <w:p w14:paraId="172FBA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污染分指数</w:t>
            </w:r>
          </w:p>
        </w:tc>
        <w:tc>
          <w:tcPr>
            <w:tcW w:w="1227" w:type="dxa"/>
            <w:noWrap w:val="0"/>
            <w:vAlign w:val="center"/>
          </w:tcPr>
          <w:p w14:paraId="415C1F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0.25</w:t>
            </w:r>
          </w:p>
        </w:tc>
        <w:tc>
          <w:tcPr>
            <w:tcW w:w="1121" w:type="dxa"/>
            <w:noWrap w:val="0"/>
            <w:vAlign w:val="center"/>
          </w:tcPr>
          <w:p w14:paraId="168038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0.23</w:t>
            </w:r>
          </w:p>
        </w:tc>
        <w:tc>
          <w:tcPr>
            <w:tcW w:w="1576" w:type="dxa"/>
            <w:noWrap w:val="0"/>
            <w:vAlign w:val="center"/>
          </w:tcPr>
          <w:p w14:paraId="26E422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0.36</w:t>
            </w:r>
          </w:p>
        </w:tc>
        <w:tc>
          <w:tcPr>
            <w:tcW w:w="947" w:type="dxa"/>
            <w:noWrap w:val="0"/>
            <w:vAlign w:val="center"/>
          </w:tcPr>
          <w:p w14:paraId="019997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0.37</w:t>
            </w:r>
          </w:p>
        </w:tc>
        <w:tc>
          <w:tcPr>
            <w:tcW w:w="1305" w:type="dxa"/>
            <w:vMerge w:val="continue"/>
            <w:noWrap w:val="0"/>
            <w:vAlign w:val="center"/>
          </w:tcPr>
          <w:p w14:paraId="3C7E37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CFA7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402" w:type="dxa"/>
            <w:vMerge w:val="continue"/>
            <w:noWrap w:val="0"/>
            <w:vAlign w:val="center"/>
          </w:tcPr>
          <w:p w14:paraId="52A770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42" w:type="dxa"/>
            <w:noWrap w:val="0"/>
            <w:vAlign w:val="center"/>
          </w:tcPr>
          <w:p w14:paraId="6E7F93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污染负荷</w:t>
            </w:r>
            <w:r>
              <w:rPr>
                <w:rFonts w:hint="eastAsia"/>
                <w:highlight w:val="none"/>
                <w:lang w:eastAsia="zh-CN"/>
              </w:rPr>
              <w:t>（</w:t>
            </w:r>
            <w:r>
              <w:rPr>
                <w:rFonts w:hint="eastAsia"/>
                <w:highlight w:val="none"/>
              </w:rPr>
              <w:t>%</w:t>
            </w:r>
            <w:r>
              <w:rPr>
                <w:rFonts w:hint="eastAsia"/>
                <w:highlight w:val="none"/>
                <w:lang w:eastAsia="zh-CN"/>
              </w:rPr>
              <w:t>）</w:t>
            </w:r>
          </w:p>
        </w:tc>
        <w:tc>
          <w:tcPr>
            <w:tcW w:w="1227" w:type="dxa"/>
            <w:noWrap w:val="0"/>
            <w:vAlign w:val="center"/>
          </w:tcPr>
          <w:p w14:paraId="41D1A3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20.68</w:t>
            </w:r>
          </w:p>
        </w:tc>
        <w:tc>
          <w:tcPr>
            <w:tcW w:w="1121" w:type="dxa"/>
            <w:noWrap w:val="0"/>
            <w:vAlign w:val="center"/>
          </w:tcPr>
          <w:p w14:paraId="1B7693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18.61</w:t>
            </w:r>
          </w:p>
        </w:tc>
        <w:tc>
          <w:tcPr>
            <w:tcW w:w="1576" w:type="dxa"/>
            <w:noWrap w:val="0"/>
            <w:vAlign w:val="center"/>
          </w:tcPr>
          <w:p w14:paraId="38FA3B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29.78</w:t>
            </w:r>
          </w:p>
        </w:tc>
        <w:tc>
          <w:tcPr>
            <w:tcW w:w="947" w:type="dxa"/>
            <w:noWrap w:val="0"/>
            <w:vAlign w:val="center"/>
          </w:tcPr>
          <w:p w14:paraId="642A7A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30.92</w:t>
            </w:r>
          </w:p>
        </w:tc>
        <w:tc>
          <w:tcPr>
            <w:tcW w:w="1305" w:type="dxa"/>
            <w:vMerge w:val="continue"/>
            <w:noWrap w:val="0"/>
            <w:vAlign w:val="center"/>
          </w:tcPr>
          <w:p w14:paraId="498F15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6BF94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402" w:type="dxa"/>
            <w:vMerge w:val="restart"/>
            <w:noWrap w:val="0"/>
            <w:vAlign w:val="center"/>
          </w:tcPr>
          <w:p w14:paraId="54DD95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南雄市法院</w:t>
            </w:r>
          </w:p>
        </w:tc>
        <w:tc>
          <w:tcPr>
            <w:tcW w:w="1542" w:type="dxa"/>
            <w:noWrap w:val="0"/>
            <w:vAlign w:val="center"/>
          </w:tcPr>
          <w:p w14:paraId="48672E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年均浓度</w:t>
            </w:r>
          </w:p>
        </w:tc>
        <w:tc>
          <w:tcPr>
            <w:tcW w:w="1227" w:type="dxa"/>
            <w:noWrap w:val="0"/>
            <w:vAlign w:val="center"/>
          </w:tcPr>
          <w:p w14:paraId="6DCF26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21" w:type="dxa"/>
            <w:noWrap w:val="0"/>
            <w:vAlign w:val="center"/>
          </w:tcPr>
          <w:p w14:paraId="403755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576" w:type="dxa"/>
            <w:noWrap w:val="0"/>
            <w:vAlign w:val="center"/>
          </w:tcPr>
          <w:p w14:paraId="7CE227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947" w:type="dxa"/>
            <w:noWrap w:val="0"/>
            <w:vAlign w:val="center"/>
          </w:tcPr>
          <w:p w14:paraId="25C44F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2.30</w:t>
            </w:r>
          </w:p>
        </w:tc>
        <w:tc>
          <w:tcPr>
            <w:tcW w:w="1305" w:type="dxa"/>
            <w:vMerge w:val="restart"/>
            <w:noWrap w:val="0"/>
            <w:vAlign w:val="center"/>
          </w:tcPr>
          <w:p w14:paraId="110966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0.29</w:t>
            </w:r>
          </w:p>
        </w:tc>
      </w:tr>
      <w:tr w14:paraId="7F552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402" w:type="dxa"/>
            <w:vMerge w:val="continue"/>
            <w:noWrap w:val="0"/>
            <w:vAlign w:val="center"/>
          </w:tcPr>
          <w:p w14:paraId="441B86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42" w:type="dxa"/>
            <w:noWrap w:val="0"/>
            <w:vAlign w:val="center"/>
          </w:tcPr>
          <w:p w14:paraId="206158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污染分指数</w:t>
            </w:r>
          </w:p>
        </w:tc>
        <w:tc>
          <w:tcPr>
            <w:tcW w:w="1227" w:type="dxa"/>
            <w:noWrap w:val="0"/>
            <w:vAlign w:val="center"/>
          </w:tcPr>
          <w:p w14:paraId="021080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21" w:type="dxa"/>
            <w:noWrap w:val="0"/>
            <w:vAlign w:val="center"/>
          </w:tcPr>
          <w:p w14:paraId="51D024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576" w:type="dxa"/>
            <w:noWrap w:val="0"/>
            <w:vAlign w:val="center"/>
          </w:tcPr>
          <w:p w14:paraId="6F9B57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947" w:type="dxa"/>
            <w:noWrap w:val="0"/>
            <w:vAlign w:val="center"/>
          </w:tcPr>
          <w:p w14:paraId="0B554A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0.29</w:t>
            </w:r>
          </w:p>
        </w:tc>
        <w:tc>
          <w:tcPr>
            <w:tcW w:w="1305" w:type="dxa"/>
            <w:vMerge w:val="continue"/>
            <w:noWrap w:val="0"/>
            <w:vAlign w:val="center"/>
          </w:tcPr>
          <w:p w14:paraId="34156A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E3B1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402" w:type="dxa"/>
            <w:vMerge w:val="continue"/>
            <w:noWrap w:val="0"/>
            <w:vAlign w:val="center"/>
          </w:tcPr>
          <w:p w14:paraId="04D788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42" w:type="dxa"/>
            <w:noWrap w:val="0"/>
            <w:vAlign w:val="center"/>
          </w:tcPr>
          <w:p w14:paraId="337B06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污染负荷</w:t>
            </w:r>
            <w:r>
              <w:rPr>
                <w:rFonts w:hint="eastAsia"/>
                <w:highlight w:val="none"/>
                <w:lang w:eastAsia="zh-CN"/>
              </w:rPr>
              <w:t>（</w:t>
            </w:r>
            <w:r>
              <w:rPr>
                <w:rFonts w:hint="eastAsia"/>
                <w:highlight w:val="none"/>
              </w:rPr>
              <w:t>%</w:t>
            </w:r>
            <w:r>
              <w:rPr>
                <w:rFonts w:hint="eastAsia"/>
                <w:highlight w:val="none"/>
                <w:lang w:eastAsia="zh-CN"/>
              </w:rPr>
              <w:t>）</w:t>
            </w:r>
          </w:p>
        </w:tc>
        <w:tc>
          <w:tcPr>
            <w:tcW w:w="1227" w:type="dxa"/>
            <w:noWrap w:val="0"/>
            <w:vAlign w:val="center"/>
          </w:tcPr>
          <w:p w14:paraId="60CC5E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21" w:type="dxa"/>
            <w:noWrap w:val="0"/>
            <w:vAlign w:val="center"/>
          </w:tcPr>
          <w:p w14:paraId="5F99DA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576" w:type="dxa"/>
            <w:noWrap w:val="0"/>
            <w:vAlign w:val="center"/>
          </w:tcPr>
          <w:p w14:paraId="2F8355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947" w:type="dxa"/>
            <w:noWrap w:val="0"/>
            <w:vAlign w:val="center"/>
          </w:tcPr>
          <w:p w14:paraId="206BCB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100.00</w:t>
            </w:r>
          </w:p>
        </w:tc>
        <w:tc>
          <w:tcPr>
            <w:tcW w:w="1305" w:type="dxa"/>
            <w:vMerge w:val="continue"/>
            <w:noWrap w:val="0"/>
            <w:vAlign w:val="center"/>
          </w:tcPr>
          <w:p w14:paraId="2E4AC7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82DB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402" w:type="dxa"/>
            <w:vMerge w:val="restart"/>
            <w:noWrap w:val="0"/>
            <w:vAlign w:val="center"/>
          </w:tcPr>
          <w:p w14:paraId="633192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全市均值</w:t>
            </w:r>
          </w:p>
        </w:tc>
        <w:tc>
          <w:tcPr>
            <w:tcW w:w="1542" w:type="dxa"/>
            <w:noWrap w:val="0"/>
            <w:vAlign w:val="center"/>
          </w:tcPr>
          <w:p w14:paraId="709113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年均浓度</w:t>
            </w:r>
          </w:p>
        </w:tc>
        <w:tc>
          <w:tcPr>
            <w:tcW w:w="1227" w:type="dxa"/>
            <w:noWrap w:val="0"/>
            <w:vAlign w:val="center"/>
          </w:tcPr>
          <w:p w14:paraId="3B5B52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0.015</w:t>
            </w:r>
          </w:p>
        </w:tc>
        <w:tc>
          <w:tcPr>
            <w:tcW w:w="1121" w:type="dxa"/>
            <w:noWrap w:val="0"/>
            <w:vAlign w:val="center"/>
          </w:tcPr>
          <w:p w14:paraId="75C80C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0.009</w:t>
            </w:r>
          </w:p>
        </w:tc>
        <w:tc>
          <w:tcPr>
            <w:tcW w:w="1576" w:type="dxa"/>
            <w:noWrap w:val="0"/>
            <w:vAlign w:val="center"/>
          </w:tcPr>
          <w:p w14:paraId="21CEF2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0.036</w:t>
            </w:r>
          </w:p>
        </w:tc>
        <w:tc>
          <w:tcPr>
            <w:tcW w:w="947" w:type="dxa"/>
            <w:noWrap w:val="0"/>
            <w:vAlign w:val="center"/>
          </w:tcPr>
          <w:p w14:paraId="411AAF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2.65</w:t>
            </w:r>
          </w:p>
        </w:tc>
        <w:tc>
          <w:tcPr>
            <w:tcW w:w="1305" w:type="dxa"/>
            <w:vMerge w:val="restart"/>
            <w:noWrap w:val="0"/>
            <w:vAlign w:val="center"/>
          </w:tcPr>
          <w:p w14:paraId="6334AF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1.17</w:t>
            </w:r>
          </w:p>
        </w:tc>
      </w:tr>
      <w:tr w14:paraId="4A2FA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402" w:type="dxa"/>
            <w:vMerge w:val="continue"/>
            <w:noWrap w:val="0"/>
            <w:vAlign w:val="center"/>
          </w:tcPr>
          <w:p w14:paraId="788CD2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42" w:type="dxa"/>
            <w:noWrap w:val="0"/>
            <w:vAlign w:val="center"/>
          </w:tcPr>
          <w:p w14:paraId="0DBF7E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污染分指数</w:t>
            </w:r>
          </w:p>
        </w:tc>
        <w:tc>
          <w:tcPr>
            <w:tcW w:w="1227" w:type="dxa"/>
            <w:noWrap w:val="0"/>
            <w:vAlign w:val="center"/>
          </w:tcPr>
          <w:p w14:paraId="1B3164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0.25</w:t>
            </w:r>
          </w:p>
        </w:tc>
        <w:tc>
          <w:tcPr>
            <w:tcW w:w="1121" w:type="dxa"/>
            <w:noWrap w:val="0"/>
            <w:vAlign w:val="center"/>
          </w:tcPr>
          <w:p w14:paraId="00A822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0.23</w:t>
            </w:r>
          </w:p>
        </w:tc>
        <w:tc>
          <w:tcPr>
            <w:tcW w:w="1576" w:type="dxa"/>
            <w:noWrap w:val="0"/>
            <w:vAlign w:val="center"/>
          </w:tcPr>
          <w:p w14:paraId="5FB45C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0.36</w:t>
            </w:r>
          </w:p>
        </w:tc>
        <w:tc>
          <w:tcPr>
            <w:tcW w:w="947" w:type="dxa"/>
            <w:noWrap w:val="0"/>
            <w:vAlign w:val="center"/>
          </w:tcPr>
          <w:p w14:paraId="2ED010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0.33</w:t>
            </w:r>
          </w:p>
        </w:tc>
        <w:tc>
          <w:tcPr>
            <w:tcW w:w="1305" w:type="dxa"/>
            <w:vMerge w:val="continue"/>
            <w:noWrap w:val="0"/>
            <w:vAlign w:val="center"/>
          </w:tcPr>
          <w:p w14:paraId="62116C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2E48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402" w:type="dxa"/>
            <w:vMerge w:val="continue"/>
            <w:noWrap w:val="0"/>
            <w:vAlign w:val="center"/>
          </w:tcPr>
          <w:p w14:paraId="66D694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42" w:type="dxa"/>
            <w:noWrap w:val="0"/>
            <w:vAlign w:val="center"/>
          </w:tcPr>
          <w:p w14:paraId="09AB2B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污染负荷</w:t>
            </w:r>
            <w:r>
              <w:rPr>
                <w:rFonts w:hint="eastAsia"/>
                <w:highlight w:val="none"/>
                <w:lang w:eastAsia="zh-CN"/>
              </w:rPr>
              <w:t>（</w:t>
            </w:r>
            <w:r>
              <w:rPr>
                <w:rFonts w:hint="eastAsia"/>
                <w:highlight w:val="none"/>
              </w:rPr>
              <w:t>%</w:t>
            </w:r>
            <w:r>
              <w:rPr>
                <w:rFonts w:hint="eastAsia"/>
                <w:highlight w:val="none"/>
                <w:lang w:eastAsia="zh-CN"/>
              </w:rPr>
              <w:t>）</w:t>
            </w:r>
          </w:p>
        </w:tc>
        <w:tc>
          <w:tcPr>
            <w:tcW w:w="1227" w:type="dxa"/>
            <w:noWrap w:val="0"/>
            <w:vAlign w:val="center"/>
          </w:tcPr>
          <w:p w14:paraId="0869FA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21.44</w:t>
            </w:r>
          </w:p>
        </w:tc>
        <w:tc>
          <w:tcPr>
            <w:tcW w:w="1121" w:type="dxa"/>
            <w:noWrap w:val="0"/>
            <w:vAlign w:val="center"/>
          </w:tcPr>
          <w:p w14:paraId="451E54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19.29</w:t>
            </w:r>
          </w:p>
        </w:tc>
        <w:tc>
          <w:tcPr>
            <w:tcW w:w="1576" w:type="dxa"/>
            <w:noWrap w:val="0"/>
            <w:vAlign w:val="center"/>
          </w:tcPr>
          <w:p w14:paraId="78A976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30.87</w:t>
            </w:r>
          </w:p>
        </w:tc>
        <w:tc>
          <w:tcPr>
            <w:tcW w:w="947" w:type="dxa"/>
            <w:noWrap w:val="0"/>
            <w:vAlign w:val="center"/>
          </w:tcPr>
          <w:p w14:paraId="1DAC74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28.40</w:t>
            </w:r>
          </w:p>
        </w:tc>
        <w:tc>
          <w:tcPr>
            <w:tcW w:w="1305" w:type="dxa"/>
            <w:vMerge w:val="continue"/>
            <w:noWrap w:val="0"/>
            <w:vAlign w:val="center"/>
          </w:tcPr>
          <w:p w14:paraId="1F6F8C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C35D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2944" w:type="dxa"/>
            <w:gridSpan w:val="2"/>
            <w:noWrap w:val="0"/>
            <w:vAlign w:val="center"/>
          </w:tcPr>
          <w:p w14:paraId="3FB15E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指标污染程度次序</w:t>
            </w:r>
          </w:p>
        </w:tc>
        <w:tc>
          <w:tcPr>
            <w:tcW w:w="1227" w:type="dxa"/>
            <w:noWrap w:val="0"/>
            <w:vAlign w:val="center"/>
          </w:tcPr>
          <w:p w14:paraId="60B620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121" w:type="dxa"/>
            <w:noWrap w:val="0"/>
            <w:vAlign w:val="center"/>
          </w:tcPr>
          <w:p w14:paraId="1A570C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1576" w:type="dxa"/>
            <w:noWrap w:val="0"/>
            <w:vAlign w:val="center"/>
          </w:tcPr>
          <w:p w14:paraId="31842F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947" w:type="dxa"/>
            <w:noWrap w:val="0"/>
            <w:vAlign w:val="center"/>
          </w:tcPr>
          <w:p w14:paraId="10947E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1305" w:type="dxa"/>
            <w:noWrap w:val="0"/>
            <w:vAlign w:val="center"/>
          </w:tcPr>
          <w:p w14:paraId="07CC44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r w14:paraId="175DB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2944" w:type="dxa"/>
            <w:gridSpan w:val="2"/>
            <w:noWrap w:val="0"/>
            <w:vAlign w:val="center"/>
          </w:tcPr>
          <w:p w14:paraId="1CBF79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评价标准</w:t>
            </w:r>
          </w:p>
        </w:tc>
        <w:tc>
          <w:tcPr>
            <w:tcW w:w="1227" w:type="dxa"/>
            <w:noWrap w:val="0"/>
            <w:vAlign w:val="center"/>
          </w:tcPr>
          <w:p w14:paraId="7584F3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0.06</w:t>
            </w:r>
          </w:p>
        </w:tc>
        <w:tc>
          <w:tcPr>
            <w:tcW w:w="1121" w:type="dxa"/>
            <w:noWrap w:val="0"/>
            <w:vAlign w:val="center"/>
          </w:tcPr>
          <w:p w14:paraId="7BD8A1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0.04</w:t>
            </w:r>
          </w:p>
        </w:tc>
        <w:tc>
          <w:tcPr>
            <w:tcW w:w="1576" w:type="dxa"/>
            <w:noWrap w:val="0"/>
            <w:vAlign w:val="center"/>
          </w:tcPr>
          <w:p w14:paraId="4E9191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0.10</w:t>
            </w:r>
          </w:p>
        </w:tc>
        <w:tc>
          <w:tcPr>
            <w:tcW w:w="947" w:type="dxa"/>
            <w:noWrap w:val="0"/>
            <w:vAlign w:val="center"/>
          </w:tcPr>
          <w:p w14:paraId="0A8C3D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w:t>
            </w:r>
          </w:p>
        </w:tc>
        <w:tc>
          <w:tcPr>
            <w:tcW w:w="1305" w:type="dxa"/>
            <w:noWrap w:val="0"/>
            <w:vAlign w:val="center"/>
          </w:tcPr>
          <w:p w14:paraId="7BC13C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bl>
    <w:p w14:paraId="369126F2">
      <w:pPr>
        <w:pStyle w:val="2"/>
        <w:rPr>
          <w:rFonts w:hint="eastAsia"/>
          <w:highlight w:val="none"/>
        </w:rPr>
      </w:pPr>
      <w:r>
        <w:rPr>
          <w:highlight w:val="none"/>
        </w:rPr>
        <w:br w:type="page"/>
      </w:r>
      <w:r>
        <w:rPr>
          <w:rFonts w:hint="eastAsia"/>
          <w:highlight w:val="none"/>
        </w:rPr>
        <w:t>商贸·旅游</w:t>
      </w:r>
    </w:p>
    <w:p w14:paraId="55EE3992">
      <w:pPr>
        <w:pStyle w:val="3"/>
        <w:bidi w:val="0"/>
        <w:rPr>
          <w:rFonts w:hint="eastAsia"/>
          <w:highlight w:val="none"/>
        </w:rPr>
      </w:pPr>
      <w:r>
        <w:rPr>
          <w:rFonts w:hint="eastAsia"/>
          <w:highlight w:val="none"/>
        </w:rPr>
        <w:t>供销</w:t>
      </w:r>
    </w:p>
    <w:p w14:paraId="0108C18A">
      <w:pPr>
        <w:pStyle w:val="4"/>
        <w:bidi w:val="0"/>
        <w:rPr>
          <w:rFonts w:hint="eastAsia"/>
          <w:highlight w:val="none"/>
        </w:rPr>
      </w:pPr>
      <w:r>
        <w:rPr>
          <w:rFonts w:hint="eastAsia"/>
          <w:highlight w:val="none"/>
        </w:rPr>
        <w:t>【概况】</w:t>
      </w:r>
    </w:p>
    <w:p w14:paraId="230FD876">
      <w:pPr>
        <w:rPr>
          <w:rFonts w:hint="eastAsia" w:hAnsi="宋体" w:eastAsia="宋体" w:cs="宋体"/>
          <w:highlight w:val="none"/>
          <w:lang w:eastAsia="zh-CN"/>
        </w:rPr>
      </w:pPr>
      <w:r>
        <w:rPr>
          <w:rFonts w:hint="eastAsia" w:hAnsi="宋体" w:cs="宋体"/>
          <w:highlight w:val="none"/>
        </w:rPr>
        <w:t>供销合作社联合社机关内设三股一室（办公室、人事监察股、财会统计股、业务基层股），主要职能是担负对社员社组织指导、协调、服务和监督的职责，组织发展农村经济合作社组织，负责组织农资、烟花爆竹、再生资源经营管理，开拓城乡农产品流通市场，为“三农”提供服务，承办市委、市政府及上级社交办的其他事项。2015年，供销社系统有486人（其中市社机关24人）。2015年，组织实施《综合改革试点实施方案》。引入社会资本，推进社有企业产权改革；拓展供销社系统经营业务和服务网点，开展系统联合合作经营；全面完成实施基层供销合作社重组，实现县基一体化管理；推进重点项目建设。全市供销系统实现总购进2.9亿元，对比增长9.34%，商品总销售3.3亿元</w:t>
      </w:r>
      <w:r>
        <w:rPr>
          <w:rFonts w:hint="eastAsia" w:hAnsi="宋体" w:cs="宋体"/>
          <w:highlight w:val="none"/>
          <w:lang w:eastAsia="zh-CN"/>
        </w:rPr>
        <w:t>，</w:t>
      </w:r>
      <w:r>
        <w:rPr>
          <w:rFonts w:hint="eastAsia" w:hAnsi="宋体" w:cs="宋体"/>
          <w:highlight w:val="none"/>
        </w:rPr>
        <w:t>对比增长7.19%，实现经营利润219.8万元，对比上年增长0.74%。</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9107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98966E6">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45665"/>
                  <wp:effectExtent l="0" t="0" r="8890" b="6985"/>
                  <wp:docPr id="81" name="图片 238" descr="加盟店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38" descr="加盟店现场"/>
                          <pic:cNvPicPr>
                            <a:picLocks noChangeAspect="1"/>
                          </pic:cNvPicPr>
                        </pic:nvPicPr>
                        <pic:blipFill>
                          <a:blip r:embed="rId86"/>
                          <a:stretch>
                            <a:fillRect/>
                          </a:stretch>
                        </pic:blipFill>
                        <pic:spPr>
                          <a:xfrm>
                            <a:off x="0" y="0"/>
                            <a:ext cx="3420110" cy="2145665"/>
                          </a:xfrm>
                          <a:prstGeom prst="rect">
                            <a:avLst/>
                          </a:prstGeom>
                          <a:noFill/>
                          <a:ln>
                            <a:noFill/>
                          </a:ln>
                        </pic:spPr>
                      </pic:pic>
                    </a:graphicData>
                  </a:graphic>
                </wp:inline>
              </w:drawing>
            </w:r>
          </w:p>
        </w:tc>
      </w:tr>
      <w:tr w14:paraId="350DB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6E73BA2">
            <w:pPr>
              <w:jc w:val="center"/>
              <w:rPr>
                <w:rFonts w:hint="eastAsia" w:hAnsi="宋体" w:cs="宋体"/>
                <w:highlight w:val="none"/>
                <w:vertAlign w:val="baseline"/>
              </w:rPr>
            </w:pPr>
            <w:r>
              <w:rPr>
                <w:rFonts w:hint="eastAsia" w:hAnsi="宋体" w:cs="宋体"/>
                <w:highlight w:val="none"/>
                <w:vertAlign w:val="baseline"/>
              </w:rPr>
              <w:t>农资公司开展农化服务“送科技下乡”活动</w:t>
            </w:r>
          </w:p>
        </w:tc>
      </w:tr>
    </w:tbl>
    <w:p w14:paraId="248B21CB">
      <w:pPr>
        <w:pStyle w:val="4"/>
        <w:bidi w:val="0"/>
        <w:rPr>
          <w:rFonts w:hint="eastAsia"/>
          <w:highlight w:val="none"/>
        </w:rPr>
      </w:pPr>
      <w:r>
        <w:rPr>
          <w:rFonts w:hint="eastAsia"/>
          <w:highlight w:val="none"/>
        </w:rPr>
        <w:t>【荣誉称号】</w:t>
      </w:r>
    </w:p>
    <w:p w14:paraId="56ADD292">
      <w:pPr>
        <w:rPr>
          <w:rFonts w:hint="eastAsia" w:hAnsi="宋体" w:eastAsia="宋体" w:cs="宋体"/>
          <w:highlight w:val="none"/>
          <w:lang w:eastAsia="zh-CN"/>
        </w:rPr>
      </w:pPr>
      <w:r>
        <w:rPr>
          <w:rFonts w:hint="eastAsia" w:hAnsi="宋体" w:cs="宋体"/>
          <w:highlight w:val="none"/>
        </w:rPr>
        <w:t>供销合作社联合社被广东省供销合作社授予“2015年全省供销合作社系统县级供销合作社综合业绩评价等次一等”，被韶关市供销合作联社评为“2015年全市供销合作社系统综合业绩评价一等奖”。</w:t>
      </w:r>
    </w:p>
    <w:p w14:paraId="280768F2">
      <w:pPr>
        <w:pStyle w:val="4"/>
        <w:bidi w:val="0"/>
        <w:rPr>
          <w:rFonts w:hint="eastAsia"/>
          <w:highlight w:val="none"/>
        </w:rPr>
      </w:pPr>
      <w:r>
        <w:rPr>
          <w:rFonts w:hint="eastAsia"/>
          <w:highlight w:val="none"/>
        </w:rPr>
        <w:t>【农业生产资料购销】</w:t>
      </w:r>
    </w:p>
    <w:p w14:paraId="1A5EED3E">
      <w:pPr>
        <w:rPr>
          <w:rFonts w:hint="eastAsia" w:hAnsi="宋体" w:eastAsia="宋体" w:cs="宋体"/>
          <w:highlight w:val="none"/>
          <w:lang w:eastAsia="zh-CN"/>
        </w:rPr>
      </w:pPr>
      <w:r>
        <w:rPr>
          <w:rFonts w:hint="eastAsia" w:hAnsi="宋体" w:cs="宋体"/>
          <w:highlight w:val="none"/>
        </w:rPr>
        <w:t>严格化肥进货渠道，化肥均向全国知名厂家或获得免检产品称号的厂家购进，从源头上严把质量关。提高农资连锁配送率，发挥村级综合服务站、农资店销售网络优势，农民足不出村就能买到由农资公司统一配送化肥。全年实现销售13.434万元，增长11.03%。供应农资商品73450吨，其中化肥销售73135吨，农药241吨，农膜74吨。开展农化服务工作。农业生产资料有限责任公司组织农技人员，开展为期2个月送科技下乡巡回活动，在乡镇圩日开展26场次农技宣传活动，大村庄开展34场次晚间农技讲座活动，送出农技手册和农技光碟各6000份、有机肥料56吨。</w:t>
      </w:r>
    </w:p>
    <w:p w14:paraId="63D05021">
      <w:pPr>
        <w:pStyle w:val="4"/>
        <w:bidi w:val="0"/>
        <w:rPr>
          <w:rFonts w:hint="eastAsia"/>
          <w:highlight w:val="none"/>
        </w:rPr>
      </w:pPr>
      <w:r>
        <w:rPr>
          <w:rFonts w:hint="eastAsia"/>
          <w:highlight w:val="none"/>
        </w:rPr>
        <w:t>【农产品购销】</w:t>
      </w:r>
    </w:p>
    <w:p w14:paraId="6EEACDDC">
      <w:pPr>
        <w:rPr>
          <w:rFonts w:hint="eastAsia" w:hAnsi="宋体" w:eastAsia="宋体" w:cs="宋体"/>
          <w:highlight w:val="none"/>
          <w:lang w:eastAsia="zh-CN"/>
        </w:rPr>
      </w:pPr>
      <w:r>
        <w:rPr>
          <w:rFonts w:hint="eastAsia" w:hAnsi="宋体" w:cs="宋体"/>
          <w:highlight w:val="none"/>
        </w:rPr>
        <w:t>供销社与省天润公司进行有效对接，对平价商店超市、学校、酒店等实行粮油配送，打造县域性平价商店网络体系。引导农民种植甜玉米2800多亩，直接带动农户1460户，产值700万元，助农增收510万元。组织农民种植茶叶，为茶农提供技术指导，全年收购茶青6650公斤，帮助茶农增加收入39.9万元，筹集资金82.5万元，完成全市330多亩老茶园改造工作，形成种植、收购、加工、销售等一条龙经营模式。发展月饼加工、板鸭等土特产业务，实现销售390万元。</w:t>
      </w:r>
    </w:p>
    <w:p w14:paraId="1EFDC6D9">
      <w:pPr>
        <w:pStyle w:val="4"/>
        <w:bidi w:val="0"/>
        <w:rPr>
          <w:rFonts w:hint="eastAsia"/>
          <w:highlight w:val="none"/>
        </w:rPr>
      </w:pPr>
      <w:r>
        <w:rPr>
          <w:rFonts w:hint="eastAsia"/>
          <w:highlight w:val="none"/>
        </w:rPr>
        <w:t>【生活资料购销】</w:t>
      </w:r>
    </w:p>
    <w:p w14:paraId="1E5256C6">
      <w:pPr>
        <w:rPr>
          <w:rFonts w:hint="eastAsia" w:hAnsi="宋体" w:eastAsia="宋体" w:cs="宋体"/>
          <w:highlight w:val="none"/>
          <w:lang w:eastAsia="zh-CN"/>
        </w:rPr>
      </w:pPr>
      <w:r>
        <w:rPr>
          <w:rFonts w:hint="eastAsia" w:hAnsi="宋体" w:cs="宋体"/>
          <w:highlight w:val="none"/>
        </w:rPr>
        <w:t>万安日用杂品有限责任公司加强对销售网络改造，建立安全烟花爆竹销售和多种经营服务体系，服务范围覆盖全市。有“万村千乡”市场工程农家店35个，配送中心1个，销售网点250多个。2015年实现销售575万元，对比增长9.12%。</w:t>
      </w:r>
    </w:p>
    <w:p w14:paraId="51B2BB61">
      <w:pPr>
        <w:pStyle w:val="4"/>
        <w:bidi w:val="0"/>
        <w:rPr>
          <w:rFonts w:hint="eastAsia"/>
          <w:highlight w:val="none"/>
        </w:rPr>
      </w:pPr>
      <w:r>
        <w:rPr>
          <w:rFonts w:hint="eastAsia"/>
          <w:highlight w:val="none"/>
        </w:rPr>
        <w:t>【废品经营】</w:t>
      </w:r>
    </w:p>
    <w:p w14:paraId="25AE6D1A">
      <w:pPr>
        <w:rPr>
          <w:rFonts w:hint="eastAsia" w:hAnsi="宋体" w:eastAsia="宋体" w:cs="宋体"/>
          <w:highlight w:val="none"/>
          <w:lang w:eastAsia="zh-CN"/>
        </w:rPr>
      </w:pPr>
      <w:r>
        <w:rPr>
          <w:rFonts w:hint="eastAsia" w:hAnsi="宋体" w:cs="宋体"/>
          <w:highlight w:val="none"/>
        </w:rPr>
        <w:t>废旧物资回收公司是全市唯一再生资源经营一般纳税人资格企业。现有从业人员150人，全市各乡镇、街道合理布局有54回收网点（4个直营网点、50个合作网站）、成立有废旧金属、废纸2个再生资源分拣中心，2015年实现收购总额572万元。对比增长13.27%。</w:t>
      </w:r>
    </w:p>
    <w:p w14:paraId="401720D2">
      <w:pPr>
        <w:pStyle w:val="4"/>
        <w:bidi w:val="0"/>
        <w:rPr>
          <w:rFonts w:hint="eastAsia"/>
          <w:highlight w:val="none"/>
        </w:rPr>
      </w:pPr>
      <w:r>
        <w:rPr>
          <w:rFonts w:hint="eastAsia"/>
          <w:highlight w:val="none"/>
        </w:rPr>
        <w:t>【生猪定点屠宰管理、经营】</w:t>
      </w:r>
    </w:p>
    <w:p w14:paraId="7F81B8CA">
      <w:pPr>
        <w:rPr>
          <w:rFonts w:hint="eastAsia" w:hAnsi="宋体" w:cs="宋体"/>
          <w:highlight w:val="none"/>
        </w:rPr>
      </w:pPr>
      <w:r>
        <w:rPr>
          <w:rFonts w:hint="eastAsia" w:hAnsi="宋体" w:cs="宋体"/>
          <w:highlight w:val="none"/>
        </w:rPr>
        <w:t>利民肉联厂是南雄市区生猪定点屠宰唯一企业，现有两套湖南常德产100型生猪屠宰生产线和相应配套实施。生产工艺技术升级改造，污水处理达标排放，病、害、死猪无公害处理，肉品塑源产、销信息化管理，经营业务得到发展，市区产品市场占有率达到95%，维护南雄市食品公共安全，确保让广大群众吃上“放心肉”，2015年屠宰生猪53200头，菜牛2130头，实现销售11420万元，同比增长1.12%。（张涛）</w:t>
      </w:r>
    </w:p>
    <w:p w14:paraId="10676E63">
      <w:pPr>
        <w:rPr>
          <w:rFonts w:hint="eastAsia" w:hAnsi="宋体" w:eastAsia="宋体" w:cs="宋体"/>
          <w:highlight w:val="none"/>
          <w:lang w:eastAsia="zh-CN"/>
        </w:rPr>
      </w:pPr>
      <w:r>
        <w:rPr>
          <w:rFonts w:hint="eastAsia" w:hAnsi="宋体" w:cs="宋体"/>
          <w:highlight w:val="none"/>
        </w:rPr>
        <w:t>附：2015年市供销社领导班子成员名单</w:t>
      </w:r>
    </w:p>
    <w:p w14:paraId="47D8B747">
      <w:pPr>
        <w:rPr>
          <w:rFonts w:hint="eastAsia" w:hAnsi="宋体" w:eastAsia="宋体" w:cs="宋体"/>
          <w:highlight w:val="none"/>
          <w:lang w:eastAsia="zh-CN"/>
        </w:rPr>
      </w:pPr>
      <w:r>
        <w:rPr>
          <w:rFonts w:hint="eastAsia" w:hAnsi="宋体" w:cs="宋体"/>
          <w:highlight w:val="none"/>
        </w:rPr>
        <w:t>理事会主任：刘富平</w:t>
      </w:r>
    </w:p>
    <w:p w14:paraId="6ABCDED1">
      <w:pPr>
        <w:rPr>
          <w:rFonts w:hint="eastAsia" w:hAnsi="宋体" w:eastAsia="宋体" w:cs="宋体"/>
          <w:highlight w:val="none"/>
          <w:lang w:eastAsia="zh-CN"/>
        </w:rPr>
      </w:pPr>
      <w:r>
        <w:rPr>
          <w:rFonts w:hint="eastAsia" w:hAnsi="宋体" w:cs="宋体"/>
          <w:highlight w:val="none"/>
        </w:rPr>
        <w:t>监事会主任：何春京</w:t>
      </w:r>
    </w:p>
    <w:p w14:paraId="0F98A577">
      <w:pPr>
        <w:rPr>
          <w:rFonts w:hint="eastAsia" w:hAnsi="宋体" w:eastAsia="宋体" w:cs="宋体"/>
          <w:highlight w:val="none"/>
          <w:lang w:eastAsia="zh-CN"/>
        </w:rPr>
      </w:pPr>
      <w:r>
        <w:rPr>
          <w:rFonts w:hint="eastAsia" w:hAnsi="宋体" w:cs="宋体"/>
          <w:highlight w:val="none"/>
        </w:rPr>
        <w:t>理事会副主任：刘光明 卢德文 刘军</w:t>
      </w:r>
    </w:p>
    <w:p w14:paraId="5AEFFBEE">
      <w:pPr>
        <w:rPr>
          <w:rFonts w:hint="eastAsia" w:hAnsi="宋体" w:eastAsia="宋体" w:cs="宋体"/>
          <w:highlight w:val="none"/>
          <w:lang w:eastAsia="zh-CN"/>
        </w:rPr>
      </w:pPr>
      <w:r>
        <w:rPr>
          <w:rFonts w:hint="eastAsia" w:hAnsi="宋体" w:cs="宋体"/>
          <w:highlight w:val="none"/>
        </w:rPr>
        <w:t>工会主席：陈亿红</w:t>
      </w:r>
    </w:p>
    <w:p w14:paraId="27F3BCE2">
      <w:pPr>
        <w:pStyle w:val="3"/>
        <w:bidi w:val="0"/>
        <w:rPr>
          <w:rFonts w:hint="eastAsia"/>
          <w:highlight w:val="none"/>
        </w:rPr>
      </w:pPr>
      <w:r>
        <w:rPr>
          <w:rFonts w:hint="eastAsia"/>
          <w:highlight w:val="none"/>
        </w:rPr>
        <w:t>粮食</w:t>
      </w:r>
    </w:p>
    <w:p w14:paraId="79B38CA9">
      <w:pPr>
        <w:pStyle w:val="4"/>
        <w:bidi w:val="0"/>
        <w:rPr>
          <w:rFonts w:hint="eastAsia"/>
          <w:highlight w:val="none"/>
        </w:rPr>
      </w:pPr>
      <w:r>
        <w:rPr>
          <w:rFonts w:hint="eastAsia"/>
          <w:highlight w:val="none"/>
        </w:rPr>
        <w:t>【概况】</w:t>
      </w:r>
    </w:p>
    <w:p w14:paraId="046C5EC4">
      <w:pPr>
        <w:rPr>
          <w:rFonts w:hint="eastAsia" w:hAnsi="宋体" w:eastAsia="宋体" w:cs="宋体"/>
          <w:highlight w:val="none"/>
          <w:lang w:eastAsia="zh-CN"/>
        </w:rPr>
      </w:pPr>
      <w:r>
        <w:rPr>
          <w:rFonts w:hint="eastAsia" w:hAnsi="宋体" w:cs="宋体"/>
          <w:highlight w:val="none"/>
        </w:rPr>
        <w:t>南雄市粮食局（以下简称“粮食局”）是市政府赋予粮食行政管理职能机构。内设粮油调控股、粮食财会股、粮油储备管理股共3个股室，现有干部职工44人（其中离退休人员32人，在职人员12人）；南雄市粮食购销有限公司（下简称“购销公司”）为国有粮食企业，由粮食局主管，购销公司下辖油山、湖口、古市3个中心粮所及南雄市储备库，购销公司实行独立核算，现有员工49人，购销公司主要职责是承担各级粮油储备轮换及仓储安全管理。</w:t>
      </w:r>
    </w:p>
    <w:p w14:paraId="1757EC03">
      <w:pPr>
        <w:pStyle w:val="4"/>
        <w:bidi w:val="0"/>
        <w:rPr>
          <w:rFonts w:hint="eastAsia"/>
          <w:highlight w:val="none"/>
        </w:rPr>
      </w:pPr>
      <w:r>
        <w:rPr>
          <w:rFonts w:hint="eastAsia"/>
          <w:highlight w:val="none"/>
        </w:rPr>
        <w:t>【粮油仓储】</w:t>
      </w:r>
    </w:p>
    <w:p w14:paraId="3B3619A7">
      <w:pPr>
        <w:rPr>
          <w:rFonts w:hint="eastAsia" w:hAnsi="宋体" w:eastAsia="宋体" w:cs="宋体"/>
          <w:highlight w:val="none"/>
          <w:lang w:eastAsia="zh-CN"/>
        </w:rPr>
      </w:pPr>
      <w:r>
        <w:rPr>
          <w:rFonts w:hint="eastAsia" w:hAnsi="宋体" w:cs="宋体"/>
          <w:highlight w:val="none"/>
        </w:rPr>
        <w:t>2015年4月和9月分别对储备粮进行清仓查库，经检查，全市各级储备粮油数量真实，质量良好，“三账统一”，库贷一致，顺利通过省、市检查组考核。</w:t>
      </w:r>
    </w:p>
    <w:p w14:paraId="29A3881F">
      <w:pPr>
        <w:pStyle w:val="4"/>
        <w:bidi w:val="0"/>
        <w:rPr>
          <w:rFonts w:hint="eastAsia"/>
          <w:highlight w:val="none"/>
        </w:rPr>
      </w:pPr>
      <w:r>
        <w:rPr>
          <w:rFonts w:hint="eastAsia"/>
          <w:highlight w:val="none"/>
        </w:rPr>
        <w:t>【储备粮油轮换】</w:t>
      </w:r>
    </w:p>
    <w:p w14:paraId="4D38F80A">
      <w:pPr>
        <w:rPr>
          <w:rFonts w:hint="eastAsia" w:hAnsi="宋体" w:eastAsia="宋体" w:cs="宋体"/>
          <w:highlight w:val="none"/>
          <w:lang w:eastAsia="zh-CN"/>
        </w:rPr>
      </w:pPr>
      <w:r>
        <w:rPr>
          <w:rFonts w:hint="eastAsia" w:hAnsi="宋体" w:cs="宋体"/>
          <w:highlight w:val="none"/>
        </w:rPr>
        <w:t>2015年完成市、县级储备粮轮换任务，轮换出库4900多吨。完成夏粮收购任务8000吨（含新增本级储备），确保储粮常储常新。根据韶关市人民政府《关于进一步加强全市地方储备粮工作的通知》，本级储备粮增加1万多吨，完善《南雄市新增地方储备粮实施方案》，重新调整南雄市储备粮轮换费实行财政兜底办法。做好食用植物油60吨动态轮换。</w:t>
      </w:r>
    </w:p>
    <w:p w14:paraId="757D04BA">
      <w:pPr>
        <w:pStyle w:val="4"/>
        <w:bidi w:val="0"/>
        <w:rPr>
          <w:rFonts w:hint="eastAsia"/>
          <w:highlight w:val="none"/>
        </w:rPr>
      </w:pPr>
      <w:r>
        <w:rPr>
          <w:rFonts w:hint="eastAsia"/>
          <w:highlight w:val="none"/>
        </w:rPr>
        <w:t>【基础设施建设】</w:t>
      </w:r>
    </w:p>
    <w:p w14:paraId="2948F456">
      <w:pPr>
        <w:rPr>
          <w:rFonts w:hint="eastAsia" w:hAnsi="宋体" w:eastAsia="宋体" w:cs="宋体"/>
          <w:highlight w:val="none"/>
          <w:lang w:eastAsia="zh-CN"/>
        </w:rPr>
      </w:pPr>
      <w:r>
        <w:rPr>
          <w:rFonts w:hint="eastAsia" w:hAnsi="宋体" w:cs="宋体"/>
          <w:highlight w:val="none"/>
        </w:rPr>
        <w:t>2015年，通过处置粮食系统国有资产方式筹集资金，开始实施南雄市全安粮管所1.2万吨粮食仓储军供储备仓项目，项目预计投资1500万元，建设现代化标准仓库2座仓容1.2万吨，配备科学储粮系统和相关配套设施。</w:t>
      </w:r>
    </w:p>
    <w:p w14:paraId="118FD270">
      <w:pPr>
        <w:pStyle w:val="4"/>
        <w:bidi w:val="0"/>
        <w:rPr>
          <w:rFonts w:hint="eastAsia"/>
          <w:highlight w:val="none"/>
        </w:rPr>
      </w:pPr>
      <w:r>
        <w:rPr>
          <w:rFonts w:hint="eastAsia"/>
          <w:highlight w:val="none"/>
        </w:rPr>
        <w:t>【粮食监督检查】</w:t>
      </w:r>
    </w:p>
    <w:p w14:paraId="5A5E8549">
      <w:pPr>
        <w:rPr>
          <w:rFonts w:hint="eastAsia" w:hAnsi="宋体" w:eastAsia="宋体" w:cs="宋体"/>
          <w:highlight w:val="none"/>
          <w:lang w:eastAsia="zh-CN"/>
        </w:rPr>
      </w:pPr>
      <w:r>
        <w:rPr>
          <w:rFonts w:hint="eastAsia" w:hAnsi="宋体" w:cs="宋体"/>
          <w:highlight w:val="none"/>
        </w:rPr>
        <w:t>2015年7月，南雄市粮食流通监督检查工作会议在粮食局召开，会议部署全年粮食监督检查工作，明确发改、工商、食品药品监督、农业局等相关部门职责，认真开展部门协作，共同维护全市粮食流通市场秩序。</w:t>
      </w:r>
    </w:p>
    <w:p w14:paraId="31A7C330">
      <w:pPr>
        <w:pStyle w:val="4"/>
        <w:bidi w:val="0"/>
        <w:rPr>
          <w:rFonts w:hint="eastAsia"/>
          <w:highlight w:val="none"/>
        </w:rPr>
      </w:pPr>
      <w:r>
        <w:rPr>
          <w:rFonts w:hint="eastAsia"/>
          <w:highlight w:val="none"/>
        </w:rPr>
        <w:t>【粮食产销合作】</w:t>
      </w:r>
    </w:p>
    <w:p w14:paraId="7E433F09">
      <w:pPr>
        <w:rPr>
          <w:rFonts w:hint="eastAsia" w:hAnsi="宋体" w:cs="宋体"/>
          <w:highlight w:val="none"/>
        </w:rPr>
      </w:pPr>
      <w:r>
        <w:rPr>
          <w:rFonts w:hint="eastAsia" w:hAnsi="宋体" w:cs="宋体"/>
          <w:highlight w:val="none"/>
        </w:rPr>
        <w:t>2015年5月和9月，粮食局与佛山市、佛山南海区、赣州南康区开展早稻、秋粮产销合作，推进粮食流通，完善南雄市粮食产销经营体制。</w:t>
      </w:r>
    </w:p>
    <w:p w14:paraId="565DCF6D">
      <w:pPr>
        <w:pStyle w:val="4"/>
        <w:bidi w:val="0"/>
        <w:rPr>
          <w:rFonts w:hint="eastAsia"/>
          <w:highlight w:val="none"/>
        </w:rPr>
      </w:pPr>
      <w:r>
        <w:rPr>
          <w:rFonts w:hint="eastAsia"/>
          <w:highlight w:val="none"/>
        </w:rPr>
        <w:t>【粮油加工】</w:t>
      </w:r>
    </w:p>
    <w:p w14:paraId="281F038B">
      <w:pPr>
        <w:rPr>
          <w:rFonts w:hint="eastAsia" w:hAnsi="宋体" w:eastAsia="宋体" w:cs="宋体"/>
          <w:highlight w:val="none"/>
          <w:lang w:eastAsia="zh-CN"/>
        </w:rPr>
      </w:pPr>
      <w:r>
        <w:rPr>
          <w:rFonts w:hint="eastAsia" w:hAnsi="宋体" w:cs="宋体"/>
          <w:highlight w:val="none"/>
        </w:rPr>
        <w:t>广东金友集团有限公司2015年被评为“广东省最具竞争力粮食企业”，有机米获首届2015中国“优佳好食味”十大金奖有机米称号。2015年，公司加工大米4万多吨，确保全市粮食供应。</w:t>
      </w:r>
    </w:p>
    <w:p w14:paraId="11ED7E71">
      <w:pPr>
        <w:pStyle w:val="4"/>
        <w:bidi w:val="0"/>
        <w:rPr>
          <w:rFonts w:hint="eastAsia"/>
          <w:highlight w:val="none"/>
        </w:rPr>
      </w:pPr>
      <w:r>
        <w:rPr>
          <w:rFonts w:hint="eastAsia"/>
          <w:highlight w:val="none"/>
        </w:rPr>
        <w:t>【党组织建设】</w:t>
      </w:r>
    </w:p>
    <w:p w14:paraId="5550721A">
      <w:pPr>
        <w:rPr>
          <w:rFonts w:hint="eastAsia" w:hAnsi="宋体" w:cs="宋体"/>
          <w:highlight w:val="none"/>
        </w:rPr>
      </w:pPr>
      <w:r>
        <w:rPr>
          <w:rFonts w:hint="eastAsia" w:hAnsi="宋体" w:cs="宋体"/>
          <w:highlight w:val="none"/>
        </w:rPr>
        <w:t>2015年12月，经批准，撤销市粮食局党总支部，设粮食局党支部。12月18日，粮食局召开党支部进行换届选举工作。</w:t>
      </w:r>
    </w:p>
    <w:p w14:paraId="4025024F">
      <w:pPr>
        <w:rPr>
          <w:rFonts w:hint="eastAsia" w:hAnsi="宋体" w:eastAsia="宋体" w:cs="宋体"/>
          <w:b w:val="0"/>
          <w:bCs w:val="0"/>
          <w:highlight w:val="none"/>
          <w:lang w:eastAsia="zh-CN"/>
        </w:rPr>
      </w:pPr>
      <w:r>
        <w:rPr>
          <w:rFonts w:hint="eastAsia" w:hAnsi="宋体" w:cs="宋体"/>
          <w:b w:val="0"/>
          <w:bCs w:val="0"/>
          <w:highlight w:val="none"/>
        </w:rPr>
        <w:t>附：2015年市粮食局领导班子成员名单</w:t>
      </w:r>
    </w:p>
    <w:p w14:paraId="1AAC3009">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长：董书海</w:t>
      </w:r>
    </w:p>
    <w:p w14:paraId="77FBD02C">
      <w:pPr>
        <w:rPr>
          <w:rFonts w:hint="eastAsia" w:hAnsi="宋体" w:eastAsia="宋体" w:cs="宋体"/>
          <w:highlight w:val="none"/>
          <w:lang w:eastAsia="zh-CN"/>
        </w:rPr>
      </w:pPr>
      <w:r>
        <w:rPr>
          <w:rFonts w:hint="eastAsia" w:hAnsi="宋体" w:cs="宋体"/>
          <w:highlight w:val="none"/>
        </w:rPr>
        <w:t>副局长：叶祖全</w:t>
      </w:r>
    </w:p>
    <w:p w14:paraId="7CF95F78">
      <w:pPr>
        <w:pStyle w:val="3"/>
        <w:bidi w:val="0"/>
        <w:rPr>
          <w:rFonts w:hint="eastAsia"/>
          <w:highlight w:val="none"/>
        </w:rPr>
      </w:pPr>
      <w:r>
        <w:rPr>
          <w:rFonts w:hint="eastAsia"/>
          <w:highlight w:val="none"/>
        </w:rPr>
        <w:t>盐业</w:t>
      </w:r>
    </w:p>
    <w:p w14:paraId="7FBBCFE4">
      <w:pPr>
        <w:pStyle w:val="4"/>
        <w:bidi w:val="0"/>
        <w:rPr>
          <w:rFonts w:hint="eastAsia"/>
          <w:highlight w:val="none"/>
        </w:rPr>
      </w:pPr>
      <w:r>
        <w:rPr>
          <w:rFonts w:hint="eastAsia"/>
          <w:highlight w:val="none"/>
        </w:rPr>
        <w:t>【概况】</w:t>
      </w:r>
    </w:p>
    <w:p w14:paraId="71D89160">
      <w:pPr>
        <w:rPr>
          <w:rFonts w:hint="eastAsia" w:hAnsi="宋体" w:cs="宋体"/>
          <w:highlight w:val="none"/>
        </w:rPr>
      </w:pPr>
      <w:r>
        <w:rPr>
          <w:rFonts w:hint="eastAsia" w:hAnsi="宋体" w:cs="宋体"/>
          <w:highlight w:val="none"/>
        </w:rPr>
        <w:t>广东省盐业集团韶关有限公司南雄分公司（以下简称南雄分公司）、广东省韶关市盐务局南雄分局（以下简称南雄分局）</w:t>
      </w:r>
      <w:r>
        <w:rPr>
          <w:rFonts w:hint="eastAsia" w:hAnsi="宋体" w:cs="宋体"/>
          <w:highlight w:val="none"/>
          <w:lang w:eastAsia="zh-CN"/>
        </w:rPr>
        <w:t>，</w:t>
      </w:r>
      <w:r>
        <w:rPr>
          <w:rFonts w:hint="eastAsia" w:hAnsi="宋体" w:cs="宋体"/>
          <w:highlight w:val="none"/>
        </w:rPr>
        <w:t>隶属于广东省盐业集团韶关有限公司、广东省韶关市盐务局，是广东省国资委监管的全民所有制企业。2004年6月改制组建南雄分公司、南雄分局，实行两块牌子一套人马管理体制，既是全市食盐专营经营主体，又是依法行使盐业行政管理职能部门。</w:t>
      </w:r>
    </w:p>
    <w:p w14:paraId="58EF8C87">
      <w:pPr>
        <w:rPr>
          <w:rFonts w:hint="eastAsia" w:hAnsi="宋体" w:cs="宋体"/>
          <w:highlight w:val="none"/>
        </w:rPr>
      </w:pPr>
      <w:r>
        <w:rPr>
          <w:rFonts w:hint="eastAsia" w:hAnsi="宋体" w:cs="宋体"/>
          <w:highlight w:val="none"/>
        </w:rPr>
        <w:t>南雄分公司、南雄分局担负着南雄市供应合格加碘食盐、消除碘缺乏病的社会责任和盐业市场管理工作，食盐销售网络覆盖全市1个街道、17个镇</w:t>
      </w:r>
      <w:r>
        <w:rPr>
          <w:rFonts w:hint="eastAsia" w:hAnsi="宋体" w:cs="宋体"/>
          <w:highlight w:val="none"/>
          <w:lang w:eastAsia="zh-CN"/>
        </w:rPr>
        <w:t>，</w:t>
      </w:r>
      <w:r>
        <w:rPr>
          <w:rFonts w:hint="eastAsia" w:hAnsi="宋体" w:cs="宋体"/>
          <w:highlight w:val="none"/>
        </w:rPr>
        <w:t>担负全市人口食用盐、生产用盐、农牧盐供应任务。2015年，南雄分公司销售各类盐产品1909吨（其中：小包装食盐1092吨，食品加工用盐161吨，饲料添加剂623吨，小工业盐33吨）。</w:t>
      </w:r>
    </w:p>
    <w:p w14:paraId="3F182F54">
      <w:pPr>
        <w:pStyle w:val="4"/>
        <w:bidi w:val="0"/>
        <w:rPr>
          <w:rFonts w:hint="eastAsia"/>
          <w:highlight w:val="none"/>
        </w:rPr>
      </w:pPr>
      <w:r>
        <w:rPr>
          <w:rFonts w:hint="eastAsia"/>
          <w:highlight w:val="none"/>
        </w:rPr>
        <w:t>【盐政管理】</w:t>
      </w:r>
    </w:p>
    <w:p w14:paraId="7F7231EC">
      <w:pPr>
        <w:rPr>
          <w:rFonts w:hint="eastAsia" w:hAnsi="宋体" w:cs="宋体"/>
          <w:highlight w:val="none"/>
        </w:rPr>
      </w:pPr>
      <w:r>
        <w:rPr>
          <w:rFonts w:hint="eastAsia" w:hAnsi="宋体" w:cs="宋体"/>
          <w:highlight w:val="none"/>
        </w:rPr>
        <w:t>协调韶赣区域食盐盐政市场，与韶关市局食盐产销部、盐政科、东片区直属分局和市场营销部人员赴江西省赣州市盐务局召开边界交流座谈会。双方分别对食盐市场情况进行分析，就边界市场销售盐种结构达成共识，杜绝互相冲销，加强联防，信息共享，严厉打击制售假盐行为，保障食盐市场的安全与稳定。</w:t>
      </w:r>
    </w:p>
    <w:p w14:paraId="287D5FE5">
      <w:pPr>
        <w:pStyle w:val="4"/>
        <w:bidi w:val="0"/>
        <w:rPr>
          <w:rFonts w:hint="eastAsia"/>
          <w:highlight w:val="none"/>
        </w:rPr>
      </w:pPr>
      <w:r>
        <w:rPr>
          <w:rFonts w:hint="eastAsia"/>
          <w:highlight w:val="none"/>
        </w:rPr>
        <w:t>【食盐安全宣传】</w:t>
      </w:r>
    </w:p>
    <w:p w14:paraId="48F757C9">
      <w:pPr>
        <w:rPr>
          <w:rFonts w:hint="eastAsia" w:hAnsi="宋体" w:cs="宋体"/>
          <w:highlight w:val="none"/>
        </w:rPr>
      </w:pPr>
      <w:r>
        <w:rPr>
          <w:rFonts w:hint="eastAsia" w:hAnsi="宋体" w:cs="宋体"/>
          <w:highlight w:val="none"/>
        </w:rPr>
        <w:t>加强与当地政府部门特别是食品药品监督管理局、打假办、工商局等部门的联动，充分借助社会一切力量，加大打击私盐的违法行为，在元旦、春节、“五一”、端午、中秋、国庆节期间，全面开展打假专项行动，并将打击私盐活动情况作为新闻在当地电视播报。建立健全监管体系，印制《告市民书》《关于规范食盐经营行为》通知，派放到各经销商、批发户、零售商、学校、厂矿饭堂及消费者，规范南雄食盐市场秩序，达到齐抓共管的目的，采取不定期检查，教育和惩治相结合，发放《广东省韶关市盐务局公告》600份，要求客户签收，作为客户经理存档依据。</w:t>
      </w:r>
    </w:p>
    <w:p w14:paraId="34792D95">
      <w:pPr>
        <w:pStyle w:val="4"/>
        <w:bidi w:val="0"/>
        <w:rPr>
          <w:rFonts w:hint="eastAsia"/>
          <w:highlight w:val="none"/>
        </w:rPr>
      </w:pPr>
      <w:r>
        <w:rPr>
          <w:rFonts w:hint="eastAsia"/>
          <w:highlight w:val="none"/>
        </w:rPr>
        <w:t>【整顿盐业市场】</w:t>
      </w:r>
    </w:p>
    <w:p w14:paraId="2E35B34F">
      <w:pPr>
        <w:rPr>
          <w:rFonts w:hint="eastAsia" w:hAnsi="宋体" w:cs="宋体"/>
          <w:highlight w:val="none"/>
        </w:rPr>
      </w:pPr>
      <w:r>
        <w:rPr>
          <w:rFonts w:hint="eastAsia" w:hAnsi="宋体" w:cs="宋体"/>
          <w:highlight w:val="none"/>
        </w:rPr>
        <w:t>召集片区联防机制，形成合力开展食盐打假专项行动，针对私盐贩子在市场兜售假冒盐和江西盐冲击市场较为严重区域，联合片区对珠玑梅岭进行地毯式检查，对重点、难点区域食盐市场进行清理和整顿。根据私盐贩子直送餐饮业迹象，加大对加工、腌制、餐饮等场所监管力度，针对部分餐饮行业夜间开业特殊情况，利用晚上时间，开展食盐安全专项检查行动，确保食盐市场管理无死角。巡查访销、走村串户摸盐罐子作为日常经营工作，采取边巡查边送盐下乡做法。</w:t>
      </w:r>
    </w:p>
    <w:p w14:paraId="3047247D">
      <w:pPr>
        <w:rPr>
          <w:rFonts w:hint="eastAsia" w:hAnsi="宋体" w:cs="宋体"/>
          <w:highlight w:val="none"/>
        </w:rPr>
      </w:pPr>
      <w:r>
        <w:rPr>
          <w:rFonts w:hint="eastAsia" w:hAnsi="宋体" w:cs="宋体"/>
          <w:highlight w:val="none"/>
        </w:rPr>
        <w:t>2015年，出动盐政执法人员586人次，检查市场202个，检查店档2193家、餐饮业689家、走访141个村委会、农户1264户，派发宣传资料1万多份，查处盐业违反案件96宗（其中简易程序95宗，一般程序1宗），查获售假窝点5家（市区2家、乡镇3家），查没2012年至2015年2月份违法盐产品6066.05千克，罚没款320元。</w:t>
      </w:r>
    </w:p>
    <w:p w14:paraId="43C7E01B">
      <w:pPr>
        <w:rPr>
          <w:rFonts w:hint="eastAsia" w:hAnsi="宋体" w:cs="宋体"/>
          <w:highlight w:val="none"/>
        </w:rPr>
      </w:pPr>
      <w:r>
        <w:rPr>
          <w:rFonts w:hint="eastAsia" w:hAnsi="宋体" w:cs="宋体"/>
          <w:highlight w:val="none"/>
        </w:rPr>
        <w:t>附：2015年韶关市盐务局（盐业总公司）南雄分局（分公司）领导班子成员名单</w:t>
      </w:r>
    </w:p>
    <w:p w14:paraId="7031B9AC">
      <w:pPr>
        <w:rPr>
          <w:rFonts w:hint="eastAsia" w:hAnsi="宋体" w:eastAsia="宋体" w:cs="宋体"/>
          <w:highlight w:val="none"/>
          <w:lang w:eastAsia="zh-CN"/>
        </w:rPr>
      </w:pPr>
      <w:r>
        <w:rPr>
          <w:rFonts w:hint="eastAsia" w:hAnsi="宋体" w:cs="宋体"/>
          <w:highlight w:val="none"/>
        </w:rPr>
        <w:t>局长、经理：高文兰</w:t>
      </w:r>
    </w:p>
    <w:p w14:paraId="5AC19E72">
      <w:pPr>
        <w:pStyle w:val="3"/>
        <w:bidi w:val="0"/>
        <w:rPr>
          <w:rFonts w:hint="eastAsia"/>
          <w:highlight w:val="none"/>
        </w:rPr>
      </w:pPr>
      <w:r>
        <w:rPr>
          <w:rFonts w:hint="eastAsia"/>
          <w:highlight w:val="none"/>
        </w:rPr>
        <w:t>对外贸易</w:t>
      </w:r>
    </w:p>
    <w:p w14:paraId="14F61366">
      <w:pPr>
        <w:pStyle w:val="4"/>
        <w:bidi w:val="0"/>
        <w:rPr>
          <w:rFonts w:hint="eastAsia"/>
          <w:highlight w:val="none"/>
        </w:rPr>
      </w:pPr>
      <w:r>
        <w:rPr>
          <w:rFonts w:hint="eastAsia"/>
          <w:highlight w:val="none"/>
        </w:rPr>
        <w:t>【概况】</w:t>
      </w:r>
    </w:p>
    <w:p w14:paraId="3F40AF92">
      <w:pPr>
        <w:rPr>
          <w:rFonts w:hint="eastAsia" w:hAnsi="宋体" w:cs="宋体"/>
          <w:highlight w:val="none"/>
        </w:rPr>
      </w:pPr>
      <w:r>
        <w:rPr>
          <w:rFonts w:hint="eastAsia" w:hAnsi="宋体" w:cs="宋体"/>
          <w:highlight w:val="none"/>
        </w:rPr>
        <w:t>南雄市外经局成立于1982年，其前身是南雄县外经委，是县政府工作部门之一，2015年8月31日，南雄市商务局正式挂牌。行政编制9名，纪检组长1名（市纪委派驻商务局纪检组长），内设办公室、外资股、贸易贸促股、商贸流通股、贸易股、口岸局6个机构。原市对外贸易经济合作局职责整体划入市商务局，负责利用外资、出口创汇、劳务输出及进出口贸易工作。管理、协调全市举办或参与境内外各类外经贸交易会、展销会、洽谈会，协同有关部门进行经济贸易合作谈判、签约，指导协调全市招商引资投资促进和引进外资工作，组织承办全市性招商引资活动，指导和管理全市外商投资企业的合同章程及其变更事项审批，协调解决外资企业在生产经营中的重大问题。市经济和信息化局的商贸流通管理职责划入市商务局，优化产业布局，指导商品贸易结构调整，推动商贸服务平台建设，推进内外贸易融合发展。优化商贸流通产业结构，推进连锁经营、商业特许经营、物流配送等现代流通方式发展。加快电子商务建设，实现流通现代化。</w:t>
      </w:r>
    </w:p>
    <w:p w14:paraId="2AE88CF6">
      <w:pPr>
        <w:rPr>
          <w:rFonts w:hint="eastAsia" w:hAnsi="宋体" w:cs="宋体"/>
          <w:highlight w:val="none"/>
        </w:rPr>
      </w:pPr>
      <w:r>
        <w:rPr>
          <w:rFonts w:hint="eastAsia" w:hAnsi="宋体" w:cs="宋体"/>
          <w:highlight w:val="none"/>
        </w:rPr>
        <w:t>2015年，全市合同吸收外资17万美元，比上年减少0.61%；实际吸收外资804万美元，比上年增长44.18%；全市外贸出口4565.7万美元，比上年增长18.5%；外贸进出口总额5015.3万美元，比上年增长14.3%；累计实现批发业销售额25.87亿元，比上年增长10.7%；零售业销售额40.7亿元，比上年增长13.9%；社会消费品零售总额45.6亿元，同比增长11.1%。</w:t>
      </w:r>
    </w:p>
    <w:p w14:paraId="4CB7A2A9">
      <w:pPr>
        <w:pStyle w:val="4"/>
        <w:bidi w:val="0"/>
        <w:rPr>
          <w:rFonts w:hint="eastAsia"/>
          <w:highlight w:val="none"/>
        </w:rPr>
      </w:pPr>
      <w:r>
        <w:rPr>
          <w:rFonts w:hint="eastAsia"/>
          <w:highlight w:val="none"/>
        </w:rPr>
        <w:t>【情系桑梓共谋发展】</w:t>
      </w:r>
    </w:p>
    <w:p w14:paraId="498CD194">
      <w:pPr>
        <w:rPr>
          <w:rFonts w:hint="eastAsia" w:hAnsi="宋体" w:cs="宋体"/>
          <w:highlight w:val="none"/>
        </w:rPr>
      </w:pPr>
      <w:r>
        <w:rPr>
          <w:rFonts w:hint="eastAsia" w:hAnsi="宋体" w:cs="宋体"/>
          <w:highlight w:val="none"/>
        </w:rPr>
        <w:t>1月8日，举行南雄市2015年外出乡贤经贸推介座谈会，谋划进一步推动家乡振兴发展，共同建设美丽新南雄。市领导曾风保、何万飞、丘德周等出席座谈会。座谈会现场举行项目签约仪式，现场签约水西小岛大型综合农贸城项目，邓坊十里岭漂流项目，南雄香莹文化休闲度假山庄项目，农业科技园中药饮片、医药仓储和耗材项目等8个重点项目，签约资金4.3亿元，项目涉及农贸、新型农业、生态旅游、医药、酒业以及教育等多个领域。项目建成后不仅可带动当地农业、旅游业发展，还将创造就业岗位3000多个。</w:t>
      </w:r>
    </w:p>
    <w:p w14:paraId="4B552D48">
      <w:pPr>
        <w:pStyle w:val="4"/>
        <w:bidi w:val="0"/>
        <w:rPr>
          <w:rFonts w:hint="eastAsia"/>
          <w:highlight w:val="none"/>
        </w:rPr>
      </w:pPr>
      <w:r>
        <w:rPr>
          <w:rFonts w:hint="eastAsia"/>
          <w:highlight w:val="none"/>
        </w:rPr>
        <w:t>【重大项目招商】</w:t>
      </w:r>
    </w:p>
    <w:p w14:paraId="6A7FACFC">
      <w:pPr>
        <w:rPr>
          <w:rFonts w:hint="eastAsia" w:hAnsi="宋体" w:cs="宋体"/>
          <w:highlight w:val="none"/>
        </w:rPr>
      </w:pPr>
      <w:r>
        <w:rPr>
          <w:rFonts w:hint="eastAsia" w:hAnsi="宋体" w:cs="宋体"/>
          <w:highlight w:val="none"/>
        </w:rPr>
        <w:t>9月16日，中能建投南雄新能源有限公司揭牌成立。市委书记曾风保、市长王碧安、中国能源建设股份有限公司总经理许金明为中能建投南雄新能源有限公司揭牌。犁牛坪风电场项目由中能建设投资，位于邓坊、油山两镇，风电场规划装机10万千瓦，分两期建设。第一期工程装机容量5万千瓦，计划安装25台2000千瓦风电机组，总投资4.38亿元，项目完工年上网发电量约1亿千瓦时，预计年缴税过千万。项目现已列入韶关市2015年重点建设前期预备项目。</w:t>
      </w:r>
    </w:p>
    <w:p w14:paraId="6C550489">
      <w:pPr>
        <w:rPr>
          <w:rFonts w:hint="eastAsia" w:hAnsi="宋体" w:cs="宋体"/>
          <w:highlight w:val="none"/>
        </w:rPr>
      </w:pPr>
      <w:r>
        <w:rPr>
          <w:rFonts w:hint="eastAsia" w:hAnsi="宋体" w:cs="宋体"/>
          <w:highlight w:val="none"/>
        </w:rPr>
        <w:t>11月3日，犁牛坪风电场项目开工建设，项目总装机容量10万千瓦、总投资近4.4亿元、年设计发电量约1亿千瓦时。中能建投南雄新能源有限公司是南雄市引进一家致力于风能、太阳能等新能源领域投资与开发重点企业。公司在邓坊、油山两镇投资4.4亿元建设装机容量10万千瓦犁牛坪风电场项目。项目建成后，年上网发电量约1亿千瓦时。</w:t>
      </w:r>
    </w:p>
    <w:p w14:paraId="366D04B8">
      <w:pPr>
        <w:rPr>
          <w:rFonts w:hint="eastAsia" w:hAnsi="宋体" w:cs="宋体"/>
          <w:highlight w:val="none"/>
        </w:rPr>
      </w:pPr>
      <w:r>
        <w:rPr>
          <w:rFonts w:hint="eastAsia" w:hAnsi="宋体" w:cs="宋体"/>
          <w:highlight w:val="none"/>
        </w:rPr>
        <w:t>12月8日，举行华电南雄热电联产工程奠基暨南雄市重点项目签约动工投产仪式。华电南雄热电联产工程等29个重点项目集中奠基及签约动工投产，总投资约145亿元。</w:t>
      </w:r>
    </w:p>
    <w:p w14:paraId="003D7C32">
      <w:pPr>
        <w:pStyle w:val="4"/>
        <w:bidi w:val="0"/>
        <w:rPr>
          <w:rFonts w:hint="eastAsia"/>
          <w:highlight w:val="none"/>
        </w:rPr>
      </w:pPr>
      <w:r>
        <w:rPr>
          <w:rFonts w:hint="eastAsia"/>
          <w:highlight w:val="none"/>
        </w:rPr>
        <w:t>【南雄大市场】</w:t>
      </w:r>
    </w:p>
    <w:p w14:paraId="1F559D57">
      <w:pPr>
        <w:rPr>
          <w:rFonts w:hint="eastAsia" w:hAnsi="宋体" w:cs="宋体"/>
          <w:highlight w:val="none"/>
        </w:rPr>
      </w:pPr>
      <w:r>
        <w:rPr>
          <w:rFonts w:hint="eastAsia" w:hAnsi="宋体" w:cs="宋体"/>
          <w:highlight w:val="none"/>
        </w:rPr>
        <w:t>12月8日，南雄大市场竣工启用。南雄大市场从2014年11月动工，经过一年多时间，于12月8日正式竣工启用。南雄大市场是南雄首家家居建材一站式采购中心，其项目经营范围包括建材装饰、五金机电、电动车和家居生活四大业态，集展示、交易、展览、物流、仓储、办公、居住等功能为一体。项目总投资5亿元，建成后独立产权商铺有1000多间。南雄大市场内已有200多个品牌入驻。</w:t>
      </w:r>
    </w:p>
    <w:p w14:paraId="0D1DF708">
      <w:pPr>
        <w:pStyle w:val="4"/>
        <w:bidi w:val="0"/>
        <w:rPr>
          <w:rFonts w:hint="eastAsia"/>
          <w:highlight w:val="none"/>
        </w:rPr>
      </w:pPr>
      <w:r>
        <w:rPr>
          <w:rFonts w:hint="eastAsia"/>
          <w:highlight w:val="none"/>
        </w:rPr>
        <w:t>【创新招商方式】</w:t>
      </w:r>
    </w:p>
    <w:p w14:paraId="461D8489">
      <w:pPr>
        <w:rPr>
          <w:rFonts w:hint="eastAsia" w:hAnsi="宋体" w:cs="宋体"/>
          <w:highlight w:val="none"/>
        </w:rPr>
      </w:pPr>
      <w:r>
        <w:rPr>
          <w:rFonts w:hint="eastAsia" w:hAnsi="宋体" w:cs="宋体"/>
          <w:highlight w:val="none"/>
        </w:rPr>
        <w:t>招商办与市商务局合署办公。招商办本部设立招商引资工作专责小组，分别设立行政组、招商组、服务组，实行“组长”负责制，各专责组组长是第一责任人。从全市公开选调2名优质人才，充实招商一线队伍。</w:t>
      </w:r>
    </w:p>
    <w:p w14:paraId="19D49D0C">
      <w:pPr>
        <w:rPr>
          <w:rFonts w:hint="eastAsia" w:hAnsi="宋体" w:eastAsia="宋体" w:cs="宋体"/>
          <w:highlight w:val="none"/>
          <w:lang w:eastAsia="zh-CN"/>
        </w:rPr>
      </w:pPr>
      <w:r>
        <w:rPr>
          <w:rFonts w:hint="eastAsia" w:hAnsi="宋体" w:cs="宋体"/>
          <w:highlight w:val="none"/>
        </w:rPr>
        <w:t>主动拜访及邀请港澳台、广州、东莞等珠三角周边地区有关行业协会、商会，开展有针对性的投资和项目推介工作，有针对性地邀请有投资意向的企业到市考察、洽谈投资合作。加快搭建招商新平台，扩展南雄招商宣介渠道。主持智慧招商信息化项目成功签约，开通“南雄招商”微信公众平台和广东南雄招商QQ群、新浪微博等自媒体进行广泛宣传。通过举办外出乡贤经贸推介座谈会，广大外出乡贤与南雄本土企业家齐聚一堂，加强联谊，谋划进一步推动家乡振兴发展，共同建设美丽新南雄。</w:t>
      </w:r>
      <w:r>
        <w:rPr>
          <w:rFonts w:hint="eastAsia" w:hAnsi="宋体" w:cs="宋体"/>
          <w:highlight w:val="none"/>
          <w:lang w:eastAsia="zh-CN"/>
        </w:rPr>
        <w:t>（</w:t>
      </w:r>
      <w:r>
        <w:rPr>
          <w:rFonts w:hint="eastAsia" w:hAnsi="宋体" w:cs="宋体"/>
          <w:highlight w:val="none"/>
        </w:rPr>
        <w:t>陈如亮</w:t>
      </w:r>
      <w:r>
        <w:rPr>
          <w:rFonts w:hint="eastAsia" w:hAnsi="宋体" w:cs="宋体"/>
          <w:highlight w:val="none"/>
          <w:lang w:eastAsia="zh-CN"/>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EB84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62236E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57070"/>
                  <wp:effectExtent l="0" t="0" r="8890" b="5080"/>
                  <wp:docPr id="82" name="图片 23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39" descr="21"/>
                          <pic:cNvPicPr>
                            <a:picLocks noChangeAspect="1"/>
                          </pic:cNvPicPr>
                        </pic:nvPicPr>
                        <pic:blipFill>
                          <a:blip r:embed="rId87"/>
                          <a:stretch>
                            <a:fillRect/>
                          </a:stretch>
                        </pic:blipFill>
                        <pic:spPr>
                          <a:xfrm>
                            <a:off x="0" y="0"/>
                            <a:ext cx="3420110" cy="1957070"/>
                          </a:xfrm>
                          <a:prstGeom prst="rect">
                            <a:avLst/>
                          </a:prstGeom>
                          <a:noFill/>
                          <a:ln>
                            <a:noFill/>
                          </a:ln>
                        </pic:spPr>
                      </pic:pic>
                    </a:graphicData>
                  </a:graphic>
                </wp:inline>
              </w:drawing>
            </w:r>
          </w:p>
        </w:tc>
      </w:tr>
      <w:tr w14:paraId="56CFF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6802F60">
            <w:pPr>
              <w:jc w:val="center"/>
              <w:rPr>
                <w:rFonts w:hint="eastAsia" w:hAnsi="宋体" w:cs="宋体"/>
                <w:highlight w:val="none"/>
                <w:vertAlign w:val="baseline"/>
              </w:rPr>
            </w:pPr>
            <w:r>
              <w:rPr>
                <w:rFonts w:hint="eastAsia" w:hAnsi="宋体" w:cs="宋体"/>
                <w:highlight w:val="none"/>
                <w:vertAlign w:val="baseline"/>
              </w:rPr>
              <w:t>南雄大市场正门</w:t>
            </w:r>
          </w:p>
        </w:tc>
      </w:tr>
    </w:tbl>
    <w:p w14:paraId="1AC6975A">
      <w:pPr>
        <w:rPr>
          <w:rFonts w:hint="eastAsia" w:hAnsi="宋体" w:eastAsia="宋体" w:cs="宋体"/>
          <w:b w:val="0"/>
          <w:bCs w:val="0"/>
          <w:highlight w:val="none"/>
          <w:lang w:eastAsia="zh-CN"/>
        </w:rPr>
      </w:pPr>
      <w:r>
        <w:rPr>
          <w:rFonts w:hint="eastAsia" w:hAnsi="宋体" w:cs="宋体"/>
          <w:b w:val="0"/>
          <w:bCs w:val="0"/>
          <w:highlight w:val="none"/>
        </w:rPr>
        <w:t>附：2015年市商务局领导班子成员名单</w:t>
      </w:r>
    </w:p>
    <w:p w14:paraId="488E9387">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长：叶世明</w:t>
      </w:r>
    </w:p>
    <w:p w14:paraId="746CC7B9">
      <w:pPr>
        <w:rPr>
          <w:rFonts w:hint="eastAsia" w:hAnsi="宋体" w:eastAsia="宋体" w:cs="宋体"/>
          <w:highlight w:val="none"/>
          <w:lang w:eastAsia="zh-CN"/>
        </w:rPr>
      </w:pPr>
      <w:r>
        <w:rPr>
          <w:rFonts w:hint="eastAsia" w:hAnsi="宋体" w:cs="宋体"/>
          <w:b w:val="0"/>
          <w:bCs w:val="0"/>
          <w:highlight w:val="none"/>
        </w:rPr>
        <w:t>纪检组长：龚甫</w:t>
      </w:r>
      <w:r>
        <w:rPr>
          <w:rFonts w:hint="eastAsia" w:hAnsi="宋体" w:cs="宋体"/>
          <w:highlight w:val="none"/>
        </w:rPr>
        <w:t>团</w:t>
      </w:r>
    </w:p>
    <w:p w14:paraId="4599AFC3">
      <w:pPr>
        <w:rPr>
          <w:rFonts w:hint="eastAsia" w:hAnsi="宋体" w:eastAsia="宋体" w:cs="宋体"/>
          <w:highlight w:val="none"/>
          <w:lang w:eastAsia="zh-CN"/>
        </w:rPr>
      </w:pPr>
      <w:r>
        <w:rPr>
          <w:rFonts w:hint="eastAsia" w:hAnsi="宋体" w:cs="宋体"/>
          <w:highlight w:val="none"/>
        </w:rPr>
        <w:t>副局长：罗庆星 邓彩军</w:t>
      </w:r>
    </w:p>
    <w:p w14:paraId="29A9FF50">
      <w:pPr>
        <w:pStyle w:val="3"/>
        <w:bidi w:val="0"/>
        <w:rPr>
          <w:rFonts w:hint="eastAsia"/>
          <w:highlight w:val="none"/>
        </w:rPr>
      </w:pPr>
      <w:r>
        <w:rPr>
          <w:rFonts w:hint="eastAsia"/>
          <w:highlight w:val="none"/>
        </w:rPr>
        <w:t>旅游</w:t>
      </w:r>
    </w:p>
    <w:p w14:paraId="72D072F9">
      <w:pPr>
        <w:pStyle w:val="4"/>
        <w:bidi w:val="0"/>
        <w:rPr>
          <w:rFonts w:hint="eastAsia"/>
          <w:highlight w:val="none"/>
        </w:rPr>
      </w:pPr>
      <w:r>
        <w:rPr>
          <w:rFonts w:hint="eastAsia"/>
          <w:highlight w:val="none"/>
        </w:rPr>
        <w:t>【概况】</w:t>
      </w:r>
    </w:p>
    <w:p w14:paraId="4273AAAB">
      <w:pPr>
        <w:rPr>
          <w:rFonts w:hint="eastAsia" w:hAnsi="宋体" w:cs="宋体"/>
          <w:highlight w:val="none"/>
        </w:rPr>
      </w:pPr>
      <w:r>
        <w:rPr>
          <w:rFonts w:hint="eastAsia" w:hAnsi="宋体" w:cs="宋体"/>
          <w:highlight w:val="none"/>
        </w:rPr>
        <w:t>南雄市旅游局成立于1989年10月，为事业单位，编制为3人。2001年机构改革，由事业单位调整为行政单位，编制为5人。2015年增设市场监督管理股，行政编制2名；成立旅游发展服务中心，事业编制4名。目前，南雄市旅游局行政编制7名、事业编制4名，其中局长1名、副局长2名，纪检组长1名。内设办公室、行业管理股、旅游发展服务中心、市场监督管理股4个职能股室。主要职责：拟定旅游业管理政策并组织实施；贯彻执行国家关于旅游业的方针政策和法规，培育和完善国内旅游市场；研究拟定发展国内旅游的措施并监督执行；指导全市旅游工作；组织旅游资源普查；组织南雄旅游整体形象对外宣传和重大促销活动；指导旅游企业对外交流与合作；承办上级交办其他事项。2015年，南雄市旅游局入选第二批“2015南雄榜样”先进集体。</w:t>
      </w:r>
    </w:p>
    <w:p w14:paraId="58B9AC04">
      <w:pPr>
        <w:pStyle w:val="4"/>
        <w:bidi w:val="0"/>
        <w:rPr>
          <w:rFonts w:hint="eastAsia"/>
          <w:highlight w:val="none"/>
        </w:rPr>
      </w:pPr>
      <w:r>
        <w:rPr>
          <w:rFonts w:hint="eastAsia"/>
          <w:highlight w:val="none"/>
        </w:rPr>
        <w:t>【旅游接待】</w:t>
      </w:r>
    </w:p>
    <w:p w14:paraId="461DF60B">
      <w:pPr>
        <w:rPr>
          <w:rFonts w:hint="eastAsia" w:hAnsi="宋体" w:cs="宋体"/>
          <w:highlight w:val="none"/>
        </w:rPr>
      </w:pPr>
      <w:r>
        <w:rPr>
          <w:rFonts w:hint="eastAsia" w:hAnsi="宋体" w:cs="宋体"/>
          <w:highlight w:val="none"/>
        </w:rPr>
        <w:t>创造良好旅游环境，制定旅游工作方案和旅游安全应急预案，明确工作分工，加强部门配合和联动，做好旅游接待。2015年春节、“五一”和国庆等节假日期间，景区运作正常，宾馆酒店经营有序，保持节假日零事故、零投诉的纪录，达到“安全、秩序、质量、效益”四统一的预期工作目标。2015年，全市接待游客336.95万人次，同比增长21.73%；实现旅游总收入23.65亿元，同比增长27.64%。2015年，南雄市入选全国休闲农业与乡村旅游示范县，荣获广东省2014—2015年度县域“旅游创新发展指数十强县（第一名）”“广东最具影响力旅游微信公众号（畅游南雄）第一名”和“最具潜力旅游品牌（银杏染秋）第二名”多项殊荣；珠玑镇入选“广东省休闲农业与乡村旅游示范镇”，帽子峰森林公园入选“广东省休闲农业与乡村旅游示范点”。三佳村农业休闲生态园、聚贤农庄（观音山景区）荣获“中国乡村旅游金牌农家乐”称誉；三佳村农业休闲生态园总经理李斌获得“中国乡村旅游致富带头人”称号。</w:t>
      </w:r>
    </w:p>
    <w:p w14:paraId="336C1757">
      <w:pPr>
        <w:pStyle w:val="4"/>
        <w:bidi w:val="0"/>
        <w:rPr>
          <w:rFonts w:hint="eastAsia"/>
          <w:highlight w:val="none"/>
        </w:rPr>
      </w:pPr>
      <w:r>
        <w:rPr>
          <w:rFonts w:hint="eastAsia"/>
          <w:highlight w:val="none"/>
        </w:rPr>
        <w:t>【旅游项目建设】</w:t>
      </w:r>
    </w:p>
    <w:p w14:paraId="3041DFD2">
      <w:pPr>
        <w:rPr>
          <w:rFonts w:hint="eastAsia" w:hAnsi="宋体" w:cs="宋体"/>
          <w:highlight w:val="none"/>
          <w:vertAlign w:val="baseline"/>
        </w:rPr>
      </w:pPr>
      <w:r>
        <w:rPr>
          <w:rFonts w:hint="eastAsia" w:hAnsi="宋体" w:cs="宋体"/>
          <w:highlight w:val="none"/>
        </w:rPr>
        <w:t>两岸花博生态园于2015年2月11日开园。邓坊泉水谷漂流度假村于2015年5月15日开业，填补夏季旅游空白。珠玑古巷景区停车场和游客服务中心2015年国庆节投入使用；珠玑古巷二期宗祠建设完成征地，进入姓氏选址建设阶段。梅关古道景区大门完成主体工程，循环小道项目完成土石方工程，游客服务中心项目立项批复。协助完成坪田停车场建设、新圩至冯屋道路的扩建工程，协助景区观光车正常运营和停车场收费；协助完成帽子峰生态景区旅游公路扩建土建工程和大型生态停车场建设，协助观光车运营。香草世界森林公园规划通过评审，完成景区主干道建设，种植10多个品种观赏树种和花卉。南雄国际会展中心酒店、万年酒店完成室内装修。在韶赣高速公路、火车站出口等主要道路设置9块交通道路指示牌，在坪田、帽子峰道路沿线更换8块大型T型广告，营造浓厚“银杏染秋”宣传氛围。牵头组织完成帽子峰景区、坪田景区各景点实现免费WiFi覆盖。</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A674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1B0B1BB">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83" name="图片 240" descr="漂流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40" descr="漂流22"/>
                          <pic:cNvPicPr>
                            <a:picLocks noChangeAspect="1"/>
                          </pic:cNvPicPr>
                        </pic:nvPicPr>
                        <pic:blipFill>
                          <a:blip r:embed="rId88"/>
                          <a:stretch>
                            <a:fillRect/>
                          </a:stretch>
                        </pic:blipFill>
                        <pic:spPr>
                          <a:xfrm>
                            <a:off x="0" y="0"/>
                            <a:ext cx="3420110" cy="2279650"/>
                          </a:xfrm>
                          <a:prstGeom prst="rect">
                            <a:avLst/>
                          </a:prstGeom>
                          <a:noFill/>
                          <a:ln>
                            <a:noFill/>
                          </a:ln>
                        </pic:spPr>
                      </pic:pic>
                    </a:graphicData>
                  </a:graphic>
                </wp:inline>
              </w:drawing>
            </w:r>
          </w:p>
        </w:tc>
      </w:tr>
      <w:tr w14:paraId="4DF5D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8D3DE08">
            <w:pPr>
              <w:jc w:val="center"/>
              <w:rPr>
                <w:rFonts w:hint="eastAsia" w:hAnsi="宋体" w:cs="宋体"/>
                <w:highlight w:val="none"/>
                <w:vertAlign w:val="baseline"/>
              </w:rPr>
            </w:pPr>
            <w:r>
              <w:rPr>
                <w:rFonts w:hint="eastAsia" w:hAnsi="宋体" w:cs="宋体"/>
                <w:highlight w:val="none"/>
                <w:vertAlign w:val="baseline"/>
              </w:rPr>
              <w:t>邓坊泉水谷漂流</w:t>
            </w:r>
          </w:p>
        </w:tc>
      </w:tr>
      <w:tr w14:paraId="5970A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AD84847">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84" name="图片 242" descr="花博园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42" descr="花博园23"/>
                          <pic:cNvPicPr>
                            <a:picLocks noChangeAspect="1"/>
                          </pic:cNvPicPr>
                        </pic:nvPicPr>
                        <pic:blipFill>
                          <a:blip r:embed="rId89"/>
                          <a:stretch>
                            <a:fillRect/>
                          </a:stretch>
                        </pic:blipFill>
                        <pic:spPr>
                          <a:xfrm>
                            <a:off x="0" y="0"/>
                            <a:ext cx="3420110" cy="2279650"/>
                          </a:xfrm>
                          <a:prstGeom prst="rect">
                            <a:avLst/>
                          </a:prstGeom>
                          <a:noFill/>
                          <a:ln>
                            <a:noFill/>
                          </a:ln>
                        </pic:spPr>
                      </pic:pic>
                    </a:graphicData>
                  </a:graphic>
                </wp:inline>
              </w:drawing>
            </w:r>
          </w:p>
        </w:tc>
      </w:tr>
      <w:tr w14:paraId="5B754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1D55325">
            <w:pPr>
              <w:jc w:val="center"/>
              <w:rPr>
                <w:rFonts w:hint="eastAsia" w:hAnsi="宋体" w:cs="宋体"/>
                <w:highlight w:val="none"/>
                <w:vertAlign w:val="baseline"/>
              </w:rPr>
            </w:pPr>
            <w:r>
              <w:rPr>
                <w:rFonts w:hint="eastAsia" w:hAnsi="宋体" w:cs="宋体"/>
                <w:highlight w:val="none"/>
                <w:vertAlign w:val="baseline"/>
              </w:rPr>
              <w:t>主田镇两岸花博园</w:t>
            </w:r>
          </w:p>
        </w:tc>
      </w:tr>
    </w:tbl>
    <w:p w14:paraId="4B9766C8">
      <w:pPr>
        <w:pStyle w:val="4"/>
        <w:bidi w:val="0"/>
        <w:rPr>
          <w:rFonts w:hint="eastAsia"/>
          <w:highlight w:val="none"/>
        </w:rPr>
      </w:pPr>
      <w:r>
        <w:rPr>
          <w:rFonts w:hint="eastAsia"/>
          <w:highlight w:val="none"/>
        </w:rPr>
        <w:t>【旅游宣传营销】</w:t>
      </w:r>
    </w:p>
    <w:p w14:paraId="11A7EAF0">
      <w:pPr>
        <w:rPr>
          <w:rFonts w:hint="eastAsia" w:hAnsi="宋体" w:cs="宋体"/>
          <w:highlight w:val="none"/>
        </w:rPr>
      </w:pPr>
      <w:r>
        <w:rPr>
          <w:rFonts w:hint="eastAsia" w:hAnsi="宋体" w:cs="宋体"/>
          <w:highlight w:val="none"/>
        </w:rPr>
        <w:t>制定详细宣传计划。在对南雄旅游客源市场开发及形势进行客观分析基础上，对2015年旅游宣传重点、宣传营销模式、宣传措施和方法等进行详细策划。组织营销人员到珠三角、韶关、江西、湖南等地各大旅行社进行走访推介，组织旅游企业参加2015年广州国际旅游展览会、香港国际旅游展等大型旅游宣传促销活动。发挥官方微博、微信等新兴媒体作用，官方微信持有关注人群1.5万人，全年推送南雄旅游信息1200多条，2015年旅游接待人数和全市旅游总收入增幅均高于2014年。举办两岸花博生态园开园仪式、泉水谷漂流度假村开漂仪式暨“康绿宝杯醉美南雄”摄影大赛开镜仪式、南雄第二届姓氏文化旅游节、银杏观光活动启动仪式等节庆活动，增强南雄旅游吸引力。编辑出版1万多册《旅游指南》和2万册《坪田银杏导游手册》，</w:t>
      </w:r>
    </w:p>
    <w:p w14:paraId="55B5AF83">
      <w:pPr>
        <w:rPr>
          <w:rFonts w:hint="eastAsia" w:hAnsi="宋体" w:cs="宋体"/>
          <w:highlight w:val="none"/>
        </w:rPr>
      </w:pPr>
      <w:r>
        <w:rPr>
          <w:rFonts w:hint="eastAsia" w:hAnsi="宋体" w:cs="宋体"/>
          <w:highlight w:val="none"/>
        </w:rPr>
        <w:t>免费发放到各旅行社、星级酒店和农家乐等旅游企业和游客。精心设计南雄市自驾游线路图和旅游资源分布图，更加方便游客解南雄旅游资源和旅游线路。发挥大学生智慧，创作手绘南雄风光、胡妃故事、特色小吃、梅岭故事等明信片，并印刷4万套作为旅游商品。完成珠玑巷游客服务中心农土特产品布展，6家本地“拳头”企业入驻。引导本地企业开发旅游产品，组织名优企业到省、韶关参展和评选。召开全市旅游企业联合营销座谈会，向全市旅游企业发出《关于南雄市旅游企业开展联合营销活动的倡议书》，将改变旅游企业“单打独斗”局面，降低旅游企业经营成本，提升宣传营销效果。</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D99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8385D3B">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736850"/>
                  <wp:effectExtent l="0" t="0" r="8890" b="6350"/>
                  <wp:docPr id="85" name="图片 243" descr="农家乐建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43" descr="农家乐建设"/>
                          <pic:cNvPicPr>
                            <a:picLocks noChangeAspect="1"/>
                          </pic:cNvPicPr>
                        </pic:nvPicPr>
                        <pic:blipFill>
                          <a:blip r:embed="rId90"/>
                          <a:stretch>
                            <a:fillRect/>
                          </a:stretch>
                        </pic:blipFill>
                        <pic:spPr>
                          <a:xfrm>
                            <a:off x="0" y="0"/>
                            <a:ext cx="3420110" cy="2736850"/>
                          </a:xfrm>
                          <a:prstGeom prst="rect">
                            <a:avLst/>
                          </a:prstGeom>
                          <a:noFill/>
                          <a:ln>
                            <a:noFill/>
                          </a:ln>
                        </pic:spPr>
                      </pic:pic>
                    </a:graphicData>
                  </a:graphic>
                </wp:inline>
              </w:drawing>
            </w:r>
          </w:p>
        </w:tc>
      </w:tr>
      <w:tr w14:paraId="01867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B25816A">
            <w:pPr>
              <w:jc w:val="center"/>
              <w:rPr>
                <w:rFonts w:hint="eastAsia" w:hAnsi="宋体" w:cs="宋体"/>
                <w:highlight w:val="none"/>
                <w:vertAlign w:val="baseline"/>
              </w:rPr>
            </w:pPr>
            <w:r>
              <w:rPr>
                <w:rFonts w:hint="eastAsia" w:hAnsi="宋体" w:cs="宋体"/>
                <w:highlight w:val="none"/>
                <w:vertAlign w:val="baseline"/>
              </w:rPr>
              <w:t>市委常委、副市长李海霞（右二）指导农家乐建设</w:t>
            </w:r>
          </w:p>
        </w:tc>
      </w:tr>
    </w:tbl>
    <w:p w14:paraId="43E919E8">
      <w:pPr>
        <w:pStyle w:val="4"/>
        <w:bidi w:val="0"/>
        <w:rPr>
          <w:rFonts w:hint="eastAsia"/>
          <w:highlight w:val="none"/>
        </w:rPr>
      </w:pPr>
      <w:r>
        <w:rPr>
          <w:rFonts w:hint="eastAsia"/>
          <w:highlight w:val="none"/>
        </w:rPr>
        <w:t>【农家乐发展】</w:t>
      </w:r>
    </w:p>
    <w:p w14:paraId="757C58C7">
      <w:pPr>
        <w:rPr>
          <w:rFonts w:hint="eastAsia" w:hAnsi="宋体" w:cs="宋体"/>
          <w:highlight w:val="none"/>
        </w:rPr>
      </w:pPr>
      <w:r>
        <w:rPr>
          <w:rFonts w:hint="eastAsia" w:hAnsi="宋体" w:cs="宋体"/>
          <w:highlight w:val="none"/>
        </w:rPr>
        <w:t>大力推进农家乐建设，2015年初制定《关于加快发展乡村旅游农家乐的方案》</w:t>
      </w:r>
      <w:r>
        <w:rPr>
          <w:rFonts w:hint="eastAsia" w:hAnsi="宋体" w:cs="宋体"/>
          <w:highlight w:val="none"/>
          <w:lang w:eastAsia="zh-CN"/>
        </w:rPr>
        <w:t>（</w:t>
      </w:r>
      <w:r>
        <w:rPr>
          <w:rFonts w:hint="eastAsia" w:hAnsi="宋体" w:cs="宋体"/>
          <w:highlight w:val="none"/>
        </w:rPr>
        <w:t>试行</w:t>
      </w:r>
      <w:r>
        <w:rPr>
          <w:rFonts w:hint="eastAsia" w:hAnsi="宋体" w:cs="宋体"/>
          <w:highlight w:val="none"/>
          <w:lang w:eastAsia="zh-CN"/>
        </w:rPr>
        <w:t>）</w:t>
      </w:r>
      <w:r>
        <w:rPr>
          <w:rFonts w:hint="eastAsia" w:hAnsi="宋体" w:cs="宋体"/>
          <w:highlight w:val="none"/>
        </w:rPr>
        <w:t>，方案制定南雄市农家乐星级划分及评定标准，对进一步规范全市农家乐管理，促进乡村旅游农家乐提档升级起着十分重要指导意义。方案出台逐步引起全社会重视；旅游局主动指导各镇（街道）和投资商开展农家乐建设；完成“南雄驿站”Logo设计和“南雄驿站”评定工作方案初稿。</w:t>
      </w:r>
    </w:p>
    <w:p w14:paraId="129EDC3B">
      <w:pPr>
        <w:pStyle w:val="4"/>
        <w:bidi w:val="0"/>
        <w:rPr>
          <w:rFonts w:hint="eastAsia"/>
          <w:highlight w:val="none"/>
        </w:rPr>
      </w:pPr>
      <w:r>
        <w:rPr>
          <w:rFonts w:hint="eastAsia"/>
          <w:highlight w:val="none"/>
        </w:rPr>
        <w:t>【旅游行业管理和旅游安全】</w:t>
      </w:r>
    </w:p>
    <w:p w14:paraId="793A6385">
      <w:pPr>
        <w:rPr>
          <w:rFonts w:hint="eastAsia" w:hAnsi="宋体" w:cs="宋体"/>
          <w:highlight w:val="none"/>
        </w:rPr>
      </w:pPr>
      <w:r>
        <w:rPr>
          <w:rFonts w:hint="eastAsia" w:hAnsi="宋体" w:cs="宋体"/>
          <w:highlight w:val="none"/>
        </w:rPr>
        <w:t>做好旅游企业日常指导监管工作，旅游局主要领导亲自带队到旅游企业进行检查和调研，掌握旅游企业基本动态和经营情况；做好有关旅游数据收集、统计工作；成立南雄市旅游协会，发挥协会作用，加强行业自律。抓好旅游安全和旅游行业管理，在春节、“五一”、暑假、国庆假期前联合工商、物价等部门对旅游企业进行执法检查，确保南雄旅游市场规范有序；在国庆黄金周和银杏观赏季落实班子成员到景区值班、办公室人员全天候值班，全面做好全市旅游安全及其他紧急突发事件信息收集、综合协调和旅游投诉处理工作。</w:t>
      </w:r>
    </w:p>
    <w:p w14:paraId="1527DBD3">
      <w:pPr>
        <w:pStyle w:val="4"/>
        <w:bidi w:val="0"/>
        <w:rPr>
          <w:rFonts w:hint="eastAsia"/>
          <w:highlight w:val="none"/>
        </w:rPr>
      </w:pPr>
      <w:r>
        <w:rPr>
          <w:rFonts w:hint="eastAsia"/>
          <w:highlight w:val="none"/>
        </w:rPr>
        <w:t>【业务培训】</w:t>
      </w:r>
    </w:p>
    <w:p w14:paraId="60B3A955">
      <w:pPr>
        <w:rPr>
          <w:rFonts w:hint="eastAsia" w:hAnsi="宋体" w:cs="宋体"/>
          <w:highlight w:val="none"/>
        </w:rPr>
      </w:pPr>
      <w:r>
        <w:rPr>
          <w:rFonts w:hint="eastAsia" w:hAnsi="宋体" w:cs="宋体"/>
          <w:highlight w:val="none"/>
        </w:rPr>
        <w:t>组织旅游局干部、有关乡镇和部分旅游企业负责人参加韶关旅游系统高级管理人员北京研修班。组织有关乡镇、市直单位以及部分旅游企业负责人到广州市增城学习考察乡村旅游农家乐发展经验。组织珠玑石塘、梅岭、梅关、乌迳庙前、南亩鱼鲜5个旅游扶贫村村干部参加2015年全国乡村旅游扶贫重点村村官培训班，开阔村干部视野，提高村干部带领群众致富能力。</w:t>
      </w:r>
    </w:p>
    <w:p w14:paraId="6A4C9C06">
      <w:pPr>
        <w:pStyle w:val="4"/>
        <w:bidi w:val="0"/>
        <w:rPr>
          <w:rFonts w:hint="eastAsia"/>
          <w:highlight w:val="none"/>
        </w:rPr>
      </w:pPr>
      <w:r>
        <w:rPr>
          <w:rFonts w:hint="eastAsia"/>
          <w:highlight w:val="none"/>
        </w:rPr>
        <w:t>【旅游规划】</w:t>
      </w:r>
    </w:p>
    <w:p w14:paraId="011C484F">
      <w:pPr>
        <w:rPr>
          <w:rFonts w:hint="eastAsia" w:hAnsi="宋体" w:cs="宋体"/>
          <w:highlight w:val="none"/>
        </w:rPr>
      </w:pPr>
      <w:r>
        <w:rPr>
          <w:rFonts w:hint="eastAsia" w:hAnsi="宋体" w:cs="宋体"/>
          <w:highlight w:val="none"/>
        </w:rPr>
        <w:t>2014年开始编制《聪辈村旅游总体规划及重点地块修建性详细规划》和《广东省坪田银杏森林公园旅游总体规划及重要节点详细设计》，现完成2个规划的编制；《南雄香草世界森林公园规划建筑设计方案》通过专家评审。</w:t>
      </w:r>
    </w:p>
    <w:p w14:paraId="797B6527">
      <w:pPr>
        <w:pStyle w:val="4"/>
        <w:bidi w:val="0"/>
        <w:rPr>
          <w:rFonts w:hint="eastAsia"/>
          <w:highlight w:val="none"/>
        </w:rPr>
      </w:pPr>
      <w:r>
        <w:rPr>
          <w:rFonts w:hint="eastAsia"/>
          <w:highlight w:val="none"/>
        </w:rPr>
        <w:t>【廉政建设】</w:t>
      </w:r>
    </w:p>
    <w:p w14:paraId="23D9977A">
      <w:pPr>
        <w:rPr>
          <w:rFonts w:hint="eastAsia" w:hAnsi="宋体" w:cs="宋体"/>
          <w:highlight w:val="none"/>
        </w:rPr>
      </w:pPr>
      <w:r>
        <w:rPr>
          <w:rFonts w:hint="eastAsia" w:hAnsi="宋体" w:cs="宋体"/>
          <w:highlight w:val="none"/>
        </w:rPr>
        <w:t>2015年，旅游局加强党风廉政建设工作，落实党风廉政建设责任制，坚持民主集中制，重大决策和财务开支均由局领导班子集体研究决定；局领导班子经常征求和听取干部职工意见和建议，对存在问题采取措施加以解决；实行政务公开、党务公开，使权力在阳光下运行；制订并完善权力公开运行、“阳光工程”运行机制、局长办公会议、支部建设、财务管理、车辆管理和公务接待等制度，以制度管人，按规定办事。（彭禄远）</w:t>
      </w:r>
    </w:p>
    <w:p w14:paraId="28A91392">
      <w:pPr>
        <w:pStyle w:val="4"/>
        <w:bidi w:val="0"/>
        <w:rPr>
          <w:rFonts w:hint="eastAsia"/>
          <w:highlight w:val="none"/>
        </w:rPr>
      </w:pPr>
      <w:r>
        <w:rPr>
          <w:rFonts w:hint="eastAsia"/>
          <w:highlight w:val="none"/>
        </w:rPr>
        <w:t>【主要旅行社、星级酒店】</w:t>
      </w:r>
    </w:p>
    <w:p w14:paraId="6D7A65E1">
      <w:pPr>
        <w:rPr>
          <w:rFonts w:hint="eastAsia" w:hAnsi="宋体" w:cs="宋体"/>
          <w:highlight w:val="none"/>
        </w:rPr>
      </w:pPr>
      <w:r>
        <w:rPr>
          <w:rFonts w:hint="eastAsia" w:hAnsi="宋体" w:cs="宋体"/>
          <w:highlight w:val="none"/>
        </w:rPr>
        <w:t>见下表。</w:t>
      </w:r>
    </w:p>
    <w:p w14:paraId="21B2DA9F">
      <w:pPr>
        <w:jc w:val="center"/>
        <w:rPr>
          <w:rFonts w:hint="eastAsia" w:hAnsi="宋体" w:eastAsia="宋体" w:cs="宋体"/>
          <w:highlight w:val="none"/>
          <w:lang w:eastAsia="zh-CN"/>
        </w:rPr>
      </w:pPr>
      <w:r>
        <w:rPr>
          <w:rFonts w:hint="eastAsia" w:hAnsi="宋体" w:cs="宋体"/>
          <w:highlight w:val="none"/>
        </w:rPr>
        <w:t>南雄市旅行社基本情况表</w:t>
      </w:r>
    </w:p>
    <w:p w14:paraId="0C52ACB5">
      <w:pPr>
        <w:rPr>
          <w:rFonts w:hint="eastAsia" w:hAnsi="宋体" w:eastAsia="宋体" w:cs="宋体"/>
          <w:highlight w:val="none"/>
          <w:lang w:eastAsia="zh-CN"/>
        </w:rPr>
      </w:pPr>
      <w:r>
        <w:rPr>
          <w:rFonts w:hint="eastAsia" w:hAnsi="宋体" w:cs="宋体"/>
          <w:highlight w:val="none"/>
        </w:rPr>
        <w:t>表28</w:t>
      </w:r>
    </w:p>
    <w:tbl>
      <w:tblPr>
        <w:tblStyle w:val="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62"/>
        <w:gridCol w:w="1952"/>
        <w:gridCol w:w="2601"/>
        <w:gridCol w:w="1737"/>
        <w:gridCol w:w="1564"/>
      </w:tblGrid>
      <w:tr w14:paraId="6FF1AE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4" w:type="dxa"/>
            <w:noWrap w:val="0"/>
            <w:tcMar>
              <w:top w:w="0" w:type="dxa"/>
              <w:left w:w="108" w:type="dxa"/>
              <w:bottom w:w="0" w:type="dxa"/>
              <w:right w:w="108" w:type="dxa"/>
            </w:tcMar>
            <w:vAlign w:val="center"/>
          </w:tcPr>
          <w:p w14:paraId="71FA84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编号</w:t>
            </w:r>
          </w:p>
        </w:tc>
        <w:tc>
          <w:tcPr>
            <w:tcW w:w="2024" w:type="dxa"/>
            <w:noWrap w:val="0"/>
            <w:tcMar>
              <w:top w:w="0" w:type="dxa"/>
              <w:left w:w="108" w:type="dxa"/>
              <w:bottom w:w="0" w:type="dxa"/>
              <w:right w:w="108" w:type="dxa"/>
            </w:tcMar>
            <w:vAlign w:val="center"/>
          </w:tcPr>
          <w:p w14:paraId="400DF2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酒店名称</w:t>
            </w:r>
          </w:p>
        </w:tc>
        <w:tc>
          <w:tcPr>
            <w:tcW w:w="2700" w:type="dxa"/>
            <w:noWrap w:val="0"/>
            <w:tcMar>
              <w:top w:w="0" w:type="dxa"/>
              <w:left w:w="108" w:type="dxa"/>
              <w:bottom w:w="0" w:type="dxa"/>
              <w:right w:w="108" w:type="dxa"/>
            </w:tcMar>
            <w:vAlign w:val="center"/>
          </w:tcPr>
          <w:p w14:paraId="3CACA4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地   址</w:t>
            </w:r>
          </w:p>
        </w:tc>
        <w:tc>
          <w:tcPr>
            <w:tcW w:w="1800" w:type="dxa"/>
            <w:noWrap w:val="0"/>
            <w:tcMar>
              <w:top w:w="0" w:type="dxa"/>
              <w:left w:w="108" w:type="dxa"/>
              <w:bottom w:w="0" w:type="dxa"/>
              <w:right w:w="108" w:type="dxa"/>
            </w:tcMar>
            <w:vAlign w:val="center"/>
          </w:tcPr>
          <w:p w14:paraId="407652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电  话</w:t>
            </w:r>
          </w:p>
        </w:tc>
        <w:tc>
          <w:tcPr>
            <w:tcW w:w="1620" w:type="dxa"/>
            <w:noWrap w:val="0"/>
            <w:tcMar>
              <w:top w:w="0" w:type="dxa"/>
              <w:left w:w="108" w:type="dxa"/>
              <w:bottom w:w="0" w:type="dxa"/>
              <w:right w:w="108" w:type="dxa"/>
            </w:tcMar>
            <w:vAlign w:val="center"/>
          </w:tcPr>
          <w:p w14:paraId="11C457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传  真</w:t>
            </w:r>
          </w:p>
        </w:tc>
      </w:tr>
      <w:tr w14:paraId="1B2AC0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4" w:type="dxa"/>
            <w:noWrap w:val="0"/>
            <w:tcMar>
              <w:top w:w="0" w:type="dxa"/>
              <w:left w:w="108" w:type="dxa"/>
              <w:bottom w:w="0" w:type="dxa"/>
              <w:right w:w="108" w:type="dxa"/>
            </w:tcMar>
            <w:vAlign w:val="center"/>
          </w:tcPr>
          <w:p w14:paraId="488B26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2024" w:type="dxa"/>
            <w:noWrap w:val="0"/>
            <w:tcMar>
              <w:top w:w="0" w:type="dxa"/>
              <w:left w:w="108" w:type="dxa"/>
              <w:bottom w:w="0" w:type="dxa"/>
              <w:right w:w="108" w:type="dxa"/>
            </w:tcMar>
            <w:vAlign w:val="center"/>
          </w:tcPr>
          <w:p w14:paraId="0174DB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南雄市旅游公司</w:t>
            </w:r>
          </w:p>
        </w:tc>
        <w:tc>
          <w:tcPr>
            <w:tcW w:w="2700" w:type="dxa"/>
            <w:noWrap w:val="0"/>
            <w:tcMar>
              <w:top w:w="0" w:type="dxa"/>
              <w:left w:w="108" w:type="dxa"/>
              <w:bottom w:w="0" w:type="dxa"/>
              <w:right w:w="108" w:type="dxa"/>
            </w:tcMar>
            <w:vAlign w:val="center"/>
          </w:tcPr>
          <w:p w14:paraId="5A1BB0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南雄市永康路83—85号</w:t>
            </w:r>
          </w:p>
        </w:tc>
        <w:tc>
          <w:tcPr>
            <w:tcW w:w="1800" w:type="dxa"/>
            <w:noWrap w:val="0"/>
            <w:tcMar>
              <w:top w:w="0" w:type="dxa"/>
              <w:left w:w="108" w:type="dxa"/>
              <w:bottom w:w="0" w:type="dxa"/>
              <w:right w:w="108" w:type="dxa"/>
            </w:tcMar>
            <w:vAlign w:val="center"/>
          </w:tcPr>
          <w:p w14:paraId="050F30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3835288</w:t>
            </w:r>
          </w:p>
        </w:tc>
        <w:tc>
          <w:tcPr>
            <w:tcW w:w="1620" w:type="dxa"/>
            <w:noWrap w:val="0"/>
            <w:tcMar>
              <w:top w:w="0" w:type="dxa"/>
              <w:left w:w="108" w:type="dxa"/>
              <w:bottom w:w="0" w:type="dxa"/>
              <w:right w:w="108" w:type="dxa"/>
            </w:tcMar>
            <w:vAlign w:val="center"/>
          </w:tcPr>
          <w:p w14:paraId="16B5A2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3822909</w:t>
            </w:r>
          </w:p>
        </w:tc>
      </w:tr>
      <w:tr w14:paraId="6BEBB3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784" w:type="dxa"/>
            <w:noWrap w:val="0"/>
            <w:tcMar>
              <w:top w:w="0" w:type="dxa"/>
              <w:left w:w="108" w:type="dxa"/>
              <w:bottom w:w="0" w:type="dxa"/>
              <w:right w:w="108" w:type="dxa"/>
            </w:tcMar>
            <w:vAlign w:val="center"/>
          </w:tcPr>
          <w:p w14:paraId="1DBADC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2024" w:type="dxa"/>
            <w:noWrap w:val="0"/>
            <w:tcMar>
              <w:top w:w="0" w:type="dxa"/>
              <w:left w:w="108" w:type="dxa"/>
              <w:bottom w:w="0" w:type="dxa"/>
              <w:right w:w="108" w:type="dxa"/>
            </w:tcMar>
            <w:vAlign w:val="center"/>
          </w:tcPr>
          <w:p w14:paraId="6CFA34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幸福旅行社</w:t>
            </w:r>
          </w:p>
        </w:tc>
        <w:tc>
          <w:tcPr>
            <w:tcW w:w="2700" w:type="dxa"/>
            <w:noWrap w:val="0"/>
            <w:tcMar>
              <w:top w:w="0" w:type="dxa"/>
              <w:left w:w="108" w:type="dxa"/>
              <w:bottom w:w="0" w:type="dxa"/>
              <w:right w:w="108" w:type="dxa"/>
            </w:tcMar>
            <w:vAlign w:val="center"/>
          </w:tcPr>
          <w:p w14:paraId="77180A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南雄市永康路4—5号</w:t>
            </w:r>
          </w:p>
        </w:tc>
        <w:tc>
          <w:tcPr>
            <w:tcW w:w="1800" w:type="dxa"/>
            <w:noWrap w:val="0"/>
            <w:tcMar>
              <w:top w:w="0" w:type="dxa"/>
              <w:left w:w="108" w:type="dxa"/>
              <w:bottom w:w="0" w:type="dxa"/>
              <w:right w:w="108" w:type="dxa"/>
            </w:tcMar>
            <w:vAlign w:val="center"/>
          </w:tcPr>
          <w:p w14:paraId="485BA4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3881118</w:t>
            </w:r>
          </w:p>
        </w:tc>
        <w:tc>
          <w:tcPr>
            <w:tcW w:w="1620" w:type="dxa"/>
            <w:noWrap w:val="0"/>
            <w:tcMar>
              <w:top w:w="0" w:type="dxa"/>
              <w:left w:w="108" w:type="dxa"/>
              <w:bottom w:w="0" w:type="dxa"/>
              <w:right w:w="108" w:type="dxa"/>
            </w:tcMar>
            <w:vAlign w:val="center"/>
          </w:tcPr>
          <w:p w14:paraId="64D7B8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3881118</w:t>
            </w:r>
          </w:p>
        </w:tc>
      </w:tr>
      <w:tr w14:paraId="2F2447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10" w:hRule="atLeast"/>
          <w:jc w:val="center"/>
        </w:trPr>
        <w:tc>
          <w:tcPr>
            <w:tcW w:w="784" w:type="dxa"/>
            <w:noWrap w:val="0"/>
            <w:tcMar>
              <w:top w:w="0" w:type="dxa"/>
              <w:left w:w="108" w:type="dxa"/>
              <w:bottom w:w="0" w:type="dxa"/>
              <w:right w:w="108" w:type="dxa"/>
            </w:tcMar>
            <w:vAlign w:val="center"/>
          </w:tcPr>
          <w:p w14:paraId="676796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2024" w:type="dxa"/>
            <w:noWrap w:val="0"/>
            <w:tcMar>
              <w:top w:w="0" w:type="dxa"/>
              <w:left w:w="108" w:type="dxa"/>
              <w:bottom w:w="0" w:type="dxa"/>
              <w:right w:w="108" w:type="dxa"/>
            </w:tcMar>
            <w:vAlign w:val="center"/>
          </w:tcPr>
          <w:p w14:paraId="75B423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华旅旅行社</w:t>
            </w:r>
          </w:p>
        </w:tc>
        <w:tc>
          <w:tcPr>
            <w:tcW w:w="2700" w:type="dxa"/>
            <w:noWrap w:val="0"/>
            <w:tcMar>
              <w:top w:w="0" w:type="dxa"/>
              <w:left w:w="108" w:type="dxa"/>
              <w:bottom w:w="0" w:type="dxa"/>
              <w:right w:w="108" w:type="dxa"/>
            </w:tcMar>
            <w:vAlign w:val="center"/>
          </w:tcPr>
          <w:p w14:paraId="5A1A2B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南雄市永康路37号</w:t>
            </w:r>
          </w:p>
        </w:tc>
        <w:tc>
          <w:tcPr>
            <w:tcW w:w="1800" w:type="dxa"/>
            <w:noWrap w:val="0"/>
            <w:tcMar>
              <w:top w:w="0" w:type="dxa"/>
              <w:left w:w="108" w:type="dxa"/>
              <w:bottom w:w="0" w:type="dxa"/>
              <w:right w:w="108" w:type="dxa"/>
            </w:tcMar>
            <w:vAlign w:val="center"/>
          </w:tcPr>
          <w:p w14:paraId="703231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3865808</w:t>
            </w:r>
          </w:p>
        </w:tc>
        <w:tc>
          <w:tcPr>
            <w:tcW w:w="1620" w:type="dxa"/>
            <w:noWrap w:val="0"/>
            <w:tcMar>
              <w:top w:w="0" w:type="dxa"/>
              <w:left w:w="108" w:type="dxa"/>
              <w:bottom w:w="0" w:type="dxa"/>
              <w:right w:w="108" w:type="dxa"/>
            </w:tcMar>
            <w:vAlign w:val="center"/>
          </w:tcPr>
          <w:p w14:paraId="1BF3EA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3865808</w:t>
            </w:r>
          </w:p>
        </w:tc>
      </w:tr>
      <w:tr w14:paraId="0AEC4D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65" w:hRule="atLeast"/>
          <w:jc w:val="center"/>
        </w:trPr>
        <w:tc>
          <w:tcPr>
            <w:tcW w:w="784" w:type="dxa"/>
            <w:noWrap w:val="0"/>
            <w:tcMar>
              <w:top w:w="0" w:type="dxa"/>
              <w:left w:w="108" w:type="dxa"/>
              <w:bottom w:w="0" w:type="dxa"/>
              <w:right w:w="108" w:type="dxa"/>
            </w:tcMar>
            <w:vAlign w:val="center"/>
          </w:tcPr>
          <w:p w14:paraId="672EF8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2024" w:type="dxa"/>
            <w:noWrap w:val="0"/>
            <w:tcMar>
              <w:top w:w="0" w:type="dxa"/>
              <w:left w:w="108" w:type="dxa"/>
              <w:bottom w:w="0" w:type="dxa"/>
              <w:right w:w="108" w:type="dxa"/>
            </w:tcMar>
            <w:vAlign w:val="center"/>
          </w:tcPr>
          <w:p w14:paraId="0699A5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韶关中旅</w:t>
            </w:r>
          </w:p>
          <w:p w14:paraId="46D563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南雄营业部</w:t>
            </w:r>
          </w:p>
        </w:tc>
        <w:tc>
          <w:tcPr>
            <w:tcW w:w="2700" w:type="dxa"/>
            <w:noWrap w:val="0"/>
            <w:tcMar>
              <w:top w:w="0" w:type="dxa"/>
              <w:left w:w="108" w:type="dxa"/>
              <w:bottom w:w="0" w:type="dxa"/>
              <w:right w:w="108" w:type="dxa"/>
            </w:tcMar>
            <w:vAlign w:val="center"/>
          </w:tcPr>
          <w:p w14:paraId="562344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南雄市永康路61号</w:t>
            </w:r>
          </w:p>
        </w:tc>
        <w:tc>
          <w:tcPr>
            <w:tcW w:w="1800" w:type="dxa"/>
            <w:noWrap w:val="0"/>
            <w:tcMar>
              <w:top w:w="0" w:type="dxa"/>
              <w:left w:w="108" w:type="dxa"/>
              <w:bottom w:w="0" w:type="dxa"/>
              <w:right w:w="108" w:type="dxa"/>
            </w:tcMar>
            <w:vAlign w:val="center"/>
          </w:tcPr>
          <w:p w14:paraId="384A5D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3885678</w:t>
            </w:r>
          </w:p>
        </w:tc>
        <w:tc>
          <w:tcPr>
            <w:tcW w:w="1620" w:type="dxa"/>
            <w:noWrap w:val="0"/>
            <w:tcMar>
              <w:top w:w="0" w:type="dxa"/>
              <w:left w:w="108" w:type="dxa"/>
              <w:bottom w:w="0" w:type="dxa"/>
              <w:right w:w="108" w:type="dxa"/>
            </w:tcMar>
            <w:vAlign w:val="center"/>
          </w:tcPr>
          <w:p w14:paraId="1FE9E4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3885678</w:t>
            </w:r>
          </w:p>
        </w:tc>
      </w:tr>
    </w:tbl>
    <w:p w14:paraId="237320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南雄市星级酒店基本情况表</w:t>
      </w:r>
    </w:p>
    <w:p w14:paraId="0975909D">
      <w:pPr>
        <w:bidi w:val="0"/>
        <w:rPr>
          <w:highlight w:val="none"/>
        </w:rPr>
      </w:pPr>
      <w:r>
        <w:rPr>
          <w:rFonts w:hint="eastAsia"/>
          <w:highlight w:val="none"/>
        </w:rPr>
        <w:t>表29</w:t>
      </w:r>
    </w:p>
    <w:tbl>
      <w:tblPr>
        <w:tblStyle w:val="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60"/>
        <w:gridCol w:w="915"/>
        <w:gridCol w:w="1390"/>
        <w:gridCol w:w="2425"/>
        <w:gridCol w:w="1563"/>
        <w:gridCol w:w="1563"/>
      </w:tblGrid>
      <w:tr w14:paraId="0276B2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784" w:type="dxa"/>
            <w:noWrap w:val="0"/>
            <w:tcMar>
              <w:top w:w="0" w:type="dxa"/>
              <w:left w:w="108" w:type="dxa"/>
              <w:bottom w:w="0" w:type="dxa"/>
              <w:right w:w="108" w:type="dxa"/>
            </w:tcMar>
            <w:vAlign w:val="center"/>
          </w:tcPr>
          <w:p w14:paraId="605E33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编号</w:t>
            </w:r>
          </w:p>
        </w:tc>
        <w:tc>
          <w:tcPr>
            <w:tcW w:w="944" w:type="dxa"/>
            <w:noWrap w:val="0"/>
            <w:tcMar>
              <w:top w:w="0" w:type="dxa"/>
              <w:left w:w="108" w:type="dxa"/>
              <w:bottom w:w="0" w:type="dxa"/>
              <w:right w:w="108" w:type="dxa"/>
            </w:tcMar>
            <w:vAlign w:val="center"/>
          </w:tcPr>
          <w:p w14:paraId="10489C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星级</w:t>
            </w:r>
          </w:p>
        </w:tc>
        <w:tc>
          <w:tcPr>
            <w:tcW w:w="1440" w:type="dxa"/>
            <w:noWrap w:val="0"/>
            <w:tcMar>
              <w:top w:w="0" w:type="dxa"/>
              <w:left w:w="108" w:type="dxa"/>
              <w:bottom w:w="0" w:type="dxa"/>
              <w:right w:w="108" w:type="dxa"/>
            </w:tcMar>
            <w:vAlign w:val="center"/>
          </w:tcPr>
          <w:p w14:paraId="4C3529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酒店名称</w:t>
            </w:r>
          </w:p>
        </w:tc>
        <w:tc>
          <w:tcPr>
            <w:tcW w:w="2520" w:type="dxa"/>
            <w:noWrap w:val="0"/>
            <w:tcMar>
              <w:top w:w="0" w:type="dxa"/>
              <w:left w:w="108" w:type="dxa"/>
              <w:bottom w:w="0" w:type="dxa"/>
              <w:right w:w="108" w:type="dxa"/>
            </w:tcMar>
            <w:vAlign w:val="center"/>
          </w:tcPr>
          <w:p w14:paraId="2CEF52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地   址</w:t>
            </w:r>
          </w:p>
        </w:tc>
        <w:tc>
          <w:tcPr>
            <w:tcW w:w="1620" w:type="dxa"/>
            <w:noWrap w:val="0"/>
            <w:tcMar>
              <w:top w:w="0" w:type="dxa"/>
              <w:left w:w="108" w:type="dxa"/>
              <w:bottom w:w="0" w:type="dxa"/>
              <w:right w:w="108" w:type="dxa"/>
            </w:tcMar>
            <w:vAlign w:val="center"/>
          </w:tcPr>
          <w:p w14:paraId="19C5CD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电话</w:t>
            </w:r>
          </w:p>
        </w:tc>
        <w:tc>
          <w:tcPr>
            <w:tcW w:w="1620" w:type="dxa"/>
            <w:noWrap w:val="0"/>
            <w:tcMar>
              <w:top w:w="0" w:type="dxa"/>
              <w:left w:w="108" w:type="dxa"/>
              <w:bottom w:w="0" w:type="dxa"/>
              <w:right w:w="108" w:type="dxa"/>
            </w:tcMar>
            <w:vAlign w:val="center"/>
          </w:tcPr>
          <w:p w14:paraId="2304A9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传真</w:t>
            </w:r>
          </w:p>
        </w:tc>
      </w:tr>
      <w:tr w14:paraId="10911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784" w:type="dxa"/>
            <w:noWrap w:val="0"/>
            <w:tcMar>
              <w:top w:w="0" w:type="dxa"/>
              <w:left w:w="108" w:type="dxa"/>
              <w:bottom w:w="0" w:type="dxa"/>
              <w:right w:w="108" w:type="dxa"/>
            </w:tcMar>
            <w:vAlign w:val="center"/>
          </w:tcPr>
          <w:p w14:paraId="4A70CF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944" w:type="dxa"/>
            <w:noWrap w:val="0"/>
            <w:tcMar>
              <w:top w:w="0" w:type="dxa"/>
              <w:left w:w="108" w:type="dxa"/>
              <w:bottom w:w="0" w:type="dxa"/>
              <w:right w:w="108" w:type="dxa"/>
            </w:tcMar>
            <w:vAlign w:val="center"/>
          </w:tcPr>
          <w:p w14:paraId="37060B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三星级</w:t>
            </w:r>
          </w:p>
        </w:tc>
        <w:tc>
          <w:tcPr>
            <w:tcW w:w="1440" w:type="dxa"/>
            <w:noWrap w:val="0"/>
            <w:tcMar>
              <w:top w:w="0" w:type="dxa"/>
              <w:left w:w="108" w:type="dxa"/>
              <w:bottom w:w="0" w:type="dxa"/>
              <w:right w:w="108" w:type="dxa"/>
            </w:tcMar>
            <w:vAlign w:val="center"/>
          </w:tcPr>
          <w:p w14:paraId="1B228E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珠玑大酒店</w:t>
            </w:r>
          </w:p>
        </w:tc>
        <w:tc>
          <w:tcPr>
            <w:tcW w:w="2520" w:type="dxa"/>
            <w:noWrap w:val="0"/>
            <w:tcMar>
              <w:top w:w="0" w:type="dxa"/>
              <w:left w:w="108" w:type="dxa"/>
              <w:bottom w:w="0" w:type="dxa"/>
              <w:right w:w="108" w:type="dxa"/>
            </w:tcMar>
            <w:vAlign w:val="center"/>
          </w:tcPr>
          <w:p w14:paraId="6EECB0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南雄市建设路12号</w:t>
            </w:r>
          </w:p>
        </w:tc>
        <w:tc>
          <w:tcPr>
            <w:tcW w:w="1620" w:type="dxa"/>
            <w:noWrap w:val="0"/>
            <w:tcMar>
              <w:top w:w="0" w:type="dxa"/>
              <w:left w:w="108" w:type="dxa"/>
              <w:bottom w:w="0" w:type="dxa"/>
              <w:right w:w="108" w:type="dxa"/>
            </w:tcMar>
            <w:vAlign w:val="center"/>
          </w:tcPr>
          <w:p w14:paraId="7E9A95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3876888</w:t>
            </w:r>
          </w:p>
        </w:tc>
        <w:tc>
          <w:tcPr>
            <w:tcW w:w="1620" w:type="dxa"/>
            <w:noWrap w:val="0"/>
            <w:tcMar>
              <w:top w:w="0" w:type="dxa"/>
              <w:left w:w="108" w:type="dxa"/>
              <w:bottom w:w="0" w:type="dxa"/>
              <w:right w:w="108" w:type="dxa"/>
            </w:tcMar>
            <w:vAlign w:val="center"/>
          </w:tcPr>
          <w:p w14:paraId="625B6A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3822094</w:t>
            </w:r>
          </w:p>
        </w:tc>
      </w:tr>
      <w:tr w14:paraId="45E9B8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784" w:type="dxa"/>
            <w:noWrap w:val="0"/>
            <w:tcMar>
              <w:top w:w="0" w:type="dxa"/>
              <w:left w:w="108" w:type="dxa"/>
              <w:bottom w:w="0" w:type="dxa"/>
              <w:right w:w="108" w:type="dxa"/>
            </w:tcMar>
            <w:vAlign w:val="center"/>
          </w:tcPr>
          <w:p w14:paraId="321E48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944" w:type="dxa"/>
            <w:noWrap w:val="0"/>
            <w:tcMar>
              <w:top w:w="0" w:type="dxa"/>
              <w:left w:w="108" w:type="dxa"/>
              <w:bottom w:w="0" w:type="dxa"/>
              <w:right w:w="108" w:type="dxa"/>
            </w:tcMar>
            <w:vAlign w:val="center"/>
          </w:tcPr>
          <w:p w14:paraId="3F6B23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三星级</w:t>
            </w:r>
          </w:p>
        </w:tc>
        <w:tc>
          <w:tcPr>
            <w:tcW w:w="1440" w:type="dxa"/>
            <w:noWrap w:val="0"/>
            <w:tcMar>
              <w:top w:w="0" w:type="dxa"/>
              <w:left w:w="108" w:type="dxa"/>
              <w:bottom w:w="0" w:type="dxa"/>
              <w:right w:w="108" w:type="dxa"/>
            </w:tcMar>
            <w:vAlign w:val="center"/>
          </w:tcPr>
          <w:p w14:paraId="0DBDD0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南雄迎宾馆</w:t>
            </w:r>
          </w:p>
        </w:tc>
        <w:tc>
          <w:tcPr>
            <w:tcW w:w="2520" w:type="dxa"/>
            <w:noWrap w:val="0"/>
            <w:tcMar>
              <w:top w:w="0" w:type="dxa"/>
              <w:left w:w="108" w:type="dxa"/>
              <w:bottom w:w="0" w:type="dxa"/>
              <w:right w:w="108" w:type="dxa"/>
            </w:tcMar>
            <w:vAlign w:val="center"/>
          </w:tcPr>
          <w:p w14:paraId="49898D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南雄市建设路6号</w:t>
            </w:r>
          </w:p>
        </w:tc>
        <w:tc>
          <w:tcPr>
            <w:tcW w:w="1620" w:type="dxa"/>
            <w:noWrap w:val="0"/>
            <w:tcMar>
              <w:top w:w="0" w:type="dxa"/>
              <w:left w:w="108" w:type="dxa"/>
              <w:bottom w:w="0" w:type="dxa"/>
              <w:right w:w="108" w:type="dxa"/>
            </w:tcMar>
            <w:vAlign w:val="center"/>
          </w:tcPr>
          <w:p w14:paraId="5169C9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3822032</w:t>
            </w:r>
          </w:p>
        </w:tc>
        <w:tc>
          <w:tcPr>
            <w:tcW w:w="1620" w:type="dxa"/>
            <w:noWrap w:val="0"/>
            <w:tcMar>
              <w:top w:w="0" w:type="dxa"/>
              <w:left w:w="108" w:type="dxa"/>
              <w:bottom w:w="0" w:type="dxa"/>
              <w:right w:w="108" w:type="dxa"/>
            </w:tcMar>
            <w:vAlign w:val="center"/>
          </w:tcPr>
          <w:p w14:paraId="1EAA39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3823215</w:t>
            </w:r>
          </w:p>
        </w:tc>
      </w:tr>
      <w:tr w14:paraId="256704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784" w:type="dxa"/>
            <w:noWrap w:val="0"/>
            <w:tcMar>
              <w:top w:w="0" w:type="dxa"/>
              <w:left w:w="108" w:type="dxa"/>
              <w:bottom w:w="0" w:type="dxa"/>
              <w:right w:w="108" w:type="dxa"/>
            </w:tcMar>
            <w:vAlign w:val="center"/>
          </w:tcPr>
          <w:p w14:paraId="295464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944" w:type="dxa"/>
            <w:noWrap w:val="0"/>
            <w:tcMar>
              <w:top w:w="0" w:type="dxa"/>
              <w:left w:w="108" w:type="dxa"/>
              <w:bottom w:w="0" w:type="dxa"/>
              <w:right w:w="108" w:type="dxa"/>
            </w:tcMar>
            <w:vAlign w:val="center"/>
          </w:tcPr>
          <w:p w14:paraId="7878C6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三星级</w:t>
            </w:r>
          </w:p>
        </w:tc>
        <w:tc>
          <w:tcPr>
            <w:tcW w:w="1440" w:type="dxa"/>
            <w:noWrap w:val="0"/>
            <w:tcMar>
              <w:top w:w="0" w:type="dxa"/>
              <w:left w:w="108" w:type="dxa"/>
              <w:bottom w:w="0" w:type="dxa"/>
              <w:right w:w="108" w:type="dxa"/>
            </w:tcMar>
            <w:vAlign w:val="center"/>
          </w:tcPr>
          <w:p w14:paraId="6642D7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金雄鹰宾馆</w:t>
            </w:r>
          </w:p>
        </w:tc>
        <w:tc>
          <w:tcPr>
            <w:tcW w:w="2520" w:type="dxa"/>
            <w:noWrap w:val="0"/>
            <w:tcMar>
              <w:top w:w="0" w:type="dxa"/>
              <w:left w:w="108" w:type="dxa"/>
              <w:bottom w:w="0" w:type="dxa"/>
              <w:right w:w="108" w:type="dxa"/>
            </w:tcMar>
            <w:vAlign w:val="center"/>
          </w:tcPr>
          <w:p w14:paraId="582B14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南雄市雄中路55号</w:t>
            </w:r>
          </w:p>
        </w:tc>
        <w:tc>
          <w:tcPr>
            <w:tcW w:w="1620" w:type="dxa"/>
            <w:noWrap w:val="0"/>
            <w:tcMar>
              <w:top w:w="0" w:type="dxa"/>
              <w:left w:w="108" w:type="dxa"/>
              <w:bottom w:w="0" w:type="dxa"/>
              <w:right w:w="108" w:type="dxa"/>
            </w:tcMar>
            <w:vAlign w:val="center"/>
          </w:tcPr>
          <w:p w14:paraId="455305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3868888</w:t>
            </w:r>
          </w:p>
        </w:tc>
        <w:tc>
          <w:tcPr>
            <w:tcW w:w="1620" w:type="dxa"/>
            <w:noWrap w:val="0"/>
            <w:tcMar>
              <w:top w:w="0" w:type="dxa"/>
              <w:left w:w="108" w:type="dxa"/>
              <w:bottom w:w="0" w:type="dxa"/>
              <w:right w:w="108" w:type="dxa"/>
            </w:tcMar>
            <w:vAlign w:val="center"/>
          </w:tcPr>
          <w:p w14:paraId="02F2CB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3868889</w:t>
            </w:r>
          </w:p>
        </w:tc>
      </w:tr>
      <w:tr w14:paraId="1F8D44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784" w:type="dxa"/>
            <w:noWrap w:val="0"/>
            <w:tcMar>
              <w:top w:w="0" w:type="dxa"/>
              <w:left w:w="108" w:type="dxa"/>
              <w:bottom w:w="0" w:type="dxa"/>
              <w:right w:w="108" w:type="dxa"/>
            </w:tcMar>
            <w:vAlign w:val="center"/>
          </w:tcPr>
          <w:p w14:paraId="091639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944" w:type="dxa"/>
            <w:noWrap w:val="0"/>
            <w:tcMar>
              <w:top w:w="0" w:type="dxa"/>
              <w:left w:w="108" w:type="dxa"/>
              <w:bottom w:w="0" w:type="dxa"/>
              <w:right w:w="108" w:type="dxa"/>
            </w:tcMar>
            <w:vAlign w:val="center"/>
          </w:tcPr>
          <w:p w14:paraId="230B28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三星级</w:t>
            </w:r>
          </w:p>
        </w:tc>
        <w:tc>
          <w:tcPr>
            <w:tcW w:w="1440" w:type="dxa"/>
            <w:noWrap w:val="0"/>
            <w:tcMar>
              <w:top w:w="0" w:type="dxa"/>
              <w:left w:w="108" w:type="dxa"/>
              <w:bottom w:w="0" w:type="dxa"/>
              <w:right w:w="108" w:type="dxa"/>
            </w:tcMar>
            <w:vAlign w:val="center"/>
          </w:tcPr>
          <w:p w14:paraId="00FDAE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雄州大酒店</w:t>
            </w:r>
          </w:p>
        </w:tc>
        <w:tc>
          <w:tcPr>
            <w:tcW w:w="2520" w:type="dxa"/>
            <w:noWrap w:val="0"/>
            <w:tcMar>
              <w:top w:w="0" w:type="dxa"/>
              <w:left w:w="108" w:type="dxa"/>
              <w:bottom w:w="0" w:type="dxa"/>
              <w:right w:w="108" w:type="dxa"/>
            </w:tcMar>
            <w:vAlign w:val="center"/>
          </w:tcPr>
          <w:p w14:paraId="33A5EF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南雄市雄中路马鞍山</w:t>
            </w:r>
          </w:p>
        </w:tc>
        <w:tc>
          <w:tcPr>
            <w:tcW w:w="1620" w:type="dxa"/>
            <w:noWrap w:val="0"/>
            <w:tcMar>
              <w:top w:w="0" w:type="dxa"/>
              <w:left w:w="108" w:type="dxa"/>
              <w:bottom w:w="0" w:type="dxa"/>
              <w:right w:w="108" w:type="dxa"/>
            </w:tcMar>
            <w:vAlign w:val="center"/>
          </w:tcPr>
          <w:p w14:paraId="7FBD45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3861533</w:t>
            </w:r>
          </w:p>
        </w:tc>
        <w:tc>
          <w:tcPr>
            <w:tcW w:w="1620" w:type="dxa"/>
            <w:noWrap w:val="0"/>
            <w:tcMar>
              <w:top w:w="0" w:type="dxa"/>
              <w:left w:w="108" w:type="dxa"/>
              <w:bottom w:w="0" w:type="dxa"/>
              <w:right w:w="108" w:type="dxa"/>
            </w:tcMar>
            <w:vAlign w:val="center"/>
          </w:tcPr>
          <w:p w14:paraId="25DEB0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3861533</w:t>
            </w:r>
          </w:p>
        </w:tc>
      </w:tr>
    </w:tbl>
    <w:p w14:paraId="09331A4E">
      <w:pPr>
        <w:rPr>
          <w:rFonts w:hint="eastAsia" w:hAnsi="宋体" w:eastAsia="宋体" w:cs="宋体"/>
          <w:b w:val="0"/>
          <w:bCs w:val="0"/>
          <w:highlight w:val="none"/>
          <w:lang w:eastAsia="zh-CN"/>
        </w:rPr>
      </w:pPr>
      <w:r>
        <w:rPr>
          <w:rFonts w:hint="eastAsia" w:hAnsi="宋体" w:cs="宋体"/>
          <w:b w:val="0"/>
          <w:bCs w:val="0"/>
          <w:highlight w:val="none"/>
        </w:rPr>
        <w:t>附：2015年市旅游局领导班子成员名单</w:t>
      </w:r>
    </w:p>
    <w:p w14:paraId="795EFD15">
      <w:pPr>
        <w:rPr>
          <w:rFonts w:hint="eastAsia" w:hAnsi="宋体" w:eastAsia="宋体" w:cs="宋体"/>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长：周宏</w:t>
      </w:r>
      <w:r>
        <w:rPr>
          <w:rFonts w:hint="eastAsia" w:hAnsi="宋体" w:cs="宋体"/>
          <w:highlight w:val="none"/>
        </w:rPr>
        <w:t>忠</w:t>
      </w:r>
    </w:p>
    <w:p w14:paraId="30C20D01">
      <w:pPr>
        <w:rPr>
          <w:rFonts w:hint="eastAsia" w:hAnsi="宋体" w:eastAsia="宋体" w:cs="宋体"/>
          <w:highlight w:val="none"/>
          <w:lang w:eastAsia="zh-CN"/>
        </w:rPr>
      </w:pPr>
      <w:r>
        <w:rPr>
          <w:rFonts w:hint="eastAsia" w:hAnsi="宋体" w:cs="宋体"/>
          <w:highlight w:val="none"/>
        </w:rPr>
        <w:t>副局长：温世雄 廖春花</w:t>
      </w:r>
    </w:p>
    <w:p w14:paraId="32DC3FC9">
      <w:pPr>
        <w:rPr>
          <w:rFonts w:hint="eastAsia" w:hAnsi="宋体" w:eastAsia="宋体" w:cs="宋体"/>
          <w:highlight w:val="none"/>
          <w:lang w:eastAsia="zh-CN"/>
        </w:rPr>
      </w:pPr>
      <w:r>
        <w:rPr>
          <w:rFonts w:hint="eastAsia" w:hAnsi="宋体" w:cs="宋体"/>
          <w:highlight w:val="none"/>
        </w:rPr>
        <w:t>纪检组长：戴卫芳</w:t>
      </w:r>
    </w:p>
    <w:p w14:paraId="1644D188">
      <w:pPr>
        <w:pStyle w:val="2"/>
        <w:rPr>
          <w:rFonts w:hint="eastAsia"/>
          <w:highlight w:val="none"/>
        </w:rPr>
      </w:pPr>
      <w:r>
        <w:rPr>
          <w:highlight w:val="none"/>
        </w:rPr>
        <w:br w:type="page"/>
      </w:r>
      <w:r>
        <w:rPr>
          <w:rFonts w:hint="eastAsia"/>
          <w:highlight w:val="none"/>
        </w:rPr>
        <w:t>财政·金融</w:t>
      </w:r>
    </w:p>
    <w:p w14:paraId="5EB2B999">
      <w:pPr>
        <w:pStyle w:val="3"/>
        <w:bidi w:val="0"/>
        <w:rPr>
          <w:rFonts w:hint="eastAsia"/>
          <w:highlight w:val="none"/>
        </w:rPr>
      </w:pPr>
      <w:r>
        <w:rPr>
          <w:rFonts w:hint="eastAsia"/>
          <w:highlight w:val="none"/>
        </w:rPr>
        <w:t>财政</w:t>
      </w:r>
    </w:p>
    <w:p w14:paraId="6F55B00A">
      <w:pPr>
        <w:pStyle w:val="4"/>
        <w:bidi w:val="0"/>
        <w:rPr>
          <w:rFonts w:hint="eastAsia"/>
          <w:highlight w:val="none"/>
        </w:rPr>
      </w:pPr>
      <w:r>
        <w:rPr>
          <w:rFonts w:hint="eastAsia"/>
          <w:highlight w:val="none"/>
        </w:rPr>
        <w:t>【概况】</w:t>
      </w:r>
    </w:p>
    <w:p w14:paraId="51150F71">
      <w:pPr>
        <w:rPr>
          <w:rFonts w:hint="eastAsia" w:hAnsi="宋体" w:eastAsia="宋体" w:cs="宋体"/>
          <w:highlight w:val="none"/>
          <w:lang w:eastAsia="zh-CN"/>
        </w:rPr>
      </w:pPr>
      <w:r>
        <w:rPr>
          <w:rFonts w:hint="eastAsia" w:hAnsi="宋体" w:cs="宋体"/>
          <w:highlight w:val="none"/>
        </w:rPr>
        <w:t>南雄市财政局内设办公室、预算股、国库股等16个股室，下设政府采购办、国库支付中心、公共资产管理中心、投资评审中心等四个副科级事业单位。政府采购办、国库支付中心、公共资产管理中心参照公务员管理。管辖雄州、珠玑等18个镇（街道）财政所。财政局党总支下设局机关党支部、国库支付中心党支部、公共资产管理中心党支部、政府采购办党支部、老干部党支部等5个党支部。</w:t>
      </w:r>
    </w:p>
    <w:p w14:paraId="0BF801F6">
      <w:pPr>
        <w:pStyle w:val="4"/>
        <w:bidi w:val="0"/>
        <w:rPr>
          <w:rFonts w:hint="eastAsia"/>
          <w:highlight w:val="none"/>
        </w:rPr>
      </w:pPr>
      <w:r>
        <w:rPr>
          <w:rFonts w:hint="eastAsia"/>
          <w:highlight w:val="none"/>
        </w:rPr>
        <w:t>【提升财政综合实力】</w:t>
      </w:r>
    </w:p>
    <w:p w14:paraId="39E1F0A1">
      <w:pPr>
        <w:rPr>
          <w:rFonts w:hint="eastAsia" w:hAnsi="宋体" w:cs="宋体"/>
          <w:highlight w:val="none"/>
        </w:rPr>
      </w:pPr>
      <w:r>
        <w:rPr>
          <w:rFonts w:hint="eastAsia" w:hAnsi="宋体" w:cs="宋体"/>
          <w:highlight w:val="none"/>
        </w:rPr>
        <w:t>2015年，全市公共财政预算收入完成6亿元，同比增长7.62%，地方公共财政预算支出27.72亿元，同比增长50%。为组织好财政收入，主要采取以下措施：</w:t>
      </w:r>
    </w:p>
    <w:p w14:paraId="6960441F">
      <w:pPr>
        <w:rPr>
          <w:rFonts w:hint="eastAsia" w:hAnsi="宋体" w:cs="宋体"/>
          <w:highlight w:val="none"/>
        </w:rPr>
      </w:pPr>
      <w:r>
        <w:rPr>
          <w:rFonts w:hint="eastAsia" w:hAnsi="宋体" w:cs="宋体"/>
          <w:highlight w:val="none"/>
        </w:rPr>
        <w:t>健全财税收入增长监控、分析、预测新机制，推动实施新预算法，加强预算执行分析，及时发现和掌握财税收入变动情况，实行收入进度跟踪督查制度，抓好重点税源、重点企业的税收完成情况分析。</w:t>
      </w:r>
    </w:p>
    <w:p w14:paraId="36800865">
      <w:pPr>
        <w:rPr>
          <w:rFonts w:hint="eastAsia" w:hAnsi="宋体" w:cs="宋体"/>
          <w:highlight w:val="none"/>
        </w:rPr>
      </w:pPr>
      <w:r>
        <w:rPr>
          <w:rFonts w:hint="eastAsia" w:hAnsi="宋体" w:cs="宋体"/>
          <w:highlight w:val="none"/>
        </w:rPr>
        <w:t>挖掘税源，细化征收任务，加大征管力度。深入税源企业调查，加强经济税收预测预警分析，重点加大对园区新兴税源和工程类建设项目产生的一次性税收的征管力度，加强对重点行业、重点户欠税的清理力度，明确目标任务和工作职责，层层细化分解征收任务。</w:t>
      </w:r>
    </w:p>
    <w:p w14:paraId="7127A1CB">
      <w:pPr>
        <w:rPr>
          <w:rFonts w:hint="eastAsia" w:hAnsi="宋体" w:cs="宋体"/>
          <w:highlight w:val="none"/>
        </w:rPr>
      </w:pPr>
      <w:r>
        <w:rPr>
          <w:rFonts w:hint="eastAsia" w:hAnsi="宋体" w:cs="宋体"/>
          <w:highlight w:val="none"/>
        </w:rPr>
        <w:t>强化财税征管的协调和配合。发挥市协税护税工作小组的综合协调作用，强化财税征管过程中部门之间的协调和配合。坚持财税工作联席会议制度，建立信息沟通、数据交流、情况通报的工作机制，及时掌握收入入库情况和妥善解决征管中遇到的新情况、新问题，形成征管合力，共同确保实现财税增收。</w:t>
      </w:r>
    </w:p>
    <w:p w14:paraId="22516524">
      <w:pPr>
        <w:rPr>
          <w:rFonts w:hint="eastAsia" w:hAnsi="宋体" w:cs="宋体"/>
          <w:highlight w:val="none"/>
        </w:rPr>
      </w:pPr>
      <w:r>
        <w:rPr>
          <w:rFonts w:hint="eastAsia" w:hAnsi="宋体" w:cs="宋体"/>
          <w:highlight w:val="none"/>
        </w:rPr>
        <w:t>实行非税收入征管分离，强化非税收入征管。坚持非税收入征收和管理剥离，由非税局局长（班子成员）具体分管非税收入，强化征收职能。同时，推进非税收入信息化管理，对非税收入实行实时监控，规范非税收入征收行为，确保非税收入及时全额入库。</w:t>
      </w:r>
    </w:p>
    <w:p w14:paraId="485F7DB4">
      <w:pPr>
        <w:rPr>
          <w:rFonts w:hint="eastAsia" w:hAnsi="宋体" w:eastAsia="宋体" w:cs="宋体"/>
          <w:highlight w:val="none"/>
          <w:lang w:eastAsia="zh-CN"/>
        </w:rPr>
      </w:pPr>
      <w:r>
        <w:rPr>
          <w:rFonts w:hint="eastAsia" w:hAnsi="宋体" w:cs="宋体"/>
          <w:highlight w:val="none"/>
        </w:rPr>
        <w:t>加大跑项目争资金力度，增加地方可用财力。结合南雄中央苏区县、国家限制开发的重点生态功能区、省直管县、省贫困县、省重点产业转移园区等资源优势，用好用活用足政策。积极配合相关部门做好项目申报和项目储备工作，向上级争取工业化、城镇化建设相关项目资金。上级补助收入19.34亿元，同比增长21.3%。</w:t>
      </w:r>
    </w:p>
    <w:p w14:paraId="50276E58">
      <w:pPr>
        <w:pStyle w:val="4"/>
        <w:bidi w:val="0"/>
        <w:rPr>
          <w:rFonts w:hint="eastAsia"/>
          <w:highlight w:val="none"/>
        </w:rPr>
      </w:pPr>
      <w:r>
        <w:rPr>
          <w:rFonts w:hint="eastAsia"/>
          <w:highlight w:val="none"/>
        </w:rPr>
        <w:t>【增强财政保障能力】</w:t>
      </w:r>
    </w:p>
    <w:p w14:paraId="140AEC3D">
      <w:pPr>
        <w:rPr>
          <w:rFonts w:hint="eastAsia" w:hAnsi="宋体" w:cs="宋体"/>
          <w:highlight w:val="none"/>
        </w:rPr>
      </w:pPr>
      <w:r>
        <w:rPr>
          <w:rFonts w:hint="eastAsia" w:hAnsi="宋体" w:cs="宋体"/>
          <w:highlight w:val="none"/>
        </w:rPr>
        <w:t>以公共教育、医疗卫生、社会保障等重点民生领域为突破口，着力推进以保障和改善民生为重点的社会建设，把发展成果普惠与民。同时，盘活存量资金用于发展急需重点领域和薄弱环节，科学消化库存资金，不断加快财政资金支出进度。</w:t>
      </w:r>
    </w:p>
    <w:p w14:paraId="281AFEF5">
      <w:pPr>
        <w:rPr>
          <w:rFonts w:hint="eastAsia" w:hAnsi="宋体" w:cs="宋体"/>
          <w:highlight w:val="none"/>
        </w:rPr>
      </w:pPr>
      <w:r>
        <w:rPr>
          <w:rFonts w:hint="eastAsia" w:hAnsi="宋体" w:cs="宋体"/>
          <w:highlight w:val="none"/>
        </w:rPr>
        <w:t>2015年全市地方公共财政预算支出27.72亿元，同比增长50%。其中与人民群众生活直接相关的教育、社会保障和就业、医疗卫生、住房保障、文化体育与传媒支出11.68亿元；与民生密切相关的农林水事务、交通运输、城乡社区事务、节能环保支出10.11亿元。以上民生支出合计21.79亿元，占公共财政预算支出78.6%。</w:t>
      </w:r>
    </w:p>
    <w:p w14:paraId="7C3C2DFC">
      <w:pPr>
        <w:rPr>
          <w:rFonts w:hint="eastAsia" w:hAnsi="宋体" w:cs="宋体"/>
          <w:highlight w:val="none"/>
        </w:rPr>
      </w:pPr>
      <w:r>
        <w:rPr>
          <w:rFonts w:hint="eastAsia" w:hAnsi="宋体" w:cs="宋体"/>
          <w:highlight w:val="none"/>
        </w:rPr>
        <w:t>支持建立和完善城乡最低生活保障制度，财政补助水平逐年提高。低保补贴标准从每人每月147元提高到172元，城镇保障补差标准从每人每月333元提高到374元，散居孤儿补助标准从每人每月700元提高到760元，在院的从每人每月1150元提高到1240元。2015年，为113762名低保对象发放低保救助金1997万元，为386户五保家庭发放五保金797万元，共发放孤儿补助金166万元。</w:t>
      </w:r>
    </w:p>
    <w:p w14:paraId="29E5EF77">
      <w:pPr>
        <w:rPr>
          <w:rFonts w:hint="eastAsia" w:hAnsi="宋体" w:cs="宋体"/>
          <w:highlight w:val="none"/>
        </w:rPr>
      </w:pPr>
      <w:r>
        <w:rPr>
          <w:rFonts w:hint="eastAsia" w:hAnsi="宋体" w:cs="宋体"/>
          <w:highlight w:val="none"/>
        </w:rPr>
        <w:t>坚持教育优先发展，促进教育事业大繁荣。2015年，全市拨付资金9013万多元用于教育创强和义务教育阶段公用经费，投入790万元用于农村困难学生生活费补贴以及发放助学金等。落实山区教师岗位津贴发放政策，为2000多名山区教师发放每月700元的岗位津贴，以稳定农村教师队伍，鼓励更多的教师到农村任教。</w:t>
      </w:r>
    </w:p>
    <w:p w14:paraId="6C31E329">
      <w:pPr>
        <w:rPr>
          <w:rFonts w:hint="eastAsia" w:hAnsi="宋体" w:cs="宋体"/>
          <w:highlight w:val="none"/>
        </w:rPr>
      </w:pPr>
      <w:r>
        <w:rPr>
          <w:rFonts w:hint="eastAsia" w:hAnsi="宋体" w:cs="宋体"/>
          <w:highlight w:val="none"/>
        </w:rPr>
        <w:t>强化支农惠农力度，落实各项涉农补贴政策。2015年发放生态公益林效益补偿资金2947万元，森林植被恢复费资金388万元，森林碳汇重点生态工程建设资金1137万元，良种补贴701万元，农机购置补贴703万元。</w:t>
      </w:r>
    </w:p>
    <w:p w14:paraId="07D5188F">
      <w:pPr>
        <w:rPr>
          <w:rFonts w:hint="eastAsia" w:hAnsi="宋体" w:cs="宋体"/>
          <w:highlight w:val="none"/>
        </w:rPr>
      </w:pPr>
      <w:r>
        <w:rPr>
          <w:rFonts w:hint="eastAsia" w:hAnsi="宋体" w:cs="宋体"/>
          <w:highlight w:val="none"/>
        </w:rPr>
        <w:t>加大农村基础设施建设投入。全年累计安排高标准基本农田建设补助资金23539万元，中小河治理项目补助资金7314万元，“一事一议”省级以上财政奖补资金617万元，农业田间工程建设1076万元，新农村公路路面硬化建设资金657万元，乡镇自来水厂及饮水安全工程建设资金264万元，农村崩岗工程建设167万元。</w:t>
      </w:r>
    </w:p>
    <w:p w14:paraId="080085C1">
      <w:pPr>
        <w:rPr>
          <w:rFonts w:hint="eastAsia" w:hAnsi="宋体" w:cs="宋体"/>
          <w:highlight w:val="none"/>
        </w:rPr>
      </w:pPr>
      <w:r>
        <w:rPr>
          <w:rFonts w:hint="eastAsia" w:hAnsi="宋体" w:cs="宋体"/>
          <w:highlight w:val="none"/>
        </w:rPr>
        <w:t>大力支持环境保护和生态文明建设。将环境保护和生态建设列为公共财政支出的重点，加大对环境保护和生态文明建设的投入力度。全市共投入巩卫、爱卫资金2451万元，确保顺利通过巩固“广东省卫生城市”省级考核验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C801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7847A0C">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563495"/>
                  <wp:effectExtent l="0" t="0" r="8890" b="8255"/>
                  <wp:docPr id="86" name="图片 245" descr="调研财政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45" descr="调研财政工作"/>
                          <pic:cNvPicPr>
                            <a:picLocks noChangeAspect="1"/>
                          </pic:cNvPicPr>
                        </pic:nvPicPr>
                        <pic:blipFill>
                          <a:blip r:embed="rId91"/>
                          <a:stretch>
                            <a:fillRect/>
                          </a:stretch>
                        </pic:blipFill>
                        <pic:spPr>
                          <a:xfrm>
                            <a:off x="0" y="0"/>
                            <a:ext cx="3420110" cy="2563495"/>
                          </a:xfrm>
                          <a:prstGeom prst="rect">
                            <a:avLst/>
                          </a:prstGeom>
                          <a:noFill/>
                          <a:ln>
                            <a:noFill/>
                          </a:ln>
                        </pic:spPr>
                      </pic:pic>
                    </a:graphicData>
                  </a:graphic>
                </wp:inline>
              </w:drawing>
            </w:r>
          </w:p>
        </w:tc>
      </w:tr>
      <w:tr w14:paraId="14A2E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3CDA2FD">
            <w:pPr>
              <w:jc w:val="center"/>
              <w:rPr>
                <w:rFonts w:hint="eastAsia" w:hAnsi="宋体" w:cs="宋体"/>
                <w:highlight w:val="none"/>
                <w:vertAlign w:val="baseline"/>
              </w:rPr>
            </w:pPr>
            <w:r>
              <w:rPr>
                <w:rFonts w:hint="eastAsia" w:hAnsi="宋体" w:cs="宋体"/>
                <w:highlight w:val="none"/>
                <w:vertAlign w:val="baseline"/>
              </w:rPr>
              <w:t>副市长袁元桃（后排右二）调研财政工作</w:t>
            </w:r>
          </w:p>
        </w:tc>
      </w:tr>
    </w:tbl>
    <w:p w14:paraId="3F498FBD">
      <w:pPr>
        <w:pStyle w:val="4"/>
        <w:bidi w:val="0"/>
        <w:rPr>
          <w:rFonts w:hint="eastAsia"/>
          <w:highlight w:val="none"/>
        </w:rPr>
      </w:pPr>
      <w:r>
        <w:rPr>
          <w:rFonts w:hint="eastAsia"/>
          <w:highlight w:val="none"/>
        </w:rPr>
        <w:t>【深化财政管理改革】</w:t>
      </w:r>
    </w:p>
    <w:p w14:paraId="37247C14">
      <w:pPr>
        <w:rPr>
          <w:rFonts w:hint="eastAsia" w:hAnsi="宋体" w:cs="宋体"/>
          <w:highlight w:val="none"/>
        </w:rPr>
      </w:pPr>
      <w:r>
        <w:rPr>
          <w:rFonts w:hint="eastAsia" w:hAnsi="宋体" w:cs="宋体"/>
          <w:highlight w:val="none"/>
        </w:rPr>
        <w:t>推进预算管理改革，规范政府收支行为。以新预算法实施和市人大《关于加强预算审查监督的决定》为切入口，强化预算审查，规范预算追加程序和政府收支行为，对各单位、各部门的支出要求以经批准的预算为依据，未列入预算的不得支出，提高预算刚化程度，强化预算约束，加强对不规范预算行为的法律责任追究。</w:t>
      </w:r>
    </w:p>
    <w:p w14:paraId="470D0A0D">
      <w:pPr>
        <w:rPr>
          <w:rFonts w:hint="eastAsia" w:hAnsi="宋体" w:cs="宋体"/>
          <w:highlight w:val="none"/>
        </w:rPr>
      </w:pPr>
      <w:r>
        <w:rPr>
          <w:rFonts w:hint="eastAsia" w:hAnsi="宋体" w:cs="宋体"/>
          <w:highlight w:val="none"/>
        </w:rPr>
        <w:t>深化国库集中支付改革，扩大直接支付，减少授权支付。强化财政支出平台建设，重点建设金财工程应用支撑平台和预算执行实时监控系统，实现财政信息实时共享和实时监控。国库集中支付资金31.4亿元，其中直接支付28.31亿元，授权支付3.09亿元，直接支付率90.16%。</w:t>
      </w:r>
    </w:p>
    <w:p w14:paraId="63756A0D">
      <w:pPr>
        <w:rPr>
          <w:rFonts w:hint="eastAsia" w:hAnsi="宋体" w:cs="宋体"/>
          <w:highlight w:val="none"/>
        </w:rPr>
      </w:pPr>
      <w:r>
        <w:rPr>
          <w:rFonts w:hint="eastAsia" w:hAnsi="宋体" w:cs="宋体"/>
          <w:highlight w:val="none"/>
        </w:rPr>
        <w:t>加强采购队伍建设，推进政府采购制度化。组织各行政事业单位采购专职人员参加全省举办的政府采购法实施条例培训班以及全国政府采购法实施条例知识竞赛，提高政府采购从业人员素质。1月至12月，完成政府采购483宗，采购预算资金5.45亿元，实现采购金额4.82亿元</w:t>
      </w:r>
      <w:r>
        <w:rPr>
          <w:rFonts w:hint="eastAsia" w:hAnsi="宋体" w:cs="宋体"/>
          <w:highlight w:val="none"/>
          <w:lang w:eastAsia="zh-CN"/>
        </w:rPr>
        <w:t>，</w:t>
      </w:r>
      <w:r>
        <w:rPr>
          <w:rFonts w:hint="eastAsia" w:hAnsi="宋体" w:cs="宋体"/>
          <w:highlight w:val="none"/>
        </w:rPr>
        <w:t>节约资金6344万元，节约率11.63%。</w:t>
      </w:r>
    </w:p>
    <w:p w14:paraId="546DEBEA">
      <w:pPr>
        <w:rPr>
          <w:rFonts w:hint="eastAsia" w:hAnsi="宋体" w:cs="宋体"/>
          <w:highlight w:val="none"/>
        </w:rPr>
      </w:pPr>
      <w:r>
        <w:rPr>
          <w:rFonts w:hint="eastAsia" w:hAnsi="宋体" w:cs="宋体"/>
          <w:highlight w:val="none"/>
        </w:rPr>
        <w:t>完善财政性建设工程项目评审工作流程，规范评审行为，提高评审效率。由市政府下发《关于进一步明确市级财政性资金投资项目评审管理有关事项的通知》，规范财政资金拨付管理，提高评审质量和工作效率。对评审结果进行公示，加强对评审人员的廉政教育，主动接受社会各界的监督，做到公开公平公开。继续引入3家评审中介机构参与项目评审，以摇号的方式确定各自的评审项目，减少评审项目积压。2015年审核工程项目719个，受审金额9.9亿元，审定金额9.01亿元，节约资金8850万元，核减率8.9%。</w:t>
      </w:r>
    </w:p>
    <w:p w14:paraId="2AAE3735">
      <w:pPr>
        <w:pStyle w:val="4"/>
        <w:bidi w:val="0"/>
        <w:rPr>
          <w:rFonts w:hint="eastAsia"/>
          <w:highlight w:val="none"/>
        </w:rPr>
      </w:pPr>
      <w:r>
        <w:rPr>
          <w:rFonts w:hint="eastAsia"/>
          <w:highlight w:val="none"/>
        </w:rPr>
        <w:t>【提高财政监管水平】</w:t>
      </w:r>
    </w:p>
    <w:p w14:paraId="0E349B27">
      <w:pPr>
        <w:rPr>
          <w:rFonts w:hint="eastAsia" w:hAnsi="宋体" w:cs="宋体"/>
          <w:highlight w:val="none"/>
        </w:rPr>
      </w:pPr>
      <w:r>
        <w:rPr>
          <w:rFonts w:hint="eastAsia" w:hAnsi="宋体" w:cs="宋体"/>
          <w:highlight w:val="none"/>
        </w:rPr>
        <w:t>开展专项资金检查，提高资金使用效益。联合审计部门，开展财政专项资金管理使用监督工作，重点对专项资金预算执行、资金使用效益和财务管理进行督查。</w:t>
      </w:r>
    </w:p>
    <w:p w14:paraId="430CB401">
      <w:pPr>
        <w:rPr>
          <w:rFonts w:hint="eastAsia" w:hAnsi="宋体" w:cs="宋体"/>
          <w:highlight w:val="none"/>
        </w:rPr>
      </w:pPr>
      <w:r>
        <w:rPr>
          <w:rFonts w:hint="eastAsia" w:hAnsi="宋体" w:cs="宋体"/>
          <w:highlight w:val="none"/>
        </w:rPr>
        <w:t>开展会计信息质量检查，规范基层财务管理。组织相关成员单位，深入各镇（街道）开展会计信息质量检查，对各镇（街道）会计凭证、会计账簿、财务报表和其他会计资料真实性、完整性进行全面检查。</w:t>
      </w:r>
    </w:p>
    <w:p w14:paraId="7B5EFF12">
      <w:pPr>
        <w:rPr>
          <w:rFonts w:hint="eastAsia" w:hAnsi="宋体" w:cs="宋体"/>
          <w:highlight w:val="none"/>
        </w:rPr>
      </w:pPr>
      <w:r>
        <w:rPr>
          <w:rFonts w:hint="eastAsia" w:hAnsi="宋体" w:cs="宋体"/>
          <w:highlight w:val="none"/>
        </w:rPr>
        <w:t>开展“小金库”专项整治活动。11月联合监察、人社部门在全市范围内开展了排查清理“小金库”专项活动，坚决查处和纠正各种形式“小金库”问题。</w:t>
      </w:r>
    </w:p>
    <w:p w14:paraId="5D42C86E">
      <w:pPr>
        <w:rPr>
          <w:rFonts w:hint="eastAsia" w:hAnsi="宋体" w:cs="宋体"/>
          <w:highlight w:val="none"/>
        </w:rPr>
      </w:pPr>
      <w:r>
        <w:rPr>
          <w:rFonts w:hint="eastAsia" w:hAnsi="宋体" w:cs="宋体"/>
          <w:highlight w:val="none"/>
        </w:rPr>
        <w:t>结合异地同步审计，开展基层财务督促检查工作。以2015年乡镇（街道）党政主要领导干部经济责任异地同步审计为契机，局纪检组长和分管财政所领导多次带队深入各镇（街道）及基层财政所开展财务督促检查，对进一步加强镇级财务管理提出具体要求，规范资金使用审核流程，确保各类资金安全。</w:t>
      </w:r>
    </w:p>
    <w:p w14:paraId="2D0380AD">
      <w:pPr>
        <w:pStyle w:val="4"/>
        <w:bidi w:val="0"/>
        <w:rPr>
          <w:rFonts w:hint="eastAsia"/>
          <w:highlight w:val="none"/>
        </w:rPr>
      </w:pPr>
      <w:r>
        <w:rPr>
          <w:rFonts w:hint="eastAsia"/>
          <w:highlight w:val="none"/>
        </w:rPr>
        <w:t>【强化财政队伍建设】</w:t>
      </w:r>
    </w:p>
    <w:p w14:paraId="7F4B655A">
      <w:pPr>
        <w:rPr>
          <w:rFonts w:hint="eastAsia" w:hAnsi="宋体" w:cs="宋体"/>
          <w:highlight w:val="none"/>
        </w:rPr>
      </w:pPr>
      <w:r>
        <w:rPr>
          <w:rFonts w:hint="eastAsia" w:hAnsi="宋体" w:cs="宋体"/>
          <w:highlight w:val="none"/>
        </w:rPr>
        <w:t>开展“双学双比”主题实践活动。以提升财政干部队伍的学习力、凝聚力、服务力为抓手，组织开展主题实践活动，努力在干部队伍中营造出“比学赶超”良好氛围。</w:t>
      </w:r>
    </w:p>
    <w:p w14:paraId="1433C257">
      <w:pPr>
        <w:rPr>
          <w:rFonts w:hint="eastAsia" w:hAnsi="宋体" w:cs="宋体"/>
          <w:highlight w:val="none"/>
        </w:rPr>
      </w:pPr>
      <w:r>
        <w:rPr>
          <w:rFonts w:hint="eastAsia" w:hAnsi="宋体" w:cs="宋体"/>
          <w:highlight w:val="none"/>
        </w:rPr>
        <w:t>深入开展政风行风民主评议活动。以改正工作作风、强化效能建设为主线</w:t>
      </w:r>
      <w:r>
        <w:rPr>
          <w:rFonts w:hint="eastAsia" w:hAnsi="宋体" w:cs="宋体"/>
          <w:highlight w:val="none"/>
          <w:lang w:eastAsia="zh-CN"/>
        </w:rPr>
        <w:t>，</w:t>
      </w:r>
      <w:r>
        <w:rPr>
          <w:rFonts w:hint="eastAsia" w:hAnsi="宋体" w:cs="宋体"/>
          <w:highlight w:val="none"/>
        </w:rPr>
        <w:t>深入查找存在问题，狠抓服务态度，提高服务效率和服务质量，全面整治慵懒散奢等不良风气，扎实开展民主评议政风行风工作，推动财政系统作风建设。</w:t>
      </w:r>
    </w:p>
    <w:p w14:paraId="217F08EE">
      <w:pPr>
        <w:rPr>
          <w:rFonts w:hint="eastAsia" w:hAnsi="宋体" w:cs="宋体"/>
          <w:highlight w:val="none"/>
        </w:rPr>
      </w:pPr>
      <w:r>
        <w:rPr>
          <w:rFonts w:hint="eastAsia" w:hAnsi="宋体" w:cs="宋体"/>
          <w:highlight w:val="none"/>
        </w:rPr>
        <w:t>加强党风廉政建设和反腐败工作。8月组织干部职工到检察院接受廉政从政警示教育，并多次组织干部职工观看纪律教育影片，不断加强廉政知识宣传，丰富机关廉政文化建设，努力打造廉洁奉公，勤政为民财政队伍。（邓志翔）</w:t>
      </w:r>
    </w:p>
    <w:p w14:paraId="4E7AAED6">
      <w:pPr>
        <w:rPr>
          <w:rFonts w:hint="eastAsia" w:hAnsi="宋体" w:eastAsia="宋体" w:cs="宋体"/>
          <w:highlight w:val="none"/>
          <w:lang w:eastAsia="zh-CN"/>
        </w:rPr>
      </w:pPr>
      <w:r>
        <w:rPr>
          <w:rFonts w:hint="eastAsia" w:hAnsi="宋体" w:cs="宋体"/>
          <w:highlight w:val="none"/>
        </w:rPr>
        <w:t>附：2015年市财政局领导班子成员名单</w:t>
      </w:r>
    </w:p>
    <w:p w14:paraId="64C1AE9A">
      <w:pPr>
        <w:rPr>
          <w:rFonts w:hint="eastAsia" w:hAnsi="宋体" w:eastAsia="宋体" w:cs="宋体"/>
          <w:highlight w:val="none"/>
          <w:lang w:eastAsia="zh-CN"/>
        </w:rPr>
      </w:pPr>
      <w:r>
        <w:rPr>
          <w:rFonts w:hint="eastAsia" w:hAnsi="宋体" w:cs="宋体"/>
          <w:highlight w:val="none"/>
        </w:rPr>
        <w:t>局长、党组书记：王友华</w:t>
      </w:r>
    </w:p>
    <w:p w14:paraId="61496C58">
      <w:pPr>
        <w:rPr>
          <w:rFonts w:hint="eastAsia" w:hAnsi="宋体" w:eastAsia="宋体" w:cs="宋体"/>
          <w:highlight w:val="none"/>
          <w:lang w:eastAsia="zh-CN"/>
        </w:rPr>
      </w:pPr>
      <w:r>
        <w:rPr>
          <w:rFonts w:hint="eastAsia" w:hAnsi="宋体" w:cs="宋体"/>
          <w:highlight w:val="none"/>
        </w:rPr>
        <w:t>经贸中心纪检监察组组长、财政局纪检组长：曾冠华</w:t>
      </w:r>
    </w:p>
    <w:p w14:paraId="2961B893">
      <w:pPr>
        <w:rPr>
          <w:rFonts w:hint="eastAsia" w:hAnsi="宋体" w:eastAsia="宋体" w:cs="宋体"/>
          <w:highlight w:val="none"/>
          <w:lang w:eastAsia="zh-CN"/>
        </w:rPr>
      </w:pPr>
      <w:r>
        <w:rPr>
          <w:rFonts w:hint="eastAsia" w:hAnsi="宋体" w:cs="宋体"/>
          <w:highlight w:val="none"/>
        </w:rPr>
        <w:t>党组成员：曾炳</w:t>
      </w:r>
    </w:p>
    <w:p w14:paraId="6A5CFF2C">
      <w:pPr>
        <w:rPr>
          <w:rFonts w:hint="eastAsia" w:hAnsi="宋体" w:eastAsia="宋体" w:cs="宋体"/>
          <w:highlight w:val="none"/>
          <w:lang w:eastAsia="zh-CN"/>
        </w:rPr>
      </w:pPr>
      <w:r>
        <w:rPr>
          <w:rFonts w:hint="eastAsia" w:hAnsi="宋体" w:cs="宋体"/>
          <w:highlight w:val="none"/>
        </w:rPr>
        <w:t>副局长：马新路 郭蕙梅 张琼丹</w:t>
      </w:r>
    </w:p>
    <w:p w14:paraId="081C5266">
      <w:pPr>
        <w:rPr>
          <w:rFonts w:hint="eastAsia" w:hAnsi="宋体" w:eastAsia="宋体" w:cs="宋体"/>
          <w:highlight w:val="none"/>
          <w:lang w:eastAsia="zh-CN"/>
        </w:rPr>
      </w:pPr>
      <w:r>
        <w:rPr>
          <w:rFonts w:hint="eastAsia" w:hAnsi="宋体" w:cs="宋体"/>
          <w:highlight w:val="none"/>
        </w:rPr>
        <w:t>工会主席：凌海滨</w:t>
      </w:r>
    </w:p>
    <w:p w14:paraId="58297785">
      <w:pPr>
        <w:rPr>
          <w:rFonts w:hint="eastAsia" w:hAnsi="宋体" w:eastAsia="宋体" w:cs="宋体"/>
          <w:highlight w:val="none"/>
          <w:lang w:eastAsia="zh-CN"/>
        </w:rPr>
      </w:pPr>
      <w:r>
        <w:rPr>
          <w:rFonts w:hint="eastAsia" w:hAnsi="宋体" w:cs="宋体"/>
          <w:highlight w:val="none"/>
        </w:rPr>
        <w:t>总会计师：张成林</w:t>
      </w:r>
    </w:p>
    <w:p w14:paraId="277EC4D6">
      <w:pPr>
        <w:rPr>
          <w:rFonts w:hint="eastAsia" w:hAnsi="宋体" w:eastAsia="宋体" w:cs="宋体"/>
          <w:highlight w:val="none"/>
          <w:lang w:eastAsia="zh-CN"/>
        </w:rPr>
      </w:pPr>
      <w:r>
        <w:rPr>
          <w:rFonts w:hint="eastAsia" w:hAnsi="宋体" w:cs="宋体"/>
          <w:highlight w:val="none"/>
        </w:rPr>
        <w:t>非税管理局局长：张广文</w:t>
      </w:r>
    </w:p>
    <w:p w14:paraId="48AF6439">
      <w:pPr>
        <w:pStyle w:val="3"/>
        <w:bidi w:val="0"/>
        <w:rPr>
          <w:rFonts w:hint="eastAsia"/>
          <w:highlight w:val="none"/>
        </w:rPr>
      </w:pPr>
      <w:r>
        <w:rPr>
          <w:rFonts w:hint="eastAsia"/>
          <w:highlight w:val="none"/>
        </w:rPr>
        <w:t>国家税务</w:t>
      </w:r>
    </w:p>
    <w:p w14:paraId="6CB3BDB3">
      <w:pPr>
        <w:pStyle w:val="4"/>
        <w:bidi w:val="0"/>
        <w:rPr>
          <w:rFonts w:hint="eastAsia"/>
          <w:highlight w:val="none"/>
        </w:rPr>
      </w:pPr>
      <w:r>
        <w:rPr>
          <w:rFonts w:hint="eastAsia"/>
          <w:highlight w:val="none"/>
        </w:rPr>
        <w:t>【概况】</w:t>
      </w:r>
    </w:p>
    <w:p w14:paraId="0BB6A532">
      <w:pPr>
        <w:rPr>
          <w:rFonts w:hint="eastAsia" w:hAnsi="宋体" w:cs="宋体"/>
          <w:highlight w:val="none"/>
        </w:rPr>
      </w:pPr>
      <w:r>
        <w:rPr>
          <w:rFonts w:hint="eastAsia" w:hAnsi="宋体" w:cs="宋体"/>
          <w:highlight w:val="none"/>
        </w:rPr>
        <w:t>南雄市国家税务局成立于1994年，是南雄市主管国家税收工作的职能部门，为正科级全职能局，系驻南雄市垂直管理单位。设9个职能部门：办公室、人事教育科、监察室、征收管理科、政策法规科、收入核算科、纳税服务科、税源管理一科、税源管理二科；1个直属机构：稽查局；3个派出机构：全安税务分局、珠玑税务分局、黄坑税务分局；1个事业单位：信息中心。有在职人员115人，离退休人员34人。其中：在职人员中，大专以上112人，党员人数93人，共青团员4人。</w:t>
      </w:r>
    </w:p>
    <w:p w14:paraId="0504CA2B">
      <w:pPr>
        <w:rPr>
          <w:rFonts w:hint="eastAsia" w:hAnsi="宋体" w:cs="宋体"/>
          <w:highlight w:val="none"/>
        </w:rPr>
      </w:pPr>
      <w:r>
        <w:rPr>
          <w:rFonts w:hint="eastAsia" w:hAnsi="宋体" w:cs="宋体"/>
          <w:highlight w:val="none"/>
        </w:rPr>
        <w:t>2015年，南雄市国税局推进人事改革，干部队伍活力激发；完成新办公大楼搬迁工作。</w:t>
      </w:r>
    </w:p>
    <w:p w14:paraId="02B695A9">
      <w:pPr>
        <w:pStyle w:val="4"/>
        <w:bidi w:val="0"/>
        <w:rPr>
          <w:rFonts w:hint="eastAsia"/>
          <w:highlight w:val="none"/>
        </w:rPr>
      </w:pPr>
      <w:r>
        <w:rPr>
          <w:rFonts w:hint="eastAsia"/>
          <w:highlight w:val="none"/>
        </w:rPr>
        <w:t>【税源情况】</w:t>
      </w:r>
    </w:p>
    <w:p w14:paraId="120CD930">
      <w:pPr>
        <w:rPr>
          <w:rFonts w:hint="eastAsia" w:hAnsi="宋体" w:cs="宋体"/>
          <w:highlight w:val="none"/>
        </w:rPr>
      </w:pPr>
      <w:r>
        <w:rPr>
          <w:rFonts w:hint="eastAsia" w:hAnsi="宋体" w:cs="宋体"/>
          <w:highlight w:val="none"/>
        </w:rPr>
        <w:t>南雄市国税局主要负责增值税、消费税、企业所得税、个人储蓄利息所得税、机动车辆购置税等税种的征收。南雄市整体税源结构单一，税种以增值税为主，支柱企业少，重点税源整体实力不强。2008年以来，精细化工业园作为南雄市新兴税源，税收收入在逐年递增。2015年，南雄市园区税收收入突破4100余万元，同比增长36.7%。</w:t>
      </w:r>
    </w:p>
    <w:p w14:paraId="091E7DEC">
      <w:pPr>
        <w:pStyle w:val="4"/>
        <w:bidi w:val="0"/>
        <w:rPr>
          <w:rFonts w:hint="eastAsia"/>
          <w:highlight w:val="none"/>
        </w:rPr>
      </w:pPr>
      <w:r>
        <w:rPr>
          <w:rFonts w:hint="eastAsia"/>
          <w:highlight w:val="none"/>
        </w:rPr>
        <w:t>【税收收入】</w:t>
      </w:r>
    </w:p>
    <w:p w14:paraId="69C58B5B">
      <w:pPr>
        <w:rPr>
          <w:rFonts w:hint="eastAsia" w:hAnsi="宋体" w:cs="宋体"/>
          <w:highlight w:val="none"/>
        </w:rPr>
      </w:pPr>
      <w:r>
        <w:rPr>
          <w:rFonts w:hint="eastAsia" w:hAnsi="宋体" w:cs="宋体"/>
          <w:highlight w:val="none"/>
        </w:rPr>
        <w:t>2015年，南雄市国税局全年税收收入26899万元，同比增长15.6%，其中中央级收入18798万元，同比增长13%；省级收入2204万元，同比增长59.8%；市县级收入5896万元，同比增长12%；园区收入4100万元，同比增长36.7%。各税种方面，增值税收入15830万元，同比减收568万元，下降3.5%；消费税收入203万元，同比增收80万元，增长65%；企业所得税8372万元，同比增收3600万元，增长75.4%；车辆购置税2493万元，同比增收509万元，增长25.7%。</w:t>
      </w:r>
    </w:p>
    <w:p w14:paraId="3F9DE172">
      <w:pPr>
        <w:pStyle w:val="4"/>
        <w:bidi w:val="0"/>
        <w:rPr>
          <w:rFonts w:hint="eastAsia"/>
          <w:highlight w:val="none"/>
        </w:rPr>
      </w:pPr>
      <w:r>
        <w:rPr>
          <w:rFonts w:hint="eastAsia"/>
          <w:highlight w:val="none"/>
        </w:rPr>
        <w:t>【绩效考核】</w:t>
      </w:r>
    </w:p>
    <w:p w14:paraId="05A379D8">
      <w:pPr>
        <w:rPr>
          <w:rFonts w:hint="eastAsia" w:hAnsi="宋体" w:cs="宋体"/>
          <w:highlight w:val="none"/>
        </w:rPr>
      </w:pPr>
      <w:r>
        <w:rPr>
          <w:rFonts w:hint="eastAsia" w:hAnsi="宋体" w:cs="宋体"/>
          <w:highlight w:val="none"/>
        </w:rPr>
        <w:t>制定绩效考核指标，细化责任科室绩效考核内容，增加个人绩效考核，加强对绩效考核工作的协调，各部门紧密配合，全年绩效考核成绩在韶关10个考核单位中排名第六。</w:t>
      </w:r>
    </w:p>
    <w:p w14:paraId="5EA66013">
      <w:pPr>
        <w:pStyle w:val="4"/>
        <w:bidi w:val="0"/>
        <w:rPr>
          <w:rFonts w:hint="eastAsia"/>
          <w:highlight w:val="none"/>
        </w:rPr>
      </w:pPr>
      <w:r>
        <w:rPr>
          <w:rFonts w:hint="eastAsia"/>
          <w:highlight w:val="none"/>
        </w:rPr>
        <w:t>【征管改革】</w:t>
      </w:r>
    </w:p>
    <w:p w14:paraId="06AE2B41">
      <w:pPr>
        <w:rPr>
          <w:rFonts w:hint="eastAsia" w:hAnsi="宋体" w:cs="宋体"/>
          <w:highlight w:val="none"/>
        </w:rPr>
      </w:pPr>
      <w:r>
        <w:rPr>
          <w:rFonts w:hint="eastAsia" w:hAnsi="宋体" w:cs="宋体"/>
          <w:highlight w:val="none"/>
        </w:rPr>
        <w:t>强化纳税评估力度。全年开展纳税评估78户次，补缴税款及滞纳金209.54万元，同比增长100.43%，调整以前年度亏损1938.23万元。全力推进委托邮政代征代开工作。率先开通3个增值税普通发票邮政代开网点，逐步加强票证和发票监管力度，规范邮政代开发票工作。2015年委托邮政代开发票2997份，代征税款93.9万元。推进纳税人更换新开票系统，扩大增值税普通发票的使用面，推进电子控税，实现电子信息化税源管理新模式。加强国地税合作。多次召开国地税联席会议，研究国地税合作具体实施情况，共同推进“一照一码”登记制度改革，在协税护税、联合办税和税收宣传等领域密切合作。</w:t>
      </w:r>
    </w:p>
    <w:p w14:paraId="7B1E8EED">
      <w:pPr>
        <w:pStyle w:val="4"/>
        <w:bidi w:val="0"/>
        <w:rPr>
          <w:rFonts w:hint="eastAsia"/>
          <w:highlight w:val="none"/>
        </w:rPr>
      </w:pPr>
      <w:r>
        <w:rPr>
          <w:rFonts w:hint="eastAsia"/>
          <w:highlight w:val="none"/>
        </w:rPr>
        <w:t>【依法治税】</w:t>
      </w:r>
    </w:p>
    <w:p w14:paraId="16AC9F2B">
      <w:pPr>
        <w:rPr>
          <w:rFonts w:hint="eastAsia" w:hAnsi="宋体" w:cs="宋体"/>
          <w:highlight w:val="none"/>
        </w:rPr>
      </w:pPr>
      <w:r>
        <w:rPr>
          <w:rFonts w:hint="eastAsia" w:hAnsi="宋体" w:cs="宋体"/>
          <w:highlight w:val="none"/>
        </w:rPr>
        <w:t>落实《纳税服务规范》和《征管规范》，要求税收业务按照规范操作，优化办税流程和执法程序。强化稽查力度，加大税收执法检查力度，严厉打击涉税违法行为。2015年查补税款407.4万元。落实税收优惠政策，为纳税人办理出口退税2124万元。落实小微企业税收优惠政策，2015年为已享受政策383户企业减免税款41.47万元；自10月1日起，严格执行7座以下且1.6L排量以下乘用车车辆购置税减半征收优惠政策，2015年享受减半优惠纳税人602户，减免税收232.58万元。突出税务学堂进园区、进校园作用，开设《税务之窗》栏目，力推税法宣传性常态化。</w:t>
      </w:r>
    </w:p>
    <w:p w14:paraId="3E537C5C">
      <w:pPr>
        <w:pStyle w:val="4"/>
        <w:bidi w:val="0"/>
        <w:rPr>
          <w:rFonts w:hint="eastAsia"/>
          <w:highlight w:val="none"/>
        </w:rPr>
      </w:pPr>
      <w:r>
        <w:rPr>
          <w:rFonts w:hint="eastAsia"/>
          <w:highlight w:val="none"/>
        </w:rPr>
        <w:t>【党建工作】</w:t>
      </w:r>
    </w:p>
    <w:p w14:paraId="473A331C">
      <w:pPr>
        <w:rPr>
          <w:rFonts w:hint="eastAsia" w:hAnsi="宋体" w:cs="宋体"/>
          <w:highlight w:val="none"/>
        </w:rPr>
      </w:pPr>
      <w:r>
        <w:rPr>
          <w:rFonts w:hint="eastAsia" w:hAnsi="宋体" w:cs="宋体"/>
          <w:highlight w:val="none"/>
        </w:rPr>
        <w:t>开展“一把手”讲党课活动。在清明、“七一”组织党员赴水口战役、油山会师旧址参观，重温誓词、重温党章；开展“党员进社区”活动，组织党员到社区进行卫生保洁、政策宣传4次，160余人次参与活动；指导工会、团支部、志愿者服务队开展环保宣传骑行、慰问孤寡老人等活动20余次。局党总支被南雄市直工委评为先进党组织，6人次获得地方党、团组织表彰。</w:t>
      </w:r>
    </w:p>
    <w:p w14:paraId="01B4BC20">
      <w:pPr>
        <w:pStyle w:val="4"/>
        <w:bidi w:val="0"/>
        <w:rPr>
          <w:rFonts w:hint="eastAsia"/>
          <w:highlight w:val="none"/>
        </w:rPr>
      </w:pPr>
      <w:r>
        <w:rPr>
          <w:rFonts w:hint="eastAsia"/>
          <w:highlight w:val="none"/>
        </w:rPr>
        <w:t>【廉政建设】</w:t>
      </w:r>
    </w:p>
    <w:p w14:paraId="69334BA2">
      <w:pPr>
        <w:rPr>
          <w:rFonts w:hint="eastAsia" w:hAnsi="宋体" w:cs="宋体"/>
          <w:highlight w:val="none"/>
        </w:rPr>
      </w:pPr>
      <w:r>
        <w:rPr>
          <w:rFonts w:hint="eastAsia" w:hAnsi="宋体" w:cs="宋体"/>
          <w:highlight w:val="none"/>
        </w:rPr>
        <w:t>组织党员干部学习廉政知识和廉政规定，通过开展警示教育、廉洁读书、制作廉政电子刊物、参观廉政教育基地、观看反腐电影等活动，将廉政教育活动引向深入。深入开展“廉洁国税”创建活动，坚持廉政建设为国税文化建设的重要组成部分，有效推动廉政文化建设。在加强领导和班子建设的基础上，畅通监督渠道和监督方法，充分发挥12名特邀监察员和30名阳光使者的监督作用，对廉政建设、权力运行等方面进行全方位监督。</w:t>
      </w:r>
    </w:p>
    <w:p w14:paraId="605A7417">
      <w:pPr>
        <w:pStyle w:val="4"/>
        <w:bidi w:val="0"/>
        <w:rPr>
          <w:rFonts w:hint="eastAsia"/>
          <w:highlight w:val="none"/>
        </w:rPr>
      </w:pPr>
      <w:r>
        <w:rPr>
          <w:rFonts w:hint="eastAsia"/>
          <w:highlight w:val="none"/>
        </w:rPr>
        <w:t>【人事改革】</w:t>
      </w:r>
    </w:p>
    <w:p w14:paraId="2DDD780D">
      <w:pPr>
        <w:rPr>
          <w:rFonts w:hint="eastAsia" w:hAnsi="宋体" w:cs="宋体"/>
          <w:highlight w:val="none"/>
        </w:rPr>
      </w:pPr>
      <w:r>
        <w:rPr>
          <w:rFonts w:hint="eastAsia" w:hAnsi="宋体" w:cs="宋体"/>
          <w:highlight w:val="none"/>
        </w:rPr>
        <w:t>9月上旬开始，组织开展股级干部竞争上岗和一般干部双向选择工作，在专门成立由“一把手”领导的人事改革工作领导小组的基础上，制定相关工作方案和规则，按照先股级干部竞争上岗、后一般干部双向选择的步骤，调整变动岗位占全局岗位数的60%，其中提拔任用25名股级干部，干部队伍换岗力度空前。</w:t>
      </w:r>
    </w:p>
    <w:p w14:paraId="73092085">
      <w:pPr>
        <w:pStyle w:val="4"/>
        <w:bidi w:val="0"/>
        <w:rPr>
          <w:rFonts w:hint="eastAsia"/>
          <w:highlight w:val="none"/>
        </w:rPr>
      </w:pPr>
      <w:r>
        <w:rPr>
          <w:rFonts w:hint="eastAsia"/>
          <w:highlight w:val="none"/>
        </w:rPr>
        <w:t>【机构职能优化】</w:t>
      </w:r>
    </w:p>
    <w:p w14:paraId="104749A6">
      <w:pPr>
        <w:rPr>
          <w:rFonts w:hint="eastAsia" w:hAnsi="宋体" w:cs="宋体"/>
          <w:highlight w:val="none"/>
        </w:rPr>
      </w:pPr>
      <w:r>
        <w:rPr>
          <w:rFonts w:hint="eastAsia" w:hAnsi="宋体" w:cs="宋体"/>
          <w:highlight w:val="none"/>
        </w:rPr>
        <w:t>将珠玑税务分局、全安税务分局、黄坑税务分局进行回迁，3个分局合并到局内办公，将全市税源管理工作分配到三个分局，机构职能得以进一步优化。全安税务分局负责全市工业、加工修理修配业一般纳税人及小规模企业纳税人的税源基础管理工作；黄坑分局负责全市商业、“营改增”、其他行业一般纳税人及小规模企业纳税人的税源基础管理工作；珠玑分局负责全市个体小规模的税源基础管理工作。</w:t>
      </w:r>
    </w:p>
    <w:p w14:paraId="19CEEC4D">
      <w:pPr>
        <w:pStyle w:val="4"/>
        <w:bidi w:val="0"/>
        <w:rPr>
          <w:rFonts w:hint="eastAsia"/>
          <w:highlight w:val="none"/>
        </w:rPr>
      </w:pPr>
      <w:r>
        <w:rPr>
          <w:rFonts w:hint="eastAsia"/>
          <w:highlight w:val="none"/>
        </w:rPr>
        <w:t>【基础建设】</w:t>
      </w:r>
    </w:p>
    <w:p w14:paraId="3DAD4901">
      <w:pPr>
        <w:rPr>
          <w:rFonts w:hint="eastAsia" w:hAnsi="宋体" w:eastAsia="宋体" w:cs="宋体"/>
          <w:highlight w:val="none"/>
          <w:lang w:eastAsia="zh-CN"/>
        </w:rPr>
      </w:pPr>
      <w:r>
        <w:rPr>
          <w:rFonts w:hint="eastAsia" w:hAnsi="宋体" w:cs="宋体"/>
          <w:highlight w:val="none"/>
        </w:rPr>
        <w:t>2015年底南雄市国税局新址顺利完工，搬迁工作于12月30日全面完成，新址位于南雄市雄南路149号，办税环境得以改观。国税文化建设展厅暨廉政教育基地投入使用。（曹玉华</w:t>
      </w:r>
      <w:r>
        <w:rPr>
          <w:rFonts w:hint="eastAsia" w:hAnsi="宋体" w:cs="宋体"/>
          <w:highlight w:val="none"/>
          <w:lang w:eastAsia="zh-CN"/>
        </w:rPr>
        <w:t>）</w:t>
      </w:r>
    </w:p>
    <w:p w14:paraId="4D049D79">
      <w:pPr>
        <w:rPr>
          <w:rFonts w:hint="eastAsia" w:hAnsi="宋体" w:eastAsia="宋体" w:cs="宋体"/>
          <w:highlight w:val="none"/>
          <w:lang w:eastAsia="zh-CN"/>
        </w:rPr>
      </w:pPr>
      <w:r>
        <w:rPr>
          <w:rFonts w:hint="eastAsia" w:hAnsi="宋体" w:cs="宋体"/>
          <w:highlight w:val="none"/>
        </w:rPr>
        <w:t>附：2015年市国税局领导班子成员名单</w:t>
      </w:r>
    </w:p>
    <w:p w14:paraId="3074DCA9">
      <w:pPr>
        <w:rPr>
          <w:rFonts w:hint="eastAsia" w:hAnsi="宋体" w:eastAsia="宋体" w:cs="宋体"/>
          <w:highlight w:val="none"/>
          <w:lang w:eastAsia="zh-CN"/>
        </w:rPr>
      </w:pPr>
      <w:r>
        <w:rPr>
          <w:rFonts w:hint="eastAsia" w:hAnsi="宋体" w:cs="宋体"/>
          <w:highlight w:val="none"/>
        </w:rPr>
        <w:t>党组书记、局长：郑志伟</w:t>
      </w:r>
    </w:p>
    <w:p w14:paraId="3C508D4B">
      <w:pPr>
        <w:rPr>
          <w:rFonts w:hint="eastAsia" w:hAnsi="宋体" w:cs="宋体"/>
          <w:highlight w:val="none"/>
        </w:rPr>
      </w:pPr>
      <w:r>
        <w:rPr>
          <w:rFonts w:hint="eastAsia" w:hAnsi="宋体" w:cs="宋体"/>
          <w:highlight w:val="none"/>
        </w:rPr>
        <w:t>副局长：凌寿青 梁高明 尹强才</w:t>
      </w:r>
    </w:p>
    <w:p w14:paraId="693E19F0">
      <w:pPr>
        <w:rPr>
          <w:rFonts w:hint="eastAsia" w:hAnsi="宋体" w:eastAsia="宋体" w:cs="宋体"/>
          <w:highlight w:val="none"/>
          <w:lang w:eastAsia="zh-CN"/>
        </w:rPr>
      </w:pPr>
      <w:r>
        <w:rPr>
          <w:rFonts w:hint="eastAsia" w:hAnsi="宋体" w:cs="宋体"/>
          <w:highlight w:val="none"/>
        </w:rPr>
        <w:t>董绳南（任至4月）</w:t>
      </w:r>
    </w:p>
    <w:p w14:paraId="2E6E3F5A">
      <w:pPr>
        <w:rPr>
          <w:rFonts w:hint="eastAsia" w:hAnsi="宋体" w:eastAsia="宋体" w:cs="宋体"/>
          <w:highlight w:val="none"/>
          <w:lang w:eastAsia="zh-CN"/>
        </w:rPr>
      </w:pPr>
      <w:r>
        <w:rPr>
          <w:rFonts w:hint="eastAsia" w:hAnsi="宋体" w:cs="宋体"/>
          <w:highlight w:val="none"/>
        </w:rPr>
        <w:t>纪检组长：李伟文</w:t>
      </w:r>
    </w:p>
    <w:p w14:paraId="251690C7">
      <w:pPr>
        <w:pStyle w:val="3"/>
        <w:bidi w:val="0"/>
        <w:rPr>
          <w:rFonts w:hint="eastAsia"/>
          <w:highlight w:val="none"/>
        </w:rPr>
      </w:pPr>
      <w:r>
        <w:rPr>
          <w:rFonts w:hint="eastAsia"/>
          <w:highlight w:val="none"/>
        </w:rPr>
        <w:t>地方税务</w:t>
      </w:r>
    </w:p>
    <w:p w14:paraId="1153DDBA">
      <w:pPr>
        <w:pStyle w:val="4"/>
        <w:bidi w:val="0"/>
        <w:rPr>
          <w:rFonts w:hint="eastAsia"/>
          <w:highlight w:val="none"/>
        </w:rPr>
      </w:pPr>
      <w:r>
        <w:rPr>
          <w:rFonts w:hint="eastAsia"/>
          <w:highlight w:val="none"/>
        </w:rPr>
        <w:t>【概况】</w:t>
      </w:r>
    </w:p>
    <w:p w14:paraId="0A14085F">
      <w:pPr>
        <w:rPr>
          <w:rFonts w:hint="eastAsia" w:hAnsi="宋体" w:cs="宋体"/>
          <w:highlight w:val="none"/>
        </w:rPr>
      </w:pPr>
      <w:r>
        <w:rPr>
          <w:rFonts w:hint="eastAsia" w:hAnsi="宋体" w:cs="宋体"/>
          <w:highlight w:val="none"/>
        </w:rPr>
        <w:t>南雄市地方税务局为韶关市地方税务局领导的直属机构，正科级。2015年南雄市地方税务局内设机构为办公室、税政股、征收管理股、人事教育股、监察室、纳税服务股。直属行政单位为稽查局（副科级），下设置4个正股级职能股（室），即办公室、稽查股、审理股、执行股。基层地方税务机构（副科级），即城区税务分局、附城税务分局、乌迳税务分局、珠玑税务分局、澜河税务分局。2015年南雄市地方税务局员工有116人。</w:t>
      </w:r>
    </w:p>
    <w:p w14:paraId="1F076ABD">
      <w:pPr>
        <w:pStyle w:val="4"/>
        <w:bidi w:val="0"/>
        <w:rPr>
          <w:rFonts w:hint="eastAsia"/>
          <w:highlight w:val="none"/>
        </w:rPr>
      </w:pPr>
      <w:r>
        <w:rPr>
          <w:rFonts w:hint="eastAsia"/>
          <w:highlight w:val="none"/>
        </w:rPr>
        <w:t>【税费收入】</w:t>
      </w:r>
    </w:p>
    <w:p w14:paraId="2FEBD7A1">
      <w:pPr>
        <w:rPr>
          <w:rFonts w:hint="eastAsia" w:hAnsi="宋体" w:cs="宋体"/>
          <w:highlight w:val="none"/>
        </w:rPr>
      </w:pPr>
      <w:r>
        <w:rPr>
          <w:rFonts w:hint="eastAsia" w:hAnsi="宋体" w:cs="宋体"/>
          <w:highlight w:val="none"/>
        </w:rPr>
        <w:t>2015年1—12月，税费收入为81136万元，同比减收66万元，下降0.08%。其中税收收入为47829万元，同比减收1442万元，下降2.93%。其他费金收入（不含社保）2903万元，同比增收150万元，增长5.45%。社保费收入30404万元，同比增收1226万元，增长4.2%。主要减收因素为烟草公司改制减少税收收入8000万元。</w:t>
      </w:r>
    </w:p>
    <w:p w14:paraId="47F4EE03">
      <w:pPr>
        <w:pStyle w:val="4"/>
        <w:bidi w:val="0"/>
        <w:rPr>
          <w:rFonts w:hint="eastAsia"/>
          <w:highlight w:val="none"/>
        </w:rPr>
      </w:pPr>
      <w:r>
        <w:rPr>
          <w:rFonts w:hint="eastAsia"/>
          <w:highlight w:val="none"/>
        </w:rPr>
        <w:t>【税收征管】</w:t>
      </w:r>
    </w:p>
    <w:p w14:paraId="20A6A100">
      <w:pPr>
        <w:rPr>
          <w:rFonts w:hint="eastAsia" w:hAnsi="宋体" w:cs="宋体"/>
          <w:highlight w:val="none"/>
        </w:rPr>
      </w:pPr>
      <w:r>
        <w:rPr>
          <w:rFonts w:hint="eastAsia" w:hAnsi="宋体" w:cs="宋体"/>
          <w:highlight w:val="none"/>
        </w:rPr>
        <w:t>房地产行业清理税费取得显著成绩。联合住建局、国土局、银行等单位，对房地产行业的销售情况和报建情况与纳税申报数据对碰，加强对历年欠税的清理。纳税评估工作增收明显。在总结2014年纳税评估工作经验的基础上，加大对占税收收入较大比重的建筑业、房地产业的纳税评估力度。构建完善的协税护税网络，税费增收作用明显。通过和南雄市协税护税办、各协税护税单位的合作，采取加强数据对碰获取涉税信息。此外，通过委托代征零散税源的方式，堵塞税收漏洞。</w:t>
      </w:r>
    </w:p>
    <w:p w14:paraId="6DC34337">
      <w:pPr>
        <w:pStyle w:val="4"/>
        <w:bidi w:val="0"/>
        <w:rPr>
          <w:rFonts w:hint="eastAsia"/>
          <w:highlight w:val="none"/>
        </w:rPr>
      </w:pPr>
      <w:r>
        <w:rPr>
          <w:rFonts w:hint="eastAsia"/>
          <w:highlight w:val="none"/>
        </w:rPr>
        <w:t>【队伍建设】</w:t>
      </w:r>
    </w:p>
    <w:p w14:paraId="52C54F54">
      <w:pPr>
        <w:rPr>
          <w:rFonts w:hint="eastAsia" w:hAnsi="宋体" w:cs="宋体"/>
          <w:highlight w:val="none"/>
        </w:rPr>
      </w:pPr>
      <w:r>
        <w:rPr>
          <w:rFonts w:hint="eastAsia" w:hAnsi="宋体" w:cs="宋体"/>
          <w:highlight w:val="none"/>
        </w:rPr>
        <w:t>通过绩效考核系统对全体干部职工履职、廉政、纪律、成长进行全面考核，促进工作人员的责任意识和履职能力提升。加强工作人员，特别是一线征收人员依法行政的意识，做到依法治税。加强对干部队伍培训，提升工作人员整体素质。利用局长接待日、局长信箱、连心桥等形式做好干部思想工作，了解工作人员思想动态与需求，解决干部职工困难。成立青年工作委员会，带动全体青年工作人员干事业的积极性与责任心。完善文体设施，丰富全局工作人员精神文化生活。</w:t>
      </w:r>
    </w:p>
    <w:p w14:paraId="30A086F3">
      <w:pPr>
        <w:pStyle w:val="4"/>
        <w:bidi w:val="0"/>
        <w:rPr>
          <w:rFonts w:hint="eastAsia"/>
          <w:highlight w:val="none"/>
        </w:rPr>
      </w:pPr>
      <w:r>
        <w:rPr>
          <w:rFonts w:hint="eastAsia"/>
          <w:highlight w:val="none"/>
        </w:rPr>
        <w:t>【党风廉政】</w:t>
      </w:r>
    </w:p>
    <w:p w14:paraId="6AFFF1A9">
      <w:pPr>
        <w:rPr>
          <w:rFonts w:hint="eastAsia" w:hAnsi="宋体" w:cs="宋体"/>
          <w:highlight w:val="none"/>
        </w:rPr>
      </w:pPr>
      <w:r>
        <w:rPr>
          <w:rFonts w:hint="eastAsia" w:hAnsi="宋体" w:cs="宋体"/>
          <w:highlight w:val="none"/>
        </w:rPr>
        <w:t>召开党风廉政建设工作会议，总结党风廉政建设工作情况，部署今年工作任务并进行任务分解，强化责任落实。纪检监察干部实行“三转”，全力聚焦监督主业。开展贯彻落实中央八项规定，坚决纠正“四风”问题专项整治。大力推进内控机制建设。通过召开内控机制建设联席会议</w:t>
      </w:r>
      <w:r>
        <w:rPr>
          <w:rFonts w:hint="eastAsia" w:hAnsi="宋体" w:cs="宋体"/>
          <w:highlight w:val="none"/>
          <w:lang w:eastAsia="zh-CN"/>
        </w:rPr>
        <w:t>，</w:t>
      </w:r>
      <w:r>
        <w:rPr>
          <w:rFonts w:hint="eastAsia" w:hAnsi="宋体" w:cs="宋体"/>
          <w:highlight w:val="none"/>
        </w:rPr>
        <w:t>分析排查廉政和执法风险</w:t>
      </w:r>
      <w:r>
        <w:rPr>
          <w:rFonts w:hint="eastAsia" w:hAnsi="宋体" w:cs="宋体"/>
          <w:highlight w:val="none"/>
          <w:lang w:eastAsia="zh-CN"/>
        </w:rPr>
        <w:t>，</w:t>
      </w:r>
      <w:r>
        <w:rPr>
          <w:rFonts w:hint="eastAsia" w:hAnsi="宋体" w:cs="宋体"/>
          <w:highlight w:val="none"/>
        </w:rPr>
        <w:t>做好税收风险防范。强化税收风险预警管理，消除涉税风险，全面提高履职防范风险能力。</w:t>
      </w:r>
    </w:p>
    <w:p w14:paraId="7BDA4A28">
      <w:pPr>
        <w:pStyle w:val="4"/>
        <w:bidi w:val="0"/>
        <w:rPr>
          <w:rFonts w:hint="eastAsia"/>
          <w:highlight w:val="none"/>
        </w:rPr>
      </w:pPr>
      <w:r>
        <w:rPr>
          <w:rFonts w:hint="eastAsia"/>
          <w:highlight w:val="none"/>
        </w:rPr>
        <w:t>【获得荣誉】</w:t>
      </w:r>
    </w:p>
    <w:p w14:paraId="234A12C3">
      <w:pPr>
        <w:rPr>
          <w:rFonts w:hint="eastAsia" w:hAnsi="宋体" w:eastAsia="宋体" w:cs="宋体"/>
          <w:highlight w:val="none"/>
          <w:lang w:eastAsia="zh-CN"/>
        </w:rPr>
      </w:pPr>
      <w:r>
        <w:rPr>
          <w:rFonts w:hint="eastAsia" w:hAnsi="宋体" w:cs="宋体"/>
          <w:highlight w:val="none"/>
        </w:rPr>
        <w:t>2015年，被南雄市人民政府评为“2014年度人口与计划生育工作先进单位”。（杨玉杰）</w:t>
      </w:r>
    </w:p>
    <w:p w14:paraId="6E0C3F83">
      <w:pPr>
        <w:rPr>
          <w:rFonts w:hint="eastAsia" w:hAnsi="宋体" w:eastAsia="宋体" w:cs="宋体"/>
          <w:highlight w:val="none"/>
          <w:lang w:eastAsia="zh-CN"/>
        </w:rPr>
      </w:pPr>
      <w:r>
        <w:rPr>
          <w:rFonts w:hint="eastAsia" w:hAnsi="宋体" w:cs="宋体"/>
          <w:highlight w:val="none"/>
        </w:rPr>
        <w:t>附：2015年市地税局领导班子成员名单</w:t>
      </w:r>
    </w:p>
    <w:p w14:paraId="05A09EC6">
      <w:pPr>
        <w:rPr>
          <w:rFonts w:hint="eastAsia" w:hAnsi="宋体" w:eastAsia="宋体" w:cs="宋体"/>
          <w:highlight w:val="none"/>
          <w:lang w:eastAsia="zh-CN"/>
        </w:rPr>
      </w:pPr>
      <w:r>
        <w:rPr>
          <w:rFonts w:hint="eastAsia" w:hAnsi="宋体" w:cs="宋体"/>
          <w:highlight w:val="none"/>
        </w:rPr>
        <w:t>党组书记、局长：刘文新</w:t>
      </w:r>
    </w:p>
    <w:p w14:paraId="632540C9">
      <w:pPr>
        <w:rPr>
          <w:rFonts w:hint="eastAsia" w:hAnsi="宋体" w:eastAsia="宋体" w:cs="宋体"/>
          <w:highlight w:val="none"/>
          <w:lang w:eastAsia="zh-CN"/>
        </w:rPr>
      </w:pPr>
      <w:r>
        <w:rPr>
          <w:rFonts w:hint="eastAsia" w:hAnsi="宋体" w:cs="宋体"/>
          <w:highlight w:val="none"/>
        </w:rPr>
        <w:t>党组副书记、主任科员：陈耀全</w:t>
      </w:r>
    </w:p>
    <w:p w14:paraId="6211532F">
      <w:pPr>
        <w:rPr>
          <w:rFonts w:hint="eastAsia" w:hAnsi="宋体" w:eastAsia="宋体" w:cs="宋体"/>
          <w:highlight w:val="none"/>
          <w:lang w:eastAsia="zh-CN"/>
        </w:rPr>
      </w:pPr>
      <w:r>
        <w:rPr>
          <w:rFonts w:hint="eastAsia" w:hAnsi="宋体" w:cs="宋体"/>
          <w:highlight w:val="none"/>
        </w:rPr>
        <w:t>党组成员、纪检组长：肖祝林</w:t>
      </w:r>
    </w:p>
    <w:p w14:paraId="20D0246C">
      <w:pPr>
        <w:rPr>
          <w:rFonts w:hint="eastAsia" w:hAnsi="宋体" w:eastAsia="宋体" w:cs="宋体"/>
          <w:highlight w:val="none"/>
          <w:lang w:eastAsia="zh-CN"/>
        </w:rPr>
      </w:pPr>
      <w:r>
        <w:rPr>
          <w:rFonts w:hint="eastAsia" w:hAnsi="宋体" w:cs="宋体"/>
          <w:highlight w:val="none"/>
        </w:rPr>
        <w:t>党组成员、副局长：郭慧虹 周平</w:t>
      </w:r>
    </w:p>
    <w:p w14:paraId="23E99E1A">
      <w:pPr>
        <w:pStyle w:val="3"/>
        <w:bidi w:val="0"/>
        <w:rPr>
          <w:rFonts w:hint="eastAsia" w:eastAsia="宋体"/>
          <w:highlight w:val="none"/>
          <w:lang w:eastAsia="zh-CN"/>
        </w:rPr>
      </w:pPr>
      <w:r>
        <w:rPr>
          <w:rFonts w:hint="eastAsia"/>
          <w:highlight w:val="none"/>
        </w:rPr>
        <w:t>中国人民银行南雄市支行</w:t>
      </w:r>
    </w:p>
    <w:p w14:paraId="4821AD8D">
      <w:pPr>
        <w:pStyle w:val="4"/>
        <w:bidi w:val="0"/>
        <w:rPr>
          <w:rFonts w:hint="eastAsia"/>
          <w:highlight w:val="none"/>
        </w:rPr>
      </w:pPr>
      <w:r>
        <w:rPr>
          <w:rFonts w:hint="eastAsia"/>
          <w:highlight w:val="none"/>
        </w:rPr>
        <w:t>【概况】</w:t>
      </w:r>
    </w:p>
    <w:p w14:paraId="5A44AC29">
      <w:pPr>
        <w:rPr>
          <w:rFonts w:hint="eastAsia" w:hAnsi="宋体" w:eastAsia="宋体" w:cs="宋体"/>
          <w:highlight w:val="none"/>
          <w:lang w:eastAsia="zh-CN"/>
        </w:rPr>
      </w:pPr>
      <w:r>
        <w:rPr>
          <w:rFonts w:hint="eastAsia" w:hAnsi="宋体" w:cs="宋体"/>
          <w:highlight w:val="none"/>
        </w:rPr>
        <w:t>2015年，中国人民银行南雄市支行在职员工24人，其中行长1人，副行长1人，主任科员1人，副主任科员1人，科员20人。内设“三股一室”4个职能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14:paraId="4E87F9FC">
      <w:pPr>
        <w:pStyle w:val="4"/>
        <w:bidi w:val="0"/>
        <w:rPr>
          <w:rFonts w:hint="eastAsia"/>
          <w:highlight w:val="none"/>
        </w:rPr>
      </w:pPr>
      <w:r>
        <w:rPr>
          <w:rFonts w:hint="eastAsia"/>
          <w:highlight w:val="none"/>
        </w:rPr>
        <w:t>【发展地方经济】</w:t>
      </w:r>
    </w:p>
    <w:p w14:paraId="2CC5430A">
      <w:pPr>
        <w:rPr>
          <w:rFonts w:hint="eastAsia" w:hAnsi="宋体" w:cs="宋体"/>
          <w:highlight w:val="none"/>
        </w:rPr>
      </w:pPr>
      <w:r>
        <w:rPr>
          <w:rFonts w:hint="eastAsia" w:hAnsi="宋体" w:cs="宋体"/>
          <w:highlight w:val="none"/>
        </w:rPr>
        <w:t>为南雄市经济全面协调发展提供金融支持意见，制定《2015年货币信贷指导意见》，并按时召开4次金融联席会议，加强政府、金融机构和企业间的联系沟通，提升货币政策实效；引导辖内金融机构与华电南雄热电联产工程、犁牛坪风电场、天润南雄百顺风电场等重点项目和产业对接，支持黄烟、粮食、辣椒等特色生态农业的发展、生态农庄的开办、生态旅游休闲观光项目开发，鼓励银行建立“小微企业贷款专营中心”；加强支农再贷款投放。2015年累计发放支农再贷款11890万元</w:t>
      </w:r>
      <w:r>
        <w:rPr>
          <w:rFonts w:hint="eastAsia" w:hAnsi="宋体" w:cs="宋体"/>
          <w:highlight w:val="none"/>
          <w:lang w:eastAsia="zh-CN"/>
        </w:rPr>
        <w:t>，</w:t>
      </w:r>
      <w:r>
        <w:rPr>
          <w:rFonts w:hint="eastAsia" w:hAnsi="宋体" w:cs="宋体"/>
          <w:highlight w:val="none"/>
        </w:rPr>
        <w:t>余额11890万元；开展中征应收账款融资服务平台注册融资工作，2015年完成10家债权人用户和3家资金提供方金融机构注册，并成交5笔盘活企业资金6320万元。</w:t>
      </w:r>
    </w:p>
    <w:p w14:paraId="2D445D24">
      <w:pPr>
        <w:rPr>
          <w:rFonts w:hint="eastAsia" w:hAnsi="宋体" w:cs="宋体"/>
          <w:highlight w:val="none"/>
        </w:rPr>
      </w:pPr>
      <w:r>
        <w:rPr>
          <w:rFonts w:hint="eastAsia" w:hAnsi="宋体" w:cs="宋体"/>
          <w:highlight w:val="none"/>
        </w:rPr>
        <w:t>2015年，南雄市生产总值125亿元，增长10.2%，经济总量在韶关县域经济中排名第一位；财政总收入突破29亿元，达到29.71亿元，地方公共财政预算收入6亿元；金融机构存款余额117.40亿元，增长11.83%；贷款余额49.58亿元，增长6.59%。</w:t>
      </w:r>
    </w:p>
    <w:p w14:paraId="1A9AA03E">
      <w:pPr>
        <w:pStyle w:val="4"/>
        <w:bidi w:val="0"/>
        <w:rPr>
          <w:rFonts w:hint="eastAsia"/>
          <w:highlight w:val="none"/>
        </w:rPr>
      </w:pPr>
      <w:r>
        <w:rPr>
          <w:rFonts w:hint="eastAsia"/>
          <w:highlight w:val="none"/>
        </w:rPr>
        <w:t>【金融改革创新】</w:t>
      </w:r>
    </w:p>
    <w:p w14:paraId="43FE94E4">
      <w:pPr>
        <w:rPr>
          <w:rFonts w:hint="eastAsia" w:hAnsi="宋体" w:cs="宋体"/>
          <w:highlight w:val="none"/>
        </w:rPr>
      </w:pPr>
      <w:r>
        <w:rPr>
          <w:rFonts w:hint="eastAsia" w:hAnsi="宋体" w:cs="宋体"/>
          <w:highlight w:val="none"/>
        </w:rPr>
        <w:t>推进以联合征信中心、信用村、金融服务站、乡村助农取款点，农村产权抵押担保贷款、“政银保”合作农业贷款、妇女小额担保财政贴息贷款、金融扶贫贷款等“八项行动”为主要内容的农村普惠金融试点建设：</w:t>
      </w:r>
    </w:p>
    <w:p w14:paraId="26D2E200">
      <w:pPr>
        <w:rPr>
          <w:rFonts w:hint="eastAsia" w:hAnsi="宋体" w:cs="宋体"/>
          <w:highlight w:val="none"/>
        </w:rPr>
      </w:pPr>
      <w:r>
        <w:rPr>
          <w:rFonts w:hint="eastAsia" w:hAnsi="宋体" w:cs="宋体"/>
          <w:highlight w:val="none"/>
        </w:rPr>
        <w:t>成立南雄市普惠金融工作领导小组和督办工作小组，建立4项具体实施办法，并健全完善相关工作机制。</w:t>
      </w:r>
    </w:p>
    <w:p w14:paraId="670B27F7">
      <w:pPr>
        <w:rPr>
          <w:rFonts w:hint="eastAsia" w:hAnsi="宋体" w:cs="宋体"/>
          <w:highlight w:val="none"/>
        </w:rPr>
      </w:pPr>
      <w:r>
        <w:rPr>
          <w:rFonts w:hint="eastAsia" w:hAnsi="宋体" w:cs="宋体"/>
          <w:highlight w:val="none"/>
        </w:rPr>
        <w:t>实现辖区208个村（225个服务点）助农取款金额500余万元，惠农26万余人，交易金额及交易量均名列全辖第一。推进30个农村金融综合服务站建设，站点遍布各镇。顺利通过广东省农村普惠金融工作试点工作验收考核，并获得省考核验收组的高度评价，取得验收考核综合评分96分高分。</w:t>
      </w:r>
    </w:p>
    <w:p w14:paraId="670FCCE2">
      <w:pPr>
        <w:rPr>
          <w:rFonts w:hint="eastAsia" w:hAnsi="宋体" w:cs="宋体"/>
          <w:highlight w:val="none"/>
        </w:rPr>
      </w:pPr>
      <w:r>
        <w:rPr>
          <w:rFonts w:hint="eastAsia" w:hAnsi="宋体" w:cs="宋体"/>
          <w:highlight w:val="none"/>
        </w:rPr>
        <w:t>狠完善征信中心各项设施建设，实现14个政府部门、6家金融机构、156家中小企业、15家信用“星级企业”、83个信用村、439户信用户的信用信息连接南雄政府网络平台，作为社会资源共享；推进信用村、信用户创建工作，在全市18个镇</w:t>
      </w:r>
      <w:r>
        <w:rPr>
          <w:rFonts w:hint="eastAsia" w:hAnsi="宋体" w:cs="宋体"/>
          <w:highlight w:val="none"/>
          <w:lang w:eastAsia="zh-CN"/>
        </w:rPr>
        <w:t>（</w:t>
      </w:r>
      <w:r>
        <w:rPr>
          <w:rFonts w:hint="eastAsia" w:hAnsi="宋体" w:cs="宋体"/>
          <w:highlight w:val="none"/>
        </w:rPr>
        <w:t>街道</w:t>
      </w:r>
      <w:r>
        <w:rPr>
          <w:rFonts w:hint="eastAsia" w:hAnsi="宋体" w:cs="宋体"/>
          <w:highlight w:val="none"/>
          <w:lang w:eastAsia="zh-CN"/>
        </w:rPr>
        <w:t>）</w:t>
      </w:r>
      <w:r>
        <w:rPr>
          <w:rFonts w:hint="eastAsia" w:hAnsi="宋体" w:cs="宋体"/>
          <w:highlight w:val="none"/>
        </w:rPr>
        <w:t>已初步完成创建信用村183个，占行政村总数的88%，创建信用户64030户，将信用村、信用户创建工作纳入村级综合考核，涉农金融机构在信贷方面给予信用户重点支持；组织召开助农取款专项资金发放启动仪式暨优质商户表彰大会，对全市212个点的商户发放专项补贴资金125058.8元，对3家涉农金融机构评选出的30名优质商户进行表彰。</w:t>
      </w:r>
    </w:p>
    <w:p w14:paraId="726E7FE1">
      <w:pPr>
        <w:rPr>
          <w:rFonts w:hint="eastAsia" w:hAnsi="宋体" w:cs="宋体"/>
          <w:highlight w:val="none"/>
          <w:vertAlign w:val="baseline"/>
        </w:rPr>
      </w:pPr>
      <w:r>
        <w:rPr>
          <w:rFonts w:hint="eastAsia" w:hAnsi="宋体" w:cs="宋体"/>
          <w:highlight w:val="none"/>
        </w:rPr>
        <w:t>联合邮政局、邮储银行在油山镇农村金融综合服务站、珠玑镇助农取款点开办农村电子商务业务。</w:t>
      </w:r>
    </w:p>
    <w:p w14:paraId="46E2CB99">
      <w:pPr>
        <w:rPr>
          <w:rFonts w:hint="eastAsia" w:hAnsi="宋体" w:cs="宋体"/>
          <w:highlight w:val="none"/>
        </w:rPr>
      </w:pPr>
      <w:r>
        <w:rPr>
          <w:rFonts w:hint="eastAsia" w:hAnsi="宋体" w:cs="宋体"/>
          <w:highlight w:val="none"/>
        </w:rPr>
        <w:t>制定《南雄市手机银行支付业务推广实施方案》，推动手机银行“进景区、进农贸市场、进农业种植基地、进农村专业合作社、进粮仓、进助农取款服务点”。</w:t>
      </w:r>
    </w:p>
    <w:p w14:paraId="474930AE">
      <w:pPr>
        <w:rPr>
          <w:rFonts w:hint="eastAsia" w:hAnsi="宋体" w:cs="宋体"/>
          <w:highlight w:val="none"/>
        </w:rPr>
      </w:pPr>
      <w:r>
        <w:rPr>
          <w:rFonts w:hint="eastAsia" w:hAnsi="宋体" w:cs="宋体"/>
          <w:highlight w:val="none"/>
        </w:rPr>
        <w:t>创建南雄—江西大余跨区域金融合作模式。2015年6月，南雄支行联合江西大余支行在乌迳镇墟场举办“粤赣跨区域（南雄·大余）支付安全知识宣传活动”引起强烈反响，韶关中支万里滨行长、关艳芬副行长、南雄市政府袁元桃副市长、赣州中支赖红栋工会主任等领导亲临活动现场。南雄、大余两地金融工作人员80人参加并积极面向群众展开支付知识宣传，发放宣传资料2000多份，接受咨询1000多人次。并在大余县新城镇墟场联合举办“赣粤跨区域（大余·南雄）反假货币宣传活动”，推进跨区域反假货币工作协作。</w:t>
      </w:r>
    </w:p>
    <w:p w14:paraId="0077D163">
      <w:pPr>
        <w:rPr>
          <w:rFonts w:hint="eastAsia" w:hAnsi="宋体" w:cs="宋体"/>
          <w:highlight w:val="none"/>
        </w:rPr>
      </w:pPr>
      <w:r>
        <w:rPr>
          <w:rFonts w:hint="eastAsia" w:hAnsi="宋体" w:cs="宋体"/>
          <w:highlight w:val="none"/>
        </w:rPr>
        <w:t>在珠玑镇试点国库直接办理乡镇国库集中支付业务，并与财政部门联合印发《南雄乡镇国库集中支付制度改革试点工作实施方案》。2015年6月实现首批资金成功拨付，率先在全省范围内开展国库直接办理乡镇国库集中支付改革试点工作并取得阶段性成果</w:t>
      </w:r>
      <w:r>
        <w:rPr>
          <w:rFonts w:hint="eastAsia" w:hAnsi="宋体" w:cs="宋体"/>
          <w:highlight w:val="none"/>
          <w:lang w:eastAsia="zh-CN"/>
        </w:rPr>
        <w:t>，</w:t>
      </w:r>
      <w:r>
        <w:rPr>
          <w:rFonts w:hint="eastAsia" w:hAnsi="宋体" w:cs="宋体"/>
          <w:highlight w:val="none"/>
        </w:rPr>
        <w:t>相关调研文章也被分行国库处、总行国库局刊载。</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D2D7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0896083">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92350"/>
                  <wp:effectExtent l="0" t="0" r="8890" b="12700"/>
                  <wp:docPr id="87" name="图片 247" descr="金融时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7" descr="金融时报"/>
                          <pic:cNvPicPr>
                            <a:picLocks noChangeAspect="1"/>
                          </pic:cNvPicPr>
                        </pic:nvPicPr>
                        <pic:blipFill>
                          <a:blip r:embed="rId92"/>
                          <a:stretch>
                            <a:fillRect/>
                          </a:stretch>
                        </pic:blipFill>
                        <pic:spPr>
                          <a:xfrm>
                            <a:off x="0" y="0"/>
                            <a:ext cx="3420110" cy="2292350"/>
                          </a:xfrm>
                          <a:prstGeom prst="rect">
                            <a:avLst/>
                          </a:prstGeom>
                          <a:noFill/>
                          <a:ln>
                            <a:noFill/>
                          </a:ln>
                        </pic:spPr>
                      </pic:pic>
                    </a:graphicData>
                  </a:graphic>
                </wp:inline>
              </w:drawing>
            </w:r>
          </w:p>
        </w:tc>
      </w:tr>
      <w:tr w14:paraId="1E6D1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D88E1D4">
            <w:pPr>
              <w:jc w:val="center"/>
              <w:rPr>
                <w:rFonts w:hint="eastAsia" w:hAnsi="宋体" w:cs="宋体"/>
                <w:highlight w:val="none"/>
                <w:vertAlign w:val="baseline"/>
              </w:rPr>
            </w:pPr>
            <w:r>
              <w:rPr>
                <w:rFonts w:hint="eastAsia" w:hAnsi="宋体" w:cs="宋体"/>
                <w:highlight w:val="none"/>
                <w:vertAlign w:val="baseline"/>
              </w:rPr>
              <w:t>召开农村支付环境建设座谈会</w:t>
            </w:r>
          </w:p>
        </w:tc>
      </w:tr>
    </w:tbl>
    <w:p w14:paraId="69846187">
      <w:pPr>
        <w:pStyle w:val="4"/>
        <w:bidi w:val="0"/>
        <w:rPr>
          <w:rFonts w:hint="eastAsia"/>
          <w:highlight w:val="none"/>
        </w:rPr>
      </w:pPr>
      <w:r>
        <w:rPr>
          <w:rFonts w:hint="eastAsia"/>
          <w:highlight w:val="none"/>
        </w:rPr>
        <w:t>【外汇管理改革】</w:t>
      </w:r>
    </w:p>
    <w:p w14:paraId="76F134D2">
      <w:pPr>
        <w:rPr>
          <w:rFonts w:hint="eastAsia" w:hAnsi="宋体" w:cs="宋体"/>
          <w:highlight w:val="none"/>
        </w:rPr>
      </w:pPr>
      <w:r>
        <w:rPr>
          <w:rFonts w:hint="eastAsia" w:hAnsi="宋体" w:cs="宋体"/>
          <w:highlight w:val="none"/>
        </w:rPr>
        <w:t>深入外贸进出口企业实地调研、开展对结售汇指定银行约见谈话等方式推动跨境人民币结算业务开展。2015年完成跨境人民币结算业务43笔，金额1015.06万元；推广实施货物贸易外汇管理改革，取消货物贸易出口收汇核销制，认真履行外汇业务“展业三原则”。</w:t>
      </w:r>
    </w:p>
    <w:p w14:paraId="3090778A">
      <w:pPr>
        <w:pStyle w:val="4"/>
        <w:bidi w:val="0"/>
        <w:rPr>
          <w:rFonts w:hint="eastAsia"/>
          <w:highlight w:val="none"/>
        </w:rPr>
      </w:pPr>
      <w:r>
        <w:rPr>
          <w:rFonts w:hint="eastAsia"/>
          <w:highlight w:val="none"/>
        </w:rPr>
        <w:t>【维护辖区金融稳定】</w:t>
      </w:r>
    </w:p>
    <w:p w14:paraId="6E5BB1B1">
      <w:pPr>
        <w:rPr>
          <w:rFonts w:hint="eastAsia" w:hAnsi="宋体" w:cs="宋体"/>
          <w:highlight w:val="none"/>
        </w:rPr>
      </w:pPr>
      <w:r>
        <w:rPr>
          <w:rFonts w:hint="eastAsia" w:hAnsi="宋体" w:cs="宋体"/>
          <w:highlight w:val="none"/>
        </w:rPr>
        <w:t>加大对地方经济金融风险预测，2015年3月完成对农信社经营稳定性评估；密切关注金融机构不良贷款风险情况，特别加强对农信社不良贷款监测，并针对其不良贷款上升问题及时约谈农信社高管，督促其制定工作措施；对存款保险保费缴纳投保资料严格审核，完成农信社上半年缴存工作；加强贷款利率放开后及准备金下调后的监测工作；做好金融重大事项和信息报送工作，及时报告和处置各类金融风险，确保辖区金融安全。</w:t>
      </w:r>
    </w:p>
    <w:p w14:paraId="408B27A4">
      <w:pPr>
        <w:pStyle w:val="4"/>
        <w:bidi w:val="0"/>
        <w:rPr>
          <w:rFonts w:hint="eastAsia"/>
          <w:highlight w:val="none"/>
        </w:rPr>
      </w:pPr>
      <w:r>
        <w:rPr>
          <w:rFonts w:hint="eastAsia"/>
          <w:highlight w:val="none"/>
        </w:rPr>
        <w:t>【加强金融管理和服务】</w:t>
      </w:r>
    </w:p>
    <w:p w14:paraId="093A9E7B">
      <w:pPr>
        <w:rPr>
          <w:rFonts w:hint="eastAsia" w:hAnsi="宋体" w:cs="宋体"/>
          <w:highlight w:val="none"/>
        </w:rPr>
      </w:pPr>
      <w:r>
        <w:rPr>
          <w:rFonts w:hint="eastAsia" w:hAnsi="宋体" w:cs="宋体"/>
          <w:highlight w:val="none"/>
        </w:rPr>
        <w:t>推进反假货币工作。联合开展打击假币犯罪专项行动，净化人民币流通环境。2015年收缴假币1235张，金额95700元。据实制定新版人民币100元券发行宣传</w:t>
      </w:r>
    </w:p>
    <w:p w14:paraId="64393003">
      <w:pPr>
        <w:rPr>
          <w:rFonts w:hint="eastAsia" w:hAnsi="宋体" w:cs="宋体"/>
          <w:highlight w:val="none"/>
        </w:rPr>
      </w:pPr>
      <w:r>
        <w:rPr>
          <w:rFonts w:hint="eastAsia" w:hAnsi="宋体" w:cs="宋体"/>
          <w:highlight w:val="none"/>
        </w:rPr>
        <w:t>工作方案，开展宣传工作；依法合规管理人民币账户。做好身份信息真实性核查验收，认真开展突发事件应急演练。2015年办理人民币账户开立、撤销及变更1170户；加强反洗钱工作。组织开展法人金融机构的洗钱风险自评估，实施反洗钱监管走访和约谈，做好调查文书资料定密工作；征信工作，安排专人开展广东农户信息采集、为群众办理个人信用信息查询。2015年采集农户信息966户、农户贷款541笔金额1909.77万元，为南雄群众617人免费提供个人信用信息查询；强化国库管理。在国债发行期间，组织开展宣传并对国债发行、兑付工作进行巡查督导，制定国债下乡工作方案，实现南雄农村地区凭证式国债销售零突破。开展“人民银行经理国库30年”系列宣传活动，组织员工和其他支行组队参加韶关辩论赛勇夺第一；开展公益活动，组织“爱心帮扶互助金”“广东扶贫济困日”等捐款活动募捐5330元，对帮扶村13户贫困户和村委会发放慰问金3100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01DA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71823B9">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411095"/>
                  <wp:effectExtent l="0" t="0" r="8890" b="8255"/>
                  <wp:docPr id="88" name="图片 249" descr="八项行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49" descr="八项行动"/>
                          <pic:cNvPicPr>
                            <a:picLocks noChangeAspect="1"/>
                          </pic:cNvPicPr>
                        </pic:nvPicPr>
                        <pic:blipFill>
                          <a:blip r:embed="rId93"/>
                          <a:stretch>
                            <a:fillRect/>
                          </a:stretch>
                        </pic:blipFill>
                        <pic:spPr>
                          <a:xfrm>
                            <a:off x="0" y="0"/>
                            <a:ext cx="3420110" cy="2411095"/>
                          </a:xfrm>
                          <a:prstGeom prst="rect">
                            <a:avLst/>
                          </a:prstGeom>
                          <a:noFill/>
                          <a:ln>
                            <a:noFill/>
                          </a:ln>
                        </pic:spPr>
                      </pic:pic>
                    </a:graphicData>
                  </a:graphic>
                </wp:inline>
              </w:drawing>
            </w:r>
          </w:p>
        </w:tc>
      </w:tr>
      <w:tr w14:paraId="5FDC3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7282E92">
            <w:pPr>
              <w:jc w:val="center"/>
              <w:rPr>
                <w:rFonts w:hint="eastAsia" w:hAnsi="宋体" w:cs="宋体"/>
                <w:highlight w:val="none"/>
                <w:vertAlign w:val="baseline"/>
              </w:rPr>
            </w:pPr>
            <w:r>
              <w:rPr>
                <w:rFonts w:hint="eastAsia" w:hAnsi="宋体" w:cs="宋体"/>
                <w:highlight w:val="none"/>
                <w:vertAlign w:val="baseline"/>
              </w:rPr>
              <w:t>广东省人民政府金融办等领导到南雄市开展农村普惠金融试点“八项行动”督导检查工作</w:t>
            </w:r>
          </w:p>
        </w:tc>
      </w:tr>
    </w:tbl>
    <w:p w14:paraId="0F6A1C76">
      <w:pPr>
        <w:pStyle w:val="4"/>
        <w:bidi w:val="0"/>
        <w:rPr>
          <w:rFonts w:hint="eastAsia"/>
          <w:highlight w:val="none"/>
        </w:rPr>
      </w:pPr>
      <w:r>
        <w:rPr>
          <w:rFonts w:hint="eastAsia"/>
          <w:highlight w:val="none"/>
        </w:rPr>
        <w:t>【强化作风建设和内部管理】</w:t>
      </w:r>
    </w:p>
    <w:p w14:paraId="73CB1ADF">
      <w:pPr>
        <w:ind w:firstLine="420"/>
        <w:rPr>
          <w:rFonts w:hint="eastAsia" w:hAnsi="宋体" w:cs="宋体"/>
          <w:highlight w:val="none"/>
        </w:rPr>
      </w:pPr>
      <w:r>
        <w:rPr>
          <w:rFonts w:hint="eastAsia" w:hAnsi="宋体" w:cs="宋体"/>
          <w:highlight w:val="none"/>
        </w:rPr>
        <w:t>组织开展“三严三实”、“法规、制度、纪律教育学习月”和“建设法治央行，强化‘两个责任’落实年”等系列专题教育活动；加强党风廉政建设，组织全体党员领导干部参观革命旧址缅怀革命先烈、参加警示教育活动敲响党员思想警钟、开展《党章》知识测试强化党员思想意识、听取专题党课升华党员思想境界，并完善学习制度、开展廉政座谈、强化风险监督，构建反腐倡廉和预防腐败免疫系统；开展争先创优工作，2015年南雄支行荣获2012—2014年度韶关中支文明单位称号，会计国库股则保持广州分行“青年文明号”称号；制定支行工作统计与督办制度；建立支行青年工作小组，不定期组织跨部门学习锻炼，提升青年员工的综合素质；搞好干部选拔，解决支行股室负责人空岗问题。2015年9月将2名工作能力和业绩突出副股干部提拔为办公室和会计国库股负责人；履行领导干部保密工作责任制；强化安全保卫工作，规范财务管理，开展办公用房清理，推进节能减排等工作，加强支行内部管理。（李荣林）</w:t>
      </w:r>
    </w:p>
    <w:p w14:paraId="59B2E957">
      <w:pPr>
        <w:rPr>
          <w:rFonts w:hint="eastAsia" w:hAnsi="宋体" w:eastAsia="宋体" w:cs="宋体"/>
          <w:b w:val="0"/>
          <w:bCs w:val="0"/>
          <w:highlight w:val="none"/>
          <w:lang w:eastAsia="zh-CN"/>
        </w:rPr>
      </w:pPr>
      <w:r>
        <w:rPr>
          <w:rFonts w:hint="eastAsia" w:hAnsi="宋体" w:cs="宋体"/>
          <w:b w:val="0"/>
          <w:bCs w:val="0"/>
          <w:highlight w:val="none"/>
        </w:rPr>
        <w:t>附：2015年人民银行南雄市支行领导班子成员名单</w:t>
      </w:r>
    </w:p>
    <w:p w14:paraId="2847123F">
      <w:pPr>
        <w:rPr>
          <w:rFonts w:hint="eastAsia" w:hAnsi="宋体" w:eastAsia="宋体" w:cs="宋体"/>
          <w:b w:val="0"/>
          <w:bCs w:val="0"/>
          <w:highlight w:val="none"/>
          <w:lang w:eastAsia="zh-CN"/>
        </w:rPr>
      </w:pPr>
      <w:r>
        <w:rPr>
          <w:rFonts w:hint="eastAsia" w:hAnsi="宋体" w:cs="宋体"/>
          <w:b w:val="0"/>
          <w:bCs w:val="0"/>
          <w:highlight w:val="none"/>
        </w:rPr>
        <w:t>行</w:t>
      </w:r>
      <w:r>
        <w:rPr>
          <w:rFonts w:hint="eastAsia" w:hAnsi="宋体" w:cs="宋体"/>
          <w:b w:val="0"/>
          <w:bCs w:val="0"/>
          <w:highlight w:val="none"/>
          <w:lang w:val="en-US" w:eastAsia="zh-CN"/>
        </w:rPr>
        <w:t xml:space="preserve">  </w:t>
      </w:r>
      <w:r>
        <w:rPr>
          <w:rFonts w:hint="eastAsia" w:hAnsi="宋体" w:cs="宋体"/>
          <w:b w:val="0"/>
          <w:bCs w:val="0"/>
          <w:highlight w:val="none"/>
        </w:rPr>
        <w:t>长：杨乾</w:t>
      </w:r>
    </w:p>
    <w:p w14:paraId="42ECDE55">
      <w:pPr>
        <w:rPr>
          <w:rFonts w:hint="eastAsia" w:hAnsi="宋体" w:eastAsia="宋体" w:cs="宋体"/>
          <w:highlight w:val="none"/>
          <w:lang w:eastAsia="zh-CN"/>
        </w:rPr>
      </w:pPr>
      <w:r>
        <w:rPr>
          <w:rFonts w:hint="eastAsia" w:hAnsi="宋体" w:cs="宋体"/>
          <w:b w:val="0"/>
          <w:bCs w:val="0"/>
          <w:highlight w:val="none"/>
        </w:rPr>
        <w:t>副行长：利保</w:t>
      </w:r>
      <w:r>
        <w:rPr>
          <w:rFonts w:hint="eastAsia" w:hAnsi="宋体" w:cs="宋体"/>
          <w:highlight w:val="none"/>
        </w:rPr>
        <w:t>建</w:t>
      </w:r>
    </w:p>
    <w:p w14:paraId="151CD61B">
      <w:pPr>
        <w:rPr>
          <w:rFonts w:hint="eastAsia" w:hAnsi="宋体" w:eastAsia="宋体" w:cs="宋体"/>
          <w:highlight w:val="none"/>
          <w:lang w:eastAsia="zh-CN"/>
        </w:rPr>
      </w:pPr>
      <w:r>
        <w:rPr>
          <w:rFonts w:hint="eastAsia" w:hAnsi="宋体" w:cs="宋体"/>
          <w:highlight w:val="none"/>
        </w:rPr>
        <w:t>主任科员：温为阳</w:t>
      </w:r>
    </w:p>
    <w:p w14:paraId="7C3CB8B8">
      <w:pPr>
        <w:rPr>
          <w:rFonts w:hint="eastAsia" w:hAnsi="宋体" w:eastAsia="宋体" w:cs="宋体"/>
          <w:highlight w:val="none"/>
          <w:lang w:eastAsia="zh-CN"/>
        </w:rPr>
      </w:pPr>
      <w:r>
        <w:rPr>
          <w:rFonts w:hint="eastAsia" w:hAnsi="宋体" w:cs="宋体"/>
          <w:highlight w:val="none"/>
        </w:rPr>
        <w:t>副主任科员：刘小珊</w:t>
      </w:r>
    </w:p>
    <w:p w14:paraId="58885B37">
      <w:pPr>
        <w:pStyle w:val="3"/>
        <w:bidi w:val="0"/>
        <w:rPr>
          <w:rFonts w:hint="eastAsia"/>
          <w:highlight w:val="none"/>
        </w:rPr>
      </w:pPr>
      <w:r>
        <w:rPr>
          <w:rFonts w:hint="eastAsia"/>
          <w:highlight w:val="none"/>
        </w:rPr>
        <w:t>中国工商银行股份有限公司南雄支行</w:t>
      </w:r>
    </w:p>
    <w:p w14:paraId="08098024">
      <w:pPr>
        <w:pStyle w:val="4"/>
        <w:bidi w:val="0"/>
        <w:rPr>
          <w:rFonts w:hint="eastAsia"/>
          <w:highlight w:val="none"/>
        </w:rPr>
      </w:pPr>
      <w:r>
        <w:rPr>
          <w:rFonts w:hint="eastAsia"/>
          <w:highlight w:val="none"/>
        </w:rPr>
        <w:t>【概况】</w:t>
      </w:r>
    </w:p>
    <w:p w14:paraId="2D944333">
      <w:pPr>
        <w:rPr>
          <w:rFonts w:hint="eastAsia" w:hAnsi="宋体" w:cs="宋体"/>
          <w:highlight w:val="none"/>
        </w:rPr>
      </w:pPr>
      <w:r>
        <w:rPr>
          <w:rFonts w:hint="eastAsia" w:hAnsi="宋体" w:cs="宋体"/>
          <w:highlight w:val="none"/>
        </w:rPr>
        <w:t>中国工商银行股份有限公司南雄支行于1985年1月1日正式从中国人民银行分立。支行本部位于南雄市浈江路8号，经2012年装修后，支行已成为现代化多功能集一体的一流金融网点，辖属1个营业部和1个二级支行（建设支行），全行在编员工26人，辖内网点ATM自助银行设施11台（其中：金叶大道自助设备2台，乐华陶瓷厂1台）。南雄工行贯彻国家支持中小企业发展的政策精神，致力于向中小企业客户提供金融服务，围绕南雄市政府经济兴市战略，加大信贷投入，支持当地的中小企业，加大对一期、二期珠玑工业园企业的融资力度。南雄工行坚持个人金融和公司业务同发展，以发展带转型，以转型促发展，打造新常态下的竞争新优势，建设一流现代金融行业。</w:t>
      </w:r>
    </w:p>
    <w:p w14:paraId="021264E6">
      <w:pPr>
        <w:pStyle w:val="4"/>
        <w:bidi w:val="0"/>
        <w:rPr>
          <w:rFonts w:hint="eastAsia"/>
          <w:highlight w:val="none"/>
        </w:rPr>
      </w:pPr>
      <w:r>
        <w:rPr>
          <w:rFonts w:hint="eastAsia"/>
          <w:highlight w:val="none"/>
        </w:rPr>
        <w:t>【主要业务】</w:t>
      </w:r>
    </w:p>
    <w:p w14:paraId="1A7C0C8E">
      <w:pPr>
        <w:rPr>
          <w:rFonts w:hint="eastAsia" w:hAnsi="宋体" w:cs="宋体"/>
          <w:highlight w:val="none"/>
        </w:rPr>
      </w:pPr>
      <w:r>
        <w:rPr>
          <w:rFonts w:hint="eastAsia" w:hAnsi="宋体" w:cs="宋体"/>
          <w:highlight w:val="none"/>
        </w:rPr>
        <w:t>中国工商银行股份有限公司南雄支行有存款、贷款、银行卡、票据业务、外汇业务、结算服务、个人理财、企业理财、企业年金业务、网上银行、电话银行、手机银行、分期付款、网贷通等各种金融服务。截至2015年末，本外币各项存款余额103392.67万元，本外币各项贷款余额19500.51万元，实现拨备前账面利润2298万元。</w:t>
      </w:r>
    </w:p>
    <w:p w14:paraId="699A2B30">
      <w:pPr>
        <w:rPr>
          <w:rFonts w:hint="eastAsia" w:hAnsi="宋体" w:eastAsia="宋体" w:cs="宋体"/>
          <w:b w:val="0"/>
          <w:bCs w:val="0"/>
          <w:highlight w:val="none"/>
          <w:lang w:eastAsia="zh-CN"/>
        </w:rPr>
      </w:pPr>
      <w:r>
        <w:rPr>
          <w:rFonts w:hint="eastAsia" w:hAnsi="宋体" w:cs="宋体"/>
          <w:b w:val="0"/>
          <w:bCs w:val="0"/>
          <w:highlight w:val="none"/>
        </w:rPr>
        <w:t>附：2015年中国工商银行股份有限公司南雄支行领导班子成员名单</w:t>
      </w:r>
    </w:p>
    <w:p w14:paraId="6A8A6433">
      <w:pPr>
        <w:rPr>
          <w:rFonts w:hint="eastAsia" w:hAnsi="宋体" w:eastAsia="宋体" w:cs="宋体"/>
          <w:highlight w:val="none"/>
          <w:lang w:eastAsia="zh-CN"/>
        </w:rPr>
      </w:pPr>
      <w:r>
        <w:rPr>
          <w:rFonts w:hint="eastAsia" w:hAnsi="宋体" w:cs="宋体"/>
          <w:b w:val="0"/>
          <w:bCs w:val="0"/>
          <w:highlight w:val="none"/>
        </w:rPr>
        <w:t>行</w:t>
      </w:r>
      <w:r>
        <w:rPr>
          <w:rFonts w:hint="eastAsia" w:hAnsi="宋体" w:cs="宋体"/>
          <w:b w:val="0"/>
          <w:bCs w:val="0"/>
          <w:highlight w:val="none"/>
          <w:lang w:val="en-US" w:eastAsia="zh-CN"/>
        </w:rPr>
        <w:t xml:space="preserve">  </w:t>
      </w:r>
      <w:r>
        <w:rPr>
          <w:rFonts w:hint="eastAsia" w:hAnsi="宋体" w:cs="宋体"/>
          <w:b w:val="0"/>
          <w:bCs w:val="0"/>
          <w:highlight w:val="none"/>
        </w:rPr>
        <w:t>长：肖兴</w:t>
      </w:r>
      <w:r>
        <w:rPr>
          <w:rFonts w:hint="eastAsia" w:hAnsi="宋体" w:cs="宋体"/>
          <w:highlight w:val="none"/>
        </w:rPr>
        <w:t>祥</w:t>
      </w:r>
    </w:p>
    <w:p w14:paraId="17E3154A">
      <w:pPr>
        <w:rPr>
          <w:rFonts w:hint="eastAsia" w:hAnsi="宋体" w:eastAsia="宋体" w:cs="宋体"/>
          <w:highlight w:val="none"/>
          <w:lang w:eastAsia="zh-CN"/>
        </w:rPr>
      </w:pPr>
      <w:r>
        <w:rPr>
          <w:rFonts w:hint="eastAsia" w:hAnsi="宋体" w:cs="宋体"/>
          <w:highlight w:val="none"/>
        </w:rPr>
        <w:t>副行长：赖国庆 叶宏昌</w:t>
      </w:r>
    </w:p>
    <w:p w14:paraId="1657E4D0">
      <w:pPr>
        <w:pStyle w:val="3"/>
        <w:bidi w:val="0"/>
        <w:rPr>
          <w:rFonts w:hint="eastAsia" w:eastAsia="宋体"/>
          <w:highlight w:val="none"/>
          <w:lang w:eastAsia="zh-CN"/>
        </w:rPr>
      </w:pPr>
      <w:r>
        <w:rPr>
          <w:rFonts w:hint="eastAsia"/>
          <w:highlight w:val="none"/>
        </w:rPr>
        <w:t>中国农业银行股份有限公司南雄支行</w:t>
      </w:r>
    </w:p>
    <w:p w14:paraId="463C758D">
      <w:pPr>
        <w:pStyle w:val="4"/>
        <w:bidi w:val="0"/>
        <w:rPr>
          <w:rFonts w:hint="eastAsia"/>
          <w:highlight w:val="none"/>
        </w:rPr>
      </w:pPr>
      <w:r>
        <w:rPr>
          <w:rFonts w:hint="eastAsia"/>
          <w:highlight w:val="none"/>
        </w:rPr>
        <w:t>【概况】</w:t>
      </w:r>
    </w:p>
    <w:p w14:paraId="6BFC5F74">
      <w:pPr>
        <w:rPr>
          <w:rFonts w:hint="eastAsia" w:hAnsi="宋体" w:cs="宋体"/>
          <w:highlight w:val="none"/>
        </w:rPr>
      </w:pPr>
      <w:r>
        <w:rPr>
          <w:rFonts w:hint="eastAsia" w:hAnsi="宋体" w:cs="宋体"/>
          <w:highlight w:val="none"/>
        </w:rPr>
        <w:t>中国农业银行股份有限公司南雄市支行（简称：中国农业银行南雄市支行），辖属营业部1个、二级支行4个（雄州支行、雄东支行、沿江支行和全安支行），内设部门3个（综合管理部、客户部和风险管理部），全行在职员工77人，辖内自助银行设备19台</w:t>
      </w:r>
      <w:r>
        <w:rPr>
          <w:rFonts w:hint="eastAsia" w:hAnsi="宋体" w:cs="宋体"/>
          <w:highlight w:val="none"/>
          <w:lang w:eastAsia="zh-CN"/>
        </w:rPr>
        <w:t>（</w:t>
      </w:r>
      <w:r>
        <w:rPr>
          <w:rFonts w:hint="eastAsia" w:hAnsi="宋体" w:cs="宋体"/>
          <w:highlight w:val="none"/>
        </w:rPr>
        <w:t>其中：存取款一体机17台、ATM存款机2台）。2015年</w:t>
      </w:r>
      <w:r>
        <w:rPr>
          <w:rFonts w:hint="eastAsia" w:hAnsi="宋体" w:cs="宋体"/>
          <w:highlight w:val="none"/>
          <w:lang w:eastAsia="zh-CN"/>
        </w:rPr>
        <w:t>，</w:t>
      </w:r>
      <w:r>
        <w:rPr>
          <w:rFonts w:hint="eastAsia" w:hAnsi="宋体" w:cs="宋体"/>
          <w:highlight w:val="none"/>
        </w:rPr>
        <w:t>大力开展业务营销拓展工作，实现全年安全运营无事故、无案件。2015年度获农行韶关分行“先进基层党组织”和南雄市普惠金融工作先进单位荣誉称号。</w:t>
      </w:r>
    </w:p>
    <w:p w14:paraId="50B3B9FA">
      <w:pPr>
        <w:pStyle w:val="4"/>
        <w:bidi w:val="0"/>
        <w:rPr>
          <w:rFonts w:hint="eastAsia"/>
          <w:highlight w:val="none"/>
        </w:rPr>
      </w:pPr>
      <w:r>
        <w:rPr>
          <w:rFonts w:hint="eastAsia"/>
          <w:highlight w:val="none"/>
        </w:rPr>
        <w:t>【核心业务】</w:t>
      </w:r>
    </w:p>
    <w:p w14:paraId="224F2681">
      <w:pPr>
        <w:rPr>
          <w:rFonts w:hint="eastAsia" w:hAnsi="宋体" w:cs="宋体"/>
          <w:highlight w:val="none"/>
        </w:rPr>
      </w:pPr>
      <w:r>
        <w:rPr>
          <w:rFonts w:hint="eastAsia" w:hAnsi="宋体" w:cs="宋体"/>
          <w:highlight w:val="none"/>
        </w:rPr>
        <w:t>存款方面：秉承“抓大不放小”工作思路，积极拓展各项存款。截至12月末，各项存款时点余额13.54亿元，比年初新增1.35亿元，其中对公存款增1亿元、储蓄存款增3501万元。对公日均存款增量2183万元，任务完成率323%，韶关全行排名第二；储蓄存款日均增量为4570万元。</w:t>
      </w:r>
    </w:p>
    <w:p w14:paraId="50DAD665">
      <w:pPr>
        <w:rPr>
          <w:rFonts w:hint="eastAsia" w:hAnsi="宋体" w:cs="宋体"/>
          <w:highlight w:val="none"/>
        </w:rPr>
      </w:pPr>
      <w:r>
        <w:rPr>
          <w:rFonts w:hint="eastAsia" w:hAnsi="宋体" w:cs="宋体"/>
          <w:highlight w:val="none"/>
        </w:rPr>
        <w:t>贷款方面：调整和优化信贷结构，加大信贷支持力度。先后为华电南雄热电项目授信12亿，并发放贷款7000万元、南雄市诚昌钢构有限公司1295万元、南雄市华诚包装制品有限公司1250万元、南雄市鼎好光化科技有限公司500万元、南雄市夏思竹藤制品有限公司新增贷款250万元、南雄市金叶包装材料有限公司贷款160多万元等大中小（微）企业发展。同时，还注重民生工程建设，开展个人房贷款等业务，先后与大福名城、雄州壹品、时代广场、中泰华府等多个楼盘开发商合作，个人住房贷款累放超6700万元，完成任务116%，其个人住房贷款存量市场份额40.3%和增量市场份额39.23%，在南雄同业的市场份额存、增量均居首位。</w:t>
      </w:r>
    </w:p>
    <w:p w14:paraId="164253E7">
      <w:pPr>
        <w:rPr>
          <w:rFonts w:hint="eastAsia" w:hAnsi="宋体" w:cs="宋体"/>
          <w:highlight w:val="none"/>
        </w:rPr>
      </w:pPr>
      <w:r>
        <w:rPr>
          <w:rFonts w:hint="eastAsia" w:hAnsi="宋体" w:cs="宋体"/>
          <w:highlight w:val="none"/>
        </w:rPr>
        <w:t>中收方面：挖掘潜力，狠抓中间业务收入。以综合收益率为核心，做好各项产品中间业务收入的统筹规划，重点做好贸易融资、抵押财产保险代理、结算与现金管理、结售汇、保险、基金代理和分期等业务的营销和发展，通过推广小企业简式快贷等优势拳头产品，大力营销网银、掌银、理财、贵金属、存贷通等多种金融服务；加大自助银行设备建设和辖属自助银行设备的管理和巡查维护力度。2015年实现中间业务收入825.06万元（未含信用卡分期递延收入），主要收入构成包括代理保险102.93万元，个金业务收入252.87万元，信用卡收入212.33万元，电子银行收入194.93万元。</w:t>
      </w:r>
    </w:p>
    <w:p w14:paraId="43D3A22C">
      <w:pPr>
        <w:pStyle w:val="4"/>
        <w:bidi w:val="0"/>
        <w:rPr>
          <w:rFonts w:hint="eastAsia"/>
          <w:highlight w:val="none"/>
        </w:rPr>
      </w:pPr>
      <w:r>
        <w:rPr>
          <w:rFonts w:hint="eastAsia"/>
          <w:highlight w:val="none"/>
        </w:rPr>
        <w:t>【“三农”业务】</w:t>
      </w:r>
    </w:p>
    <w:p w14:paraId="2E202B97">
      <w:pPr>
        <w:rPr>
          <w:rFonts w:hint="eastAsia" w:hAnsi="宋体" w:cs="宋体"/>
          <w:highlight w:val="none"/>
        </w:rPr>
      </w:pPr>
      <w:r>
        <w:rPr>
          <w:rFonts w:hint="eastAsia" w:hAnsi="宋体" w:cs="宋体"/>
          <w:highlight w:val="none"/>
        </w:rPr>
        <w:t>截至12月末，开设助农取款服务点125个，遍及当地人口较密集的村委会或自然村。南雄作为广东省推广农村金融服务站工作的试点。年内，还在湖口、乌迳两大中心乡镇，先后分别开设惠农金融服务站，并采取“自助设施7*24小时服务+人员驻点现场服务”方式进行，把农行的金融产品和服务进一步延伸和触及到农村百姓之中。在做好“惠农”贷款同时，支持农村生产经营贷款和青年农民创业贷款（如湖口郭小兵石斛种植贷款等）。</w:t>
      </w:r>
    </w:p>
    <w:p w14:paraId="7E9BEF20">
      <w:pPr>
        <w:pStyle w:val="4"/>
        <w:bidi w:val="0"/>
        <w:rPr>
          <w:rFonts w:hint="eastAsia"/>
          <w:highlight w:val="none"/>
        </w:rPr>
      </w:pPr>
      <w:r>
        <w:rPr>
          <w:rFonts w:hint="eastAsia"/>
          <w:highlight w:val="none"/>
        </w:rPr>
        <w:t>【风险管控】</w:t>
      </w:r>
    </w:p>
    <w:p w14:paraId="777D7258">
      <w:pPr>
        <w:rPr>
          <w:rFonts w:hint="eastAsia" w:hAnsi="宋体" w:cs="宋体"/>
          <w:highlight w:val="none"/>
        </w:rPr>
      </w:pPr>
      <w:r>
        <w:rPr>
          <w:rFonts w:hint="eastAsia" w:hAnsi="宋体" w:cs="宋体"/>
          <w:highlight w:val="none"/>
        </w:rPr>
        <w:t>树立“合规就是效益、违规就是风险”风险管理理念，强化风险底线意识；开展“三化三铁”和“三化三达标”活动；加强贷后管理，落实信贷风险防控措施，处置和化解信贷风险隐患；深化员工行为“网格式”管理工作，坚持“严管就是厚爱”管理理念，真正把“管人、管事、管思想”落到实处。（董书罗）</w:t>
      </w:r>
    </w:p>
    <w:p w14:paraId="0E662A21">
      <w:pPr>
        <w:rPr>
          <w:rFonts w:hint="eastAsia" w:hAnsi="宋体" w:eastAsia="宋体" w:cs="宋体"/>
          <w:b/>
          <w:highlight w:val="none"/>
          <w:lang w:eastAsia="zh-CN"/>
        </w:rPr>
      </w:pPr>
      <w:r>
        <w:rPr>
          <w:rFonts w:hint="eastAsia" w:hAnsi="宋体" w:cs="宋体"/>
          <w:highlight w:val="none"/>
        </w:rPr>
        <w:t>附：2015年中国农业银行南雄支行领导班子成</w:t>
      </w:r>
      <w:r>
        <w:rPr>
          <w:rFonts w:hint="eastAsia" w:hAnsi="宋体" w:cs="宋体"/>
          <w:b/>
          <w:highlight w:val="none"/>
        </w:rPr>
        <w:t>员名单</w:t>
      </w:r>
    </w:p>
    <w:p w14:paraId="33839790">
      <w:pPr>
        <w:rPr>
          <w:rFonts w:hint="eastAsia" w:hAnsi="宋体" w:eastAsia="宋体" w:cs="宋体"/>
          <w:highlight w:val="none"/>
          <w:lang w:eastAsia="zh-CN"/>
        </w:rPr>
      </w:pPr>
      <w:r>
        <w:rPr>
          <w:rFonts w:hint="eastAsia" w:hAnsi="宋体" w:cs="宋体"/>
          <w:b/>
          <w:highlight w:val="none"/>
        </w:rPr>
        <w:t>行</w:t>
      </w:r>
      <w:r>
        <w:rPr>
          <w:rFonts w:hint="eastAsia" w:hAnsi="宋体" w:cs="宋体"/>
          <w:b/>
          <w:highlight w:val="none"/>
          <w:lang w:val="en-US" w:eastAsia="zh-CN"/>
        </w:rPr>
        <w:t xml:space="preserve">  </w:t>
      </w:r>
      <w:r>
        <w:rPr>
          <w:rFonts w:hint="eastAsia" w:hAnsi="宋体" w:cs="宋体"/>
          <w:highlight w:val="none"/>
        </w:rPr>
        <w:t>长：刘显锋（任至12月） 蔺伦（12月任）</w:t>
      </w:r>
    </w:p>
    <w:p w14:paraId="69E776C3">
      <w:pPr>
        <w:rPr>
          <w:rFonts w:hint="eastAsia" w:hAnsi="宋体" w:cs="宋体"/>
          <w:highlight w:val="none"/>
        </w:rPr>
      </w:pPr>
      <w:r>
        <w:rPr>
          <w:rFonts w:hint="eastAsia" w:hAnsi="宋体" w:cs="宋体"/>
          <w:highlight w:val="none"/>
        </w:rPr>
        <w:t>副行长：李维强封淑宜</w:t>
      </w:r>
    </w:p>
    <w:p w14:paraId="7DBF96C5">
      <w:pPr>
        <w:pStyle w:val="3"/>
        <w:bidi w:val="0"/>
        <w:rPr>
          <w:rFonts w:hint="eastAsia"/>
          <w:highlight w:val="none"/>
        </w:rPr>
      </w:pPr>
      <w:r>
        <w:rPr>
          <w:rFonts w:hint="eastAsia"/>
          <w:highlight w:val="none"/>
        </w:rPr>
        <w:t>中国银行股份有限公司韶关南雄支行</w:t>
      </w:r>
    </w:p>
    <w:p w14:paraId="32085D06">
      <w:pPr>
        <w:pStyle w:val="4"/>
        <w:bidi w:val="0"/>
        <w:rPr>
          <w:rFonts w:hint="eastAsia"/>
          <w:highlight w:val="none"/>
        </w:rPr>
      </w:pPr>
      <w:r>
        <w:rPr>
          <w:rFonts w:hint="eastAsia"/>
          <w:highlight w:val="none"/>
        </w:rPr>
        <w:t>【概况】</w:t>
      </w:r>
    </w:p>
    <w:p w14:paraId="0B6DDB65">
      <w:pPr>
        <w:rPr>
          <w:rFonts w:hint="eastAsia" w:hAnsi="宋体" w:cs="宋体"/>
          <w:highlight w:val="none"/>
        </w:rPr>
      </w:pPr>
      <w:r>
        <w:rPr>
          <w:rFonts w:hint="eastAsia" w:hAnsi="宋体" w:cs="宋体"/>
          <w:highlight w:val="none"/>
        </w:rPr>
        <w:t>中国银行股份有限公司韶关南雄支行，简称：中国银行韶关南雄支行，成立于1987年，为南雄市四大国有商业银行之一，位于南雄市新城林荫路，全行在职员工16人，内设营业部和业务发展部；依附式ATM自助设备6台，离行式ATM自助设备5台。</w:t>
      </w:r>
    </w:p>
    <w:p w14:paraId="359A2520">
      <w:pPr>
        <w:rPr>
          <w:rFonts w:hint="eastAsia" w:hAnsi="宋体" w:eastAsia="宋体" w:cs="宋体"/>
          <w:highlight w:val="none"/>
          <w:lang w:eastAsia="zh-CN"/>
        </w:rPr>
      </w:pPr>
      <w:r>
        <w:rPr>
          <w:rFonts w:hint="eastAsia" w:hAnsi="宋体" w:cs="宋体"/>
          <w:highlight w:val="none"/>
        </w:rPr>
        <w:t>中国银行为客户提供丰富的金融产品，主要办理本外币存款、发放贷款、办理票据承兑与贴现、代理外汇买卖、从事银行卡业务、提供信用证服务及担保、代理保险兼业业务，南雄中行推动业务转型，提高经营收入，夯实发展基础，扎实推进区域卓越银行建设，提升网点经营效益，深入推进精细化管理，秉承以客户为中心服务理念，强化服务规范、丰富服务内涵、创新服务品牌、提升客户满意度，拓展县域市场，强化风险管控，使支行在当地的竞争力和盈利能力不断提升。</w:t>
      </w:r>
    </w:p>
    <w:p w14:paraId="45CE125B">
      <w:pPr>
        <w:pStyle w:val="4"/>
        <w:bidi w:val="0"/>
        <w:rPr>
          <w:rFonts w:hint="eastAsia"/>
          <w:highlight w:val="none"/>
        </w:rPr>
      </w:pPr>
      <w:r>
        <w:rPr>
          <w:rFonts w:hint="eastAsia"/>
          <w:highlight w:val="none"/>
        </w:rPr>
        <w:t>【存贷业务】</w:t>
      </w:r>
    </w:p>
    <w:p w14:paraId="32CA7CF9">
      <w:pPr>
        <w:rPr>
          <w:rFonts w:hint="eastAsia" w:hAnsi="宋体" w:cs="宋体"/>
          <w:highlight w:val="none"/>
        </w:rPr>
      </w:pPr>
      <w:r>
        <w:rPr>
          <w:rFonts w:hint="eastAsia" w:hAnsi="宋体" w:cs="宋体"/>
          <w:highlight w:val="none"/>
        </w:rPr>
        <w:t>重点支持南雄中小企业和工业园“双转移”项目，扶持中小企业、民营企业发展。截至2015年12月末，各项存款人民币余额63909万元，其中人民币储蓄存款余额41647万元，人民币企业存款22262万元，外币各项存款折美元232万美元，外币企业存款101万美元，外币储蓄存款131万美元。各项贷款余额35970万元，对公授信余额达11473万元，零售贷款余额24497万元。</w:t>
      </w:r>
    </w:p>
    <w:p w14:paraId="1AB2A75B">
      <w:pPr>
        <w:rPr>
          <w:rFonts w:hint="eastAsia" w:hAnsi="宋体" w:eastAsia="宋体" w:cs="宋体"/>
          <w:b w:val="0"/>
          <w:bCs w:val="0"/>
          <w:highlight w:val="none"/>
          <w:lang w:eastAsia="zh-CN"/>
        </w:rPr>
      </w:pPr>
      <w:r>
        <w:rPr>
          <w:rFonts w:hint="eastAsia" w:hAnsi="宋体" w:cs="宋体"/>
          <w:b w:val="0"/>
          <w:bCs w:val="0"/>
          <w:highlight w:val="none"/>
        </w:rPr>
        <w:t>附：2015年中国银行南雄支行领导班子成员名单</w:t>
      </w:r>
    </w:p>
    <w:p w14:paraId="3FA86017">
      <w:pPr>
        <w:rPr>
          <w:rFonts w:hint="eastAsia" w:hAnsi="宋体" w:eastAsia="宋体" w:cs="宋体"/>
          <w:highlight w:val="none"/>
          <w:lang w:eastAsia="zh-CN"/>
        </w:rPr>
      </w:pPr>
      <w:r>
        <w:rPr>
          <w:rFonts w:hint="eastAsia" w:hAnsi="宋体" w:cs="宋体"/>
          <w:b w:val="0"/>
          <w:bCs w:val="0"/>
          <w:highlight w:val="none"/>
        </w:rPr>
        <w:t>行</w:t>
      </w:r>
      <w:r>
        <w:rPr>
          <w:rFonts w:hint="eastAsia" w:hAnsi="宋体" w:cs="宋体"/>
          <w:b w:val="0"/>
          <w:bCs w:val="0"/>
          <w:highlight w:val="none"/>
          <w:lang w:val="en-US" w:eastAsia="zh-CN"/>
        </w:rPr>
        <w:t xml:space="preserve">  </w:t>
      </w:r>
      <w:r>
        <w:rPr>
          <w:rFonts w:hint="eastAsia" w:hAnsi="宋体" w:cs="宋体"/>
          <w:b w:val="0"/>
          <w:bCs w:val="0"/>
          <w:highlight w:val="none"/>
        </w:rPr>
        <w:t>长：徐志</w:t>
      </w:r>
      <w:r>
        <w:rPr>
          <w:rFonts w:hint="eastAsia" w:hAnsi="宋体" w:cs="宋体"/>
          <w:highlight w:val="none"/>
        </w:rPr>
        <w:t>文</w:t>
      </w:r>
    </w:p>
    <w:p w14:paraId="5AC30ED9">
      <w:pPr>
        <w:rPr>
          <w:rFonts w:hint="eastAsia" w:hAnsi="宋体" w:eastAsia="宋体" w:cs="宋体"/>
          <w:highlight w:val="none"/>
          <w:lang w:eastAsia="zh-CN"/>
        </w:rPr>
      </w:pPr>
      <w:r>
        <w:rPr>
          <w:rFonts w:hint="eastAsia" w:hAnsi="宋体" w:cs="宋体"/>
          <w:highlight w:val="none"/>
        </w:rPr>
        <w:t>副行长：朱庆荣 聂郁安</w:t>
      </w:r>
    </w:p>
    <w:p w14:paraId="12AB60C1">
      <w:pPr>
        <w:pStyle w:val="3"/>
        <w:bidi w:val="0"/>
        <w:rPr>
          <w:rFonts w:hint="eastAsia" w:eastAsia="宋体"/>
          <w:highlight w:val="none"/>
          <w:lang w:eastAsia="zh-CN"/>
        </w:rPr>
      </w:pPr>
      <w:r>
        <w:rPr>
          <w:rFonts w:hint="eastAsia"/>
          <w:highlight w:val="none"/>
        </w:rPr>
        <w:t>中国建设银行股份有限公司南雄支行</w:t>
      </w:r>
    </w:p>
    <w:p w14:paraId="25A2605C">
      <w:pPr>
        <w:pStyle w:val="4"/>
        <w:bidi w:val="0"/>
        <w:rPr>
          <w:rFonts w:hint="eastAsia"/>
          <w:highlight w:val="none"/>
        </w:rPr>
      </w:pPr>
      <w:r>
        <w:rPr>
          <w:rFonts w:hint="eastAsia"/>
          <w:highlight w:val="none"/>
        </w:rPr>
        <w:t>【概况】</w:t>
      </w:r>
    </w:p>
    <w:p w14:paraId="0E0AA260">
      <w:pPr>
        <w:rPr>
          <w:rFonts w:hint="eastAsia" w:hAnsi="宋体" w:cs="宋体"/>
          <w:highlight w:val="none"/>
        </w:rPr>
      </w:pPr>
      <w:r>
        <w:rPr>
          <w:rFonts w:hint="eastAsia" w:hAnsi="宋体" w:cs="宋体"/>
          <w:highlight w:val="none"/>
        </w:rPr>
        <w:t>中国建设银行股份有限公司南雄支行全行在职员工19人，辖内现有ATM自助银行网点4个，自助设备11台。根据“关于加大贷款投放”的会议精神，结合目前南雄市正在加大招商引资力度，扶持南雄市辖内中小微企业的发展；密切政银企关系；化解中小企业客户融资难等问题，推出一系列信贷产品。大力支持南雄地方基础设施、重点项目投资，加大对中小企业、保障房建设等民生领域信贷投放，着力改进和提升对小微企业金融服务。</w:t>
      </w:r>
    </w:p>
    <w:p w14:paraId="0331BC51">
      <w:pPr>
        <w:pStyle w:val="4"/>
        <w:bidi w:val="0"/>
        <w:rPr>
          <w:rFonts w:hint="eastAsia"/>
          <w:highlight w:val="none"/>
        </w:rPr>
      </w:pPr>
      <w:r>
        <w:rPr>
          <w:rFonts w:hint="eastAsia"/>
          <w:highlight w:val="none"/>
        </w:rPr>
        <w:t>【主要业务】</w:t>
      </w:r>
    </w:p>
    <w:p w14:paraId="1853D284">
      <w:pPr>
        <w:rPr>
          <w:rFonts w:hint="eastAsia" w:hAnsi="宋体" w:cs="宋体"/>
          <w:highlight w:val="none"/>
        </w:rPr>
      </w:pPr>
      <w:r>
        <w:rPr>
          <w:rFonts w:hint="eastAsia" w:hAnsi="宋体" w:cs="宋体"/>
          <w:highlight w:val="none"/>
        </w:rPr>
        <w:t>中国建设银行股份有限公司南雄支行为客户提供丰富的金融产品：本外币存款、各类贷款、融信通、个人理财、企业理财、票据业务、结算服务、信用卡分期业务、银行卡业务、电子银行、外汇业务等各种金融服务。截至2015年末，支行存款余额101476万元，企业存款余额51873万元，个人存款余额49603万元。支行贷款余额46950万元。其中公司类贷款余额34447万元；个人类贷款余额8818万元，各项贷款比年初新增3190万元，有力地支持南雄地方经济建设。2015年针对企业投放信用贷款3笔。</w:t>
      </w:r>
    </w:p>
    <w:p w14:paraId="341CE595">
      <w:pPr>
        <w:rPr>
          <w:rFonts w:hint="eastAsia" w:hAnsi="宋体" w:eastAsia="宋体" w:cs="宋体"/>
          <w:b w:val="0"/>
          <w:bCs w:val="0"/>
          <w:highlight w:val="none"/>
          <w:lang w:eastAsia="zh-CN"/>
        </w:rPr>
      </w:pPr>
      <w:r>
        <w:rPr>
          <w:rFonts w:hint="eastAsia" w:hAnsi="宋体" w:cs="宋体"/>
          <w:b w:val="0"/>
          <w:bCs w:val="0"/>
          <w:highlight w:val="none"/>
        </w:rPr>
        <w:t>附：2015年中国建设银行南雄支行领导班子成员名单</w:t>
      </w:r>
    </w:p>
    <w:p w14:paraId="43634FED">
      <w:pPr>
        <w:rPr>
          <w:rFonts w:hint="eastAsia" w:hAnsi="宋体" w:eastAsia="宋体" w:cs="宋体"/>
          <w:highlight w:val="none"/>
          <w:lang w:eastAsia="zh-CN"/>
        </w:rPr>
      </w:pPr>
      <w:r>
        <w:rPr>
          <w:rFonts w:hint="eastAsia" w:hAnsi="宋体" w:cs="宋体"/>
          <w:b w:val="0"/>
          <w:bCs w:val="0"/>
          <w:highlight w:val="none"/>
        </w:rPr>
        <w:t>行</w:t>
      </w:r>
      <w:r>
        <w:rPr>
          <w:rFonts w:hint="eastAsia" w:hAnsi="宋体" w:cs="宋体"/>
          <w:b w:val="0"/>
          <w:bCs w:val="0"/>
          <w:highlight w:val="none"/>
          <w:lang w:val="en-US" w:eastAsia="zh-CN"/>
        </w:rPr>
        <w:t xml:space="preserve">  </w:t>
      </w:r>
      <w:r>
        <w:rPr>
          <w:rFonts w:hint="eastAsia" w:hAnsi="宋体" w:cs="宋体"/>
          <w:b w:val="0"/>
          <w:bCs w:val="0"/>
          <w:highlight w:val="none"/>
        </w:rPr>
        <w:t>长</w:t>
      </w:r>
      <w:r>
        <w:rPr>
          <w:rFonts w:hint="eastAsia" w:hAnsi="宋体" w:cs="宋体"/>
          <w:b w:val="0"/>
          <w:bCs w:val="0"/>
          <w:highlight w:val="none"/>
          <w:lang w:eastAsia="zh-CN"/>
        </w:rPr>
        <w:t>：</w:t>
      </w:r>
      <w:r>
        <w:rPr>
          <w:rFonts w:hint="eastAsia" w:hAnsi="宋体" w:cs="宋体"/>
          <w:b w:val="0"/>
          <w:bCs w:val="0"/>
          <w:highlight w:val="none"/>
        </w:rPr>
        <w:t>刘世</w:t>
      </w:r>
      <w:r>
        <w:rPr>
          <w:rFonts w:hint="eastAsia" w:hAnsi="宋体" w:cs="宋体"/>
          <w:highlight w:val="none"/>
        </w:rPr>
        <w:t>海</w:t>
      </w:r>
    </w:p>
    <w:p w14:paraId="79351F97">
      <w:pPr>
        <w:rPr>
          <w:rFonts w:hint="eastAsia" w:hAnsi="宋体" w:eastAsia="宋体" w:cs="宋体"/>
          <w:highlight w:val="none"/>
          <w:lang w:eastAsia="zh-CN"/>
        </w:rPr>
      </w:pPr>
      <w:r>
        <w:rPr>
          <w:rFonts w:hint="eastAsia" w:hAnsi="宋体" w:cs="宋体"/>
          <w:highlight w:val="none"/>
        </w:rPr>
        <w:t>副行长</w:t>
      </w:r>
      <w:r>
        <w:rPr>
          <w:rFonts w:hint="eastAsia" w:hAnsi="宋体" w:cs="宋体"/>
          <w:highlight w:val="none"/>
          <w:lang w:eastAsia="zh-CN"/>
        </w:rPr>
        <w:t>：</w:t>
      </w:r>
      <w:r>
        <w:rPr>
          <w:rFonts w:hint="eastAsia" w:hAnsi="宋体" w:cs="宋体"/>
          <w:highlight w:val="none"/>
        </w:rPr>
        <w:t>贾真</w:t>
      </w:r>
    </w:p>
    <w:p w14:paraId="03299C4E">
      <w:pPr>
        <w:pStyle w:val="3"/>
        <w:bidi w:val="0"/>
        <w:rPr>
          <w:rFonts w:hint="eastAsia" w:eastAsia="宋体"/>
          <w:highlight w:val="none"/>
          <w:lang w:eastAsia="zh-CN"/>
        </w:rPr>
      </w:pPr>
      <w:r>
        <w:rPr>
          <w:rFonts w:hint="eastAsia"/>
          <w:highlight w:val="none"/>
        </w:rPr>
        <w:t>南雄市农村信用合作联社</w:t>
      </w:r>
    </w:p>
    <w:p w14:paraId="62A560D1">
      <w:pPr>
        <w:pStyle w:val="4"/>
        <w:bidi w:val="0"/>
        <w:rPr>
          <w:rFonts w:hint="eastAsia"/>
          <w:highlight w:val="none"/>
        </w:rPr>
      </w:pPr>
      <w:r>
        <w:rPr>
          <w:rFonts w:hint="eastAsia"/>
          <w:highlight w:val="none"/>
        </w:rPr>
        <w:t>【机构概况】</w:t>
      </w:r>
    </w:p>
    <w:p w14:paraId="5A11399A">
      <w:pPr>
        <w:rPr>
          <w:rFonts w:hint="eastAsia" w:hAnsi="宋体" w:eastAsia="宋体" w:cs="宋体"/>
          <w:highlight w:val="none"/>
          <w:lang w:eastAsia="zh-CN"/>
        </w:rPr>
      </w:pPr>
      <w:r>
        <w:rPr>
          <w:rFonts w:hint="eastAsia" w:hAnsi="宋体" w:cs="宋体"/>
          <w:highlight w:val="none"/>
        </w:rPr>
        <w:t>南雄市农村信用合作联社（以下简称：南雄联社）2015年机关内设9个职能部门（分别是办公室、人力资源部、内审监察部、运营部、合规与风险管理部、授信管理部、金融业务部、安全保卫部、小企业贷款专营中心）；辖内设立网点21个，其中1个联社营业部，5个基层信用社（分别是南雄市农村信用合作联社雄州信用社、全安信用社、珠玑信用社、黄坑信用社、乌迳信用社），15个分社（分别是南雄市农村信用合作联社城东分社、修仁分社、雄中分社、坪田分社、界址分社、南亩分社、大塘分社、水口分社、湖口分社、邓坊分社、古市分社、百顺分社、河南分社、黎口分社、主田分社），是全市网点最多的农村金融机构，更是县域金融主力军。南雄联社2015年底从业人员227人，其中：党员142人，研究生学历2人，本科学历115人，大专学历90人，中专10人；理财师2人</w:t>
      </w:r>
      <w:r>
        <w:rPr>
          <w:rFonts w:hint="eastAsia" w:hAnsi="宋体" w:cs="宋体"/>
          <w:highlight w:val="none"/>
          <w:lang w:eastAsia="zh-CN"/>
        </w:rPr>
        <w:t>，</w:t>
      </w:r>
      <w:r>
        <w:rPr>
          <w:rFonts w:hint="eastAsia" w:hAnsi="宋体" w:cs="宋体"/>
          <w:highlight w:val="none"/>
        </w:rPr>
        <w:t>中级会计师职称1人，中级经济师职称27人，助理级职称53人。</w:t>
      </w:r>
    </w:p>
    <w:p w14:paraId="1A0074E8">
      <w:pPr>
        <w:pStyle w:val="4"/>
        <w:bidi w:val="0"/>
        <w:rPr>
          <w:rFonts w:hint="eastAsia"/>
          <w:highlight w:val="none"/>
        </w:rPr>
      </w:pPr>
      <w:r>
        <w:rPr>
          <w:rFonts w:hint="eastAsia"/>
          <w:highlight w:val="none"/>
        </w:rPr>
        <w:t>【人员编制】</w:t>
      </w:r>
    </w:p>
    <w:p w14:paraId="01575EAF">
      <w:pPr>
        <w:rPr>
          <w:rFonts w:hint="eastAsia" w:hAnsi="宋体" w:cs="宋体"/>
          <w:highlight w:val="none"/>
        </w:rPr>
      </w:pPr>
      <w:r>
        <w:rPr>
          <w:rFonts w:hint="eastAsia" w:hAnsi="宋体" w:cs="宋体"/>
          <w:highlight w:val="none"/>
        </w:rPr>
        <w:t>南雄联社2015年底从业人员227人，其中：党员142人，研究生学历2人，本科学历115人，大专学历90人，中专10人；理财师2人，中级会计师职称1人，中级经济师职称27人，助理级职称53人。</w:t>
      </w:r>
    </w:p>
    <w:p w14:paraId="5FD64208">
      <w:pPr>
        <w:pStyle w:val="4"/>
        <w:bidi w:val="0"/>
        <w:rPr>
          <w:rFonts w:hint="eastAsia"/>
          <w:highlight w:val="none"/>
        </w:rPr>
      </w:pPr>
      <w:r>
        <w:rPr>
          <w:rFonts w:hint="eastAsia"/>
          <w:highlight w:val="none"/>
        </w:rPr>
        <w:t>【主要业绩】</w:t>
      </w:r>
    </w:p>
    <w:p w14:paraId="02A6636B">
      <w:pPr>
        <w:rPr>
          <w:rFonts w:hint="eastAsia" w:hAnsi="宋体" w:eastAsia="宋体" w:cs="宋体"/>
          <w:highlight w:val="none"/>
          <w:lang w:eastAsia="zh-CN"/>
        </w:rPr>
      </w:pPr>
      <w:r>
        <w:rPr>
          <w:rFonts w:hint="eastAsia" w:hAnsi="宋体" w:cs="宋体"/>
          <w:highlight w:val="none"/>
        </w:rPr>
        <w:t>各项存款余额455345万元，较年初增加71879万元，增幅18.74%，市场占比38.78%，较年初增加2.25个百分点；各项贷款余额263330万元，较年初增加20406万元，增幅8.40%，市场占比53.11%，较年初增加0.88个百分点。存贷款规模继续保持南雄市各金融机构第一。涉农贷款余额194518万元，占各项贷款的73.87%，较年初增加2922万元，增幅1.53%；小微企业贷款余额164048万元，占各项贷款的62.30%，较年初增加3159万元，增幅1.96%。纳税总额达2303万元。银行卡累计发卡339823张，较年初增加22407张；IC卡发卡存量17001张；二代社保卡开户203443户，新增6300户；累计安装ATM机13台、存取款一体机19台、BST机19台。</w:t>
      </w:r>
    </w:p>
    <w:p w14:paraId="0D54ED27">
      <w:pPr>
        <w:rPr>
          <w:rFonts w:hint="eastAsia" w:hAnsi="宋体" w:eastAsia="宋体" w:cs="宋体"/>
          <w:highlight w:val="none"/>
          <w:lang w:eastAsia="zh-CN"/>
        </w:rPr>
      </w:pPr>
      <w:r>
        <w:rPr>
          <w:rFonts w:hint="eastAsia" w:hAnsi="宋体" w:cs="宋体"/>
          <w:highlight w:val="none"/>
        </w:rPr>
        <w:t>附：2015年南雄市农村信用合作联社领导班子成员名单</w:t>
      </w:r>
    </w:p>
    <w:p w14:paraId="65E06221">
      <w:pPr>
        <w:rPr>
          <w:rFonts w:hint="eastAsia" w:hAnsi="宋体" w:eastAsia="宋体" w:cs="宋体"/>
          <w:highlight w:val="none"/>
          <w:lang w:eastAsia="zh-CN"/>
        </w:rPr>
      </w:pPr>
      <w:r>
        <w:rPr>
          <w:rFonts w:hint="eastAsia" w:hAnsi="宋体" w:cs="宋体"/>
          <w:highlight w:val="none"/>
        </w:rPr>
        <w:t>党委书记：赖建辉</w:t>
      </w:r>
    </w:p>
    <w:p w14:paraId="69F66D9B">
      <w:pPr>
        <w:rPr>
          <w:rFonts w:hint="eastAsia" w:hAnsi="宋体" w:eastAsia="宋体" w:cs="宋体"/>
          <w:highlight w:val="none"/>
          <w:lang w:eastAsia="zh-CN"/>
        </w:rPr>
      </w:pPr>
      <w:r>
        <w:rPr>
          <w:rFonts w:hint="eastAsia" w:hAnsi="宋体" w:cs="宋体"/>
          <w:highlight w:val="none"/>
        </w:rPr>
        <w:t>党委副书记、主任：叶楚绵（3月任）伍时伟（任至3月）</w:t>
      </w:r>
    </w:p>
    <w:p w14:paraId="0DDC9113">
      <w:pPr>
        <w:rPr>
          <w:rFonts w:hint="eastAsia" w:hAnsi="宋体" w:eastAsia="宋体" w:cs="宋体"/>
          <w:highlight w:val="none"/>
          <w:lang w:eastAsia="zh-CN"/>
        </w:rPr>
      </w:pPr>
      <w:r>
        <w:rPr>
          <w:rFonts w:hint="eastAsia" w:hAnsi="宋体" w:cs="宋体"/>
          <w:highlight w:val="none"/>
        </w:rPr>
        <w:t>纪检书记、监事长：潘昌研（3月任）朱瑞洪（任至3月）</w:t>
      </w:r>
    </w:p>
    <w:p w14:paraId="2D98D5DD">
      <w:pPr>
        <w:rPr>
          <w:rFonts w:hint="eastAsia" w:hAnsi="宋体" w:eastAsia="宋体" w:cs="宋体"/>
          <w:highlight w:val="none"/>
          <w:lang w:eastAsia="zh-CN"/>
        </w:rPr>
      </w:pPr>
      <w:r>
        <w:rPr>
          <w:rFonts w:hint="eastAsia" w:hAnsi="宋体" w:cs="宋体"/>
          <w:highlight w:val="none"/>
        </w:rPr>
        <w:t>党委委员、副主任：李文贤</w:t>
      </w:r>
    </w:p>
    <w:p w14:paraId="40E27C67">
      <w:pPr>
        <w:pStyle w:val="3"/>
        <w:bidi w:val="0"/>
        <w:rPr>
          <w:rFonts w:hint="eastAsia"/>
          <w:highlight w:val="none"/>
        </w:rPr>
      </w:pPr>
      <w:r>
        <w:rPr>
          <w:rFonts w:hint="eastAsia"/>
          <w:highlight w:val="none"/>
        </w:rPr>
        <w:t>中国人寿保险股份有限公司南雄市支公司</w:t>
      </w:r>
    </w:p>
    <w:p w14:paraId="43B91F6D">
      <w:pPr>
        <w:pStyle w:val="4"/>
        <w:bidi w:val="0"/>
        <w:rPr>
          <w:rFonts w:hint="eastAsia"/>
          <w:highlight w:val="none"/>
        </w:rPr>
      </w:pPr>
      <w:r>
        <w:rPr>
          <w:rFonts w:hint="eastAsia"/>
          <w:highlight w:val="none"/>
        </w:rPr>
        <w:t>【概况】</w:t>
      </w:r>
    </w:p>
    <w:p w14:paraId="16F4F94B">
      <w:pPr>
        <w:rPr>
          <w:rFonts w:hint="eastAsia" w:hAnsi="宋体" w:cs="宋体"/>
          <w:highlight w:val="none"/>
        </w:rPr>
      </w:pPr>
      <w:r>
        <w:rPr>
          <w:rFonts w:hint="eastAsia" w:hAnsi="宋体" w:cs="宋体"/>
          <w:highlight w:val="none"/>
        </w:rPr>
        <w:t>中国人寿保险股份有限公司南雄市支公司，于2003年6月30日由原中国人寿保险公司重组改制后所属分支机构统一更名。中国人寿保险股份有限公司连续13年入选《财富》全球500强企业，最新排名第94位。2012年3月，中国人寿保险集团正式升格为副部级单位。公司内设综合部、个人保险业务部、团体保险业务部、银行保险业务部、客户服务中心五个部门，辖属设有7个营销服务网点（乌迳镇营业部、黄坑镇营销服务部、湖口镇营销服务部、水口镇营销服务部、珠玑镇营销服务部、百顺镇营销服务部、雄州营销服务部），公司2015年拥有干部员工10人，全部都是大专以上学历，个人代理人员127人，全部为高中以上学历。</w:t>
      </w:r>
    </w:p>
    <w:p w14:paraId="0D6EFE16">
      <w:pPr>
        <w:pStyle w:val="4"/>
        <w:bidi w:val="0"/>
        <w:rPr>
          <w:rFonts w:hint="eastAsia"/>
          <w:highlight w:val="none"/>
        </w:rPr>
      </w:pPr>
      <w:r>
        <w:rPr>
          <w:rFonts w:hint="eastAsia"/>
          <w:highlight w:val="none"/>
        </w:rPr>
        <w:t>【经营理念】</w:t>
      </w:r>
    </w:p>
    <w:p w14:paraId="186B54A0">
      <w:pPr>
        <w:rPr>
          <w:rFonts w:hint="eastAsia" w:hAnsi="宋体" w:cs="宋体"/>
          <w:highlight w:val="none"/>
        </w:rPr>
      </w:pPr>
      <w:r>
        <w:rPr>
          <w:rFonts w:hint="eastAsia" w:hAnsi="宋体" w:cs="宋体"/>
          <w:highlight w:val="none"/>
        </w:rPr>
        <w:t>中国人寿保险股份有限公司秉持“成己为人、成人达己”的企业文化核心理念，遵循“诚信为本、稳健经营”的企事业宗旨，致力于造福社会大众，为南雄经济发展贡献更大的力量。</w:t>
      </w:r>
    </w:p>
    <w:p w14:paraId="3C454F5C">
      <w:pPr>
        <w:pStyle w:val="4"/>
        <w:bidi w:val="0"/>
        <w:rPr>
          <w:rFonts w:hint="eastAsia"/>
          <w:highlight w:val="none"/>
        </w:rPr>
      </w:pPr>
      <w:r>
        <w:rPr>
          <w:rFonts w:hint="eastAsia"/>
          <w:highlight w:val="none"/>
        </w:rPr>
        <w:t>【专业领先】</w:t>
      </w:r>
    </w:p>
    <w:p w14:paraId="13F93CB6">
      <w:pPr>
        <w:rPr>
          <w:rFonts w:hint="eastAsia" w:hAnsi="宋体" w:cs="宋体"/>
          <w:highlight w:val="none"/>
        </w:rPr>
      </w:pPr>
      <w:r>
        <w:rPr>
          <w:rFonts w:hint="eastAsia" w:hAnsi="宋体" w:cs="宋体"/>
          <w:highlight w:val="none"/>
        </w:rPr>
        <w:t>中国人寿保险股份有限公司南雄市支公司向个人及团体提供人寿、年金、健康、意外伤害和车辆保险产品，涵盖生存、养老、疾病、医疗、身故、残疾等多种保障范围，全面满足客户在人身保险领域的保险保障和投资理财需求。</w:t>
      </w:r>
    </w:p>
    <w:p w14:paraId="62E7E769">
      <w:pPr>
        <w:pStyle w:val="4"/>
        <w:bidi w:val="0"/>
        <w:rPr>
          <w:rFonts w:hint="eastAsia"/>
          <w:highlight w:val="none"/>
        </w:rPr>
      </w:pPr>
      <w:r>
        <w:rPr>
          <w:rFonts w:hint="eastAsia"/>
          <w:highlight w:val="none"/>
        </w:rPr>
        <w:t>【业务完成情况】</w:t>
      </w:r>
    </w:p>
    <w:p w14:paraId="27E8D90D">
      <w:pPr>
        <w:rPr>
          <w:rFonts w:hint="eastAsia" w:hAnsi="宋体" w:cs="宋体"/>
          <w:highlight w:val="none"/>
        </w:rPr>
      </w:pPr>
      <w:r>
        <w:rPr>
          <w:rFonts w:hint="eastAsia" w:hAnsi="宋体" w:cs="宋体"/>
          <w:highlight w:val="none"/>
        </w:rPr>
        <w:t>2015年完成总保费7209万元，赔付保险费2292万元。</w:t>
      </w:r>
    </w:p>
    <w:p w14:paraId="51392E01">
      <w:pPr>
        <w:pStyle w:val="4"/>
        <w:bidi w:val="0"/>
        <w:rPr>
          <w:rFonts w:hint="eastAsia"/>
          <w:highlight w:val="none"/>
        </w:rPr>
      </w:pPr>
      <w:r>
        <w:rPr>
          <w:rFonts w:hint="eastAsia"/>
          <w:highlight w:val="none"/>
        </w:rPr>
        <w:t>【主要业务产品】</w:t>
      </w:r>
    </w:p>
    <w:p w14:paraId="7638E1C4">
      <w:pPr>
        <w:rPr>
          <w:rFonts w:hint="eastAsia" w:hAnsi="宋体" w:cs="宋体"/>
          <w:highlight w:val="none"/>
        </w:rPr>
      </w:pPr>
      <w:r>
        <w:rPr>
          <w:rFonts w:hint="eastAsia" w:hAnsi="宋体" w:cs="宋体"/>
          <w:highlight w:val="none"/>
        </w:rPr>
        <w:t>2015年，主要以国寿鑫福年年养老年金保险+鑫账户、瑞鑫典藏版+金账户、福禄双喜保险+金账户、国寿如意随行两全保险、国寿防癌疾病保险、国寿康宁终身重大疾病保险、国寿康宁定期重大疾病保险等为个人代理业务主打产品。同时为单位和个人提供国寿绿洲意外伤害保险、国寿绿洲附加意外伤害团体医疗保险、计划生育保险等意外保障。并推出金易宝（白金版）、国寿安欣无忧组合产品（分红）保险、鸿盈两全保险等银行网点代理业务，与各大商业银行签订代理销售合作协议。</w:t>
      </w:r>
    </w:p>
    <w:p w14:paraId="2A0D9A85">
      <w:pPr>
        <w:rPr>
          <w:rFonts w:hint="eastAsia" w:hAnsi="宋体" w:cs="宋体"/>
          <w:highlight w:val="none"/>
        </w:rPr>
      </w:pPr>
      <w:r>
        <w:rPr>
          <w:rFonts w:hint="eastAsia" w:hAnsi="宋体" w:cs="宋体"/>
          <w:highlight w:val="none"/>
        </w:rPr>
        <w:t>附：2015年人寿保险南雄市支公司领导班子成员名单</w:t>
      </w:r>
    </w:p>
    <w:p w14:paraId="06E1D251">
      <w:pPr>
        <w:rPr>
          <w:rFonts w:hint="eastAsia" w:hAnsi="宋体" w:cs="宋体"/>
          <w:highlight w:val="none"/>
        </w:rPr>
      </w:pPr>
      <w:r>
        <w:rPr>
          <w:rFonts w:hint="eastAsia" w:hAnsi="宋体" w:cs="宋体"/>
          <w:highlight w:val="none"/>
        </w:rPr>
        <w:t>总经理：刘俊华（任至11月）沈新荣（11月任）</w:t>
      </w:r>
    </w:p>
    <w:p w14:paraId="3FF1DD35">
      <w:pPr>
        <w:rPr>
          <w:rFonts w:hint="eastAsia" w:hAnsi="宋体" w:cs="宋体"/>
          <w:highlight w:val="none"/>
        </w:rPr>
      </w:pPr>
      <w:r>
        <w:rPr>
          <w:rFonts w:hint="eastAsia" w:hAnsi="宋体" w:cs="宋体"/>
          <w:highlight w:val="none"/>
        </w:rPr>
        <w:t>副总经理：赵晖</w:t>
      </w:r>
    </w:p>
    <w:p w14:paraId="3E9F9556">
      <w:pPr>
        <w:pStyle w:val="3"/>
        <w:bidi w:val="0"/>
        <w:rPr>
          <w:rFonts w:hint="eastAsia" w:eastAsia="宋体"/>
          <w:highlight w:val="none"/>
          <w:lang w:eastAsia="zh-CN"/>
        </w:rPr>
      </w:pPr>
      <w:r>
        <w:rPr>
          <w:rFonts w:hint="eastAsia"/>
          <w:highlight w:val="none"/>
        </w:rPr>
        <w:t>中国人民财产保险股份有限公司南雄支公司</w:t>
      </w:r>
    </w:p>
    <w:p w14:paraId="39DA9CF1">
      <w:pPr>
        <w:pStyle w:val="4"/>
        <w:bidi w:val="0"/>
        <w:rPr>
          <w:rFonts w:hint="eastAsia"/>
          <w:highlight w:val="none"/>
        </w:rPr>
      </w:pPr>
      <w:r>
        <w:rPr>
          <w:rFonts w:hint="eastAsia"/>
          <w:highlight w:val="none"/>
        </w:rPr>
        <w:t>【概况】</w:t>
      </w:r>
    </w:p>
    <w:p w14:paraId="1ACE0210">
      <w:pPr>
        <w:rPr>
          <w:rFonts w:hint="eastAsia" w:hAnsi="宋体" w:eastAsia="宋体" w:cs="宋体"/>
          <w:highlight w:val="none"/>
          <w:lang w:eastAsia="zh-CN"/>
        </w:rPr>
      </w:pPr>
      <w:r>
        <w:rPr>
          <w:rFonts w:hint="eastAsia" w:hAnsi="宋体" w:cs="宋体"/>
          <w:highlight w:val="none"/>
        </w:rPr>
        <w:t>中国人民财产保险股份有限公司南雄支公司成立于1997年8月15日。位于南雄市新城区沿江东路31号，支公司现有职工及个代人员36人，内设经理室、综合部、出单分中心、理赔分部、直销业务一部、营销业务一部，下设新城营销服务部、雄东营销服务部和乌迳营销服务部3个基层网点。</w:t>
      </w:r>
    </w:p>
    <w:p w14:paraId="12011FF5">
      <w:pPr>
        <w:pStyle w:val="4"/>
        <w:bidi w:val="0"/>
        <w:rPr>
          <w:rFonts w:hint="eastAsia"/>
          <w:highlight w:val="none"/>
        </w:rPr>
      </w:pPr>
      <w:r>
        <w:rPr>
          <w:rFonts w:hint="eastAsia"/>
          <w:highlight w:val="none"/>
        </w:rPr>
        <w:t>【监管部门】</w:t>
      </w:r>
    </w:p>
    <w:p w14:paraId="75DFFAB2">
      <w:pPr>
        <w:rPr>
          <w:rFonts w:hint="eastAsia" w:hAnsi="宋体" w:cs="宋体"/>
          <w:highlight w:val="none"/>
        </w:rPr>
      </w:pPr>
      <w:r>
        <w:rPr>
          <w:rFonts w:hint="eastAsia" w:hAnsi="宋体" w:cs="宋体"/>
          <w:highlight w:val="none"/>
        </w:rPr>
        <w:t>中国保监会广东监管局。</w:t>
      </w:r>
    </w:p>
    <w:p w14:paraId="26407F05">
      <w:pPr>
        <w:pStyle w:val="4"/>
        <w:bidi w:val="0"/>
        <w:rPr>
          <w:rFonts w:hint="eastAsia"/>
          <w:highlight w:val="none"/>
        </w:rPr>
      </w:pPr>
      <w:r>
        <w:rPr>
          <w:rFonts w:hint="eastAsia"/>
          <w:highlight w:val="none"/>
        </w:rPr>
        <w:t>【经营理念】</w:t>
      </w:r>
    </w:p>
    <w:p w14:paraId="5438ABFF">
      <w:pPr>
        <w:rPr>
          <w:rFonts w:hint="eastAsia" w:hAnsi="宋体" w:cs="宋体"/>
          <w:highlight w:val="none"/>
        </w:rPr>
      </w:pPr>
      <w:r>
        <w:rPr>
          <w:rFonts w:hint="eastAsia" w:hAnsi="宋体" w:cs="宋体"/>
          <w:highlight w:val="none"/>
        </w:rPr>
        <w:t>坚持“人民保险、服务人民”为使命，秉承“以人为本、诚信服务、价值至上、永续经营”的经营理念，弘扬“求实、诚信、拼搏、创新”的企业精神，坚持以市场为导向、以客户为中心，积极履行优秀企业公民责任，为促进改革、保障经济、稳定社会、造福人民提供强大保险保障。</w:t>
      </w:r>
    </w:p>
    <w:p w14:paraId="0D0E2D16">
      <w:pPr>
        <w:pStyle w:val="4"/>
        <w:bidi w:val="0"/>
        <w:rPr>
          <w:rFonts w:hint="eastAsia"/>
          <w:highlight w:val="none"/>
        </w:rPr>
      </w:pPr>
      <w:r>
        <w:rPr>
          <w:rFonts w:hint="eastAsia"/>
          <w:highlight w:val="none"/>
        </w:rPr>
        <w:t>【业务经营情况】</w:t>
      </w:r>
    </w:p>
    <w:p w14:paraId="0C81BA06">
      <w:pPr>
        <w:rPr>
          <w:rFonts w:hint="eastAsia" w:hAnsi="宋体" w:cs="宋体"/>
          <w:highlight w:val="none"/>
        </w:rPr>
      </w:pPr>
      <w:r>
        <w:rPr>
          <w:rFonts w:hint="eastAsia" w:hAnsi="宋体" w:cs="宋体"/>
          <w:highlight w:val="none"/>
        </w:rPr>
        <w:t>2015年，支公司实现保费收入4200万元，在当地的市场份额为55%以上。</w:t>
      </w:r>
    </w:p>
    <w:p w14:paraId="0093E384">
      <w:pPr>
        <w:pStyle w:val="4"/>
        <w:bidi w:val="0"/>
        <w:rPr>
          <w:rFonts w:hint="eastAsia"/>
          <w:highlight w:val="none"/>
        </w:rPr>
      </w:pPr>
      <w:r>
        <w:rPr>
          <w:rFonts w:hint="eastAsia"/>
          <w:highlight w:val="none"/>
        </w:rPr>
        <w:t>【开办业务产品】</w:t>
      </w:r>
    </w:p>
    <w:p w14:paraId="4F15C025">
      <w:pPr>
        <w:rPr>
          <w:rFonts w:hint="eastAsia" w:hAnsi="宋体" w:eastAsia="宋体" w:cs="宋体"/>
          <w:highlight w:val="none"/>
          <w:lang w:eastAsia="zh-CN"/>
        </w:rPr>
      </w:pPr>
      <w:r>
        <w:rPr>
          <w:rFonts w:hint="eastAsia" w:hAnsi="宋体" w:cs="宋体"/>
          <w:highlight w:val="none"/>
        </w:rPr>
        <w:t>支公司立足服务当地经济社会发展，承办当地政策性水稻种植保险、政策性能繁母猪保险、政策性农村住房保险和自然灾害公众责任保险等，开展扶贫济困等公益活动。</w:t>
      </w:r>
    </w:p>
    <w:p w14:paraId="54A82B5D">
      <w:pPr>
        <w:rPr>
          <w:rFonts w:hint="eastAsia" w:hAnsi="宋体" w:eastAsia="宋体" w:cs="宋体"/>
          <w:highlight w:val="none"/>
          <w:lang w:eastAsia="zh-CN"/>
        </w:rPr>
      </w:pPr>
      <w:r>
        <w:rPr>
          <w:rFonts w:hint="eastAsia" w:hAnsi="宋体" w:cs="宋体"/>
          <w:highlight w:val="none"/>
        </w:rPr>
        <w:t>附：2015年人民财产保险南雄支公司领导班子成员名单</w:t>
      </w:r>
    </w:p>
    <w:p w14:paraId="227AB1EB">
      <w:pPr>
        <w:rPr>
          <w:rFonts w:hint="eastAsia" w:hAnsi="宋体" w:eastAsia="宋体" w:cs="宋体"/>
          <w:highlight w:val="none"/>
          <w:lang w:eastAsia="zh-CN"/>
        </w:rPr>
      </w:pPr>
      <w:r>
        <w:rPr>
          <w:rFonts w:hint="eastAsia" w:hAnsi="宋体" w:cs="宋体"/>
          <w:highlight w:val="none"/>
        </w:rPr>
        <w:t>总经理：黄信峰</w:t>
      </w:r>
    </w:p>
    <w:p w14:paraId="29BBD7E1">
      <w:pPr>
        <w:rPr>
          <w:rFonts w:hint="eastAsia" w:hAnsi="宋体" w:eastAsia="宋体" w:cs="宋体"/>
          <w:highlight w:val="none"/>
          <w:lang w:eastAsia="zh-CN"/>
        </w:rPr>
      </w:pPr>
      <w:r>
        <w:rPr>
          <w:rFonts w:hint="eastAsia" w:hAnsi="宋体" w:cs="宋体"/>
          <w:highlight w:val="none"/>
        </w:rPr>
        <w:t>副总经理：陈世华</w:t>
      </w:r>
    </w:p>
    <w:p w14:paraId="26BCB68D">
      <w:pPr>
        <w:pStyle w:val="2"/>
        <w:rPr>
          <w:rFonts w:hint="eastAsia" w:hAnsi="宋体" w:cs="宋体"/>
          <w:highlight w:val="none"/>
        </w:rPr>
      </w:pPr>
      <w:r>
        <w:rPr>
          <w:highlight w:val="none"/>
        </w:rPr>
        <w:br w:type="page"/>
      </w:r>
      <w:r>
        <w:rPr>
          <w:rFonts w:hint="eastAsia"/>
          <w:highlight w:val="none"/>
        </w:rPr>
        <w:t>教育·卫生·体育</w:t>
      </w:r>
    </w:p>
    <w:p w14:paraId="1585BA91">
      <w:pPr>
        <w:pStyle w:val="3"/>
        <w:bidi w:val="0"/>
        <w:rPr>
          <w:rFonts w:hint="eastAsia"/>
          <w:highlight w:val="none"/>
        </w:rPr>
      </w:pPr>
      <w:r>
        <w:rPr>
          <w:rFonts w:hint="eastAsia"/>
          <w:highlight w:val="none"/>
        </w:rPr>
        <w:t>教育</w:t>
      </w:r>
    </w:p>
    <w:p w14:paraId="6485C723">
      <w:pPr>
        <w:pStyle w:val="4"/>
        <w:bidi w:val="0"/>
        <w:rPr>
          <w:rFonts w:hint="eastAsia"/>
          <w:highlight w:val="none"/>
        </w:rPr>
      </w:pPr>
      <w:r>
        <w:rPr>
          <w:rFonts w:hint="eastAsia"/>
          <w:highlight w:val="none"/>
        </w:rPr>
        <w:t>【概况】</w:t>
      </w:r>
    </w:p>
    <w:p w14:paraId="7BAA84E9">
      <w:pPr>
        <w:rPr>
          <w:rFonts w:hint="eastAsia" w:hAnsi="宋体" w:cs="宋体"/>
          <w:highlight w:val="none"/>
        </w:rPr>
      </w:pPr>
      <w:r>
        <w:rPr>
          <w:rFonts w:hint="eastAsia" w:hAnsi="宋体" w:cs="宋体"/>
          <w:highlight w:val="none"/>
        </w:rPr>
        <w:t>2015年，南雄市教育系统以深化改革为动力、以提质增效为核心、以改善教育民生为目标，统筹发展各类教育，全面提升教育教学质量，取得显著成效。市教育局、南雄中学、市一中、黄坑中学、市中职均被评为2015年“南雄市经济社会发展重大贡献奖先进单位”，黎灿学校被评为“2015南雄榜样”单位，南雄中学教师黄恢芳被评为“2015南雄榜样”个人。</w:t>
      </w:r>
    </w:p>
    <w:p w14:paraId="610917AB">
      <w:pPr>
        <w:rPr>
          <w:rFonts w:hint="eastAsia" w:hAnsi="宋体" w:cs="宋体"/>
          <w:highlight w:val="none"/>
        </w:rPr>
      </w:pPr>
      <w:r>
        <w:rPr>
          <w:rFonts w:hint="eastAsia" w:hAnsi="宋体" w:cs="宋体"/>
          <w:highlight w:val="none"/>
        </w:rPr>
        <w:t>2015年，全市有中小学校121所。其中，独立普通高中2所，完全中学1所，中等职业技术学校1所，初级中学9所，九年一贯制学校7所，特殊教育学校1所，完全小学29所，分教学点71个；在校学生5.04万人，其中，普通高中0.93万人，中职0.08万人，初中1.26万人，小学2.77万人；全市在职专任教师0.41万人；全市有幼儿园61所，其中，公办幼儿园20所，民办幼儿园41所，在园幼儿1.5万人。</w:t>
      </w:r>
    </w:p>
    <w:p w14:paraId="324A8276">
      <w:pPr>
        <w:pStyle w:val="4"/>
        <w:bidi w:val="0"/>
        <w:rPr>
          <w:rFonts w:hint="eastAsia"/>
          <w:highlight w:val="none"/>
        </w:rPr>
      </w:pPr>
      <w:r>
        <w:rPr>
          <w:rFonts w:hint="eastAsia"/>
          <w:highlight w:val="none"/>
        </w:rPr>
        <w:t>【教育强镇建设】</w:t>
      </w:r>
    </w:p>
    <w:p w14:paraId="7C8734AB">
      <w:pPr>
        <w:rPr>
          <w:rFonts w:hint="eastAsia" w:hAnsi="宋体" w:cs="宋体"/>
          <w:highlight w:val="none"/>
        </w:rPr>
      </w:pPr>
      <w:r>
        <w:rPr>
          <w:rFonts w:hint="eastAsia" w:hAnsi="宋体" w:cs="宋体"/>
          <w:highlight w:val="none"/>
        </w:rPr>
        <w:t>南亩、界址、湖口、油山等4个镇通过教育强镇督导验收，全市18个镇（街）实现教育强镇全覆盖。</w:t>
      </w:r>
    </w:p>
    <w:p w14:paraId="51859021">
      <w:pPr>
        <w:pStyle w:val="4"/>
        <w:bidi w:val="0"/>
        <w:rPr>
          <w:rFonts w:hint="eastAsia"/>
          <w:highlight w:val="none"/>
        </w:rPr>
      </w:pPr>
      <w:r>
        <w:rPr>
          <w:rFonts w:hint="eastAsia"/>
          <w:highlight w:val="none"/>
        </w:rPr>
        <w:t>【重大教育民生工程建设】</w:t>
      </w:r>
    </w:p>
    <w:p w14:paraId="3E2A894F">
      <w:pPr>
        <w:rPr>
          <w:rFonts w:hint="eastAsia" w:hAnsi="宋体" w:cs="宋体"/>
          <w:highlight w:val="none"/>
        </w:rPr>
      </w:pPr>
      <w:r>
        <w:rPr>
          <w:rFonts w:hint="eastAsia" w:hAnsi="宋体" w:cs="宋体"/>
          <w:highlight w:val="none"/>
        </w:rPr>
        <w:t>全市投入1.5亿元建设新的教育“四大”民生工程：分别是搬迁重建新城中学及新建群众体育活动中心、搬迁重建梅岭小学、扩容提质建设实验小学、新建机关幼儿园小岛分园。其中，搬迁重建新城中学及新建群众体育活动中心计划总投资1.1亿元（含征地），高标准建成一所可容纳48个教学班2400名学生的初级中学和群众体育活动中心；搬迁重建梅岭小学计划总投资2603万元（含征地），高标准建成一所规模达15个教学班（含3个学前教育班）、可容纳600名学生就读的片村完小；扩容提质建设的实验小学计划投资380万元，扩建2100平方米校舍，增加学位约700个，高标准建成一所可容纳28个教学班1400名学生就读的现代化小学；新建机关幼儿园小岛分园计划一期投资410万元，高标准建成一所建筑面积2300平方米、可容纳12个教学班360名幼儿就读的现代化幼儿园。</w:t>
      </w:r>
    </w:p>
    <w:p w14:paraId="4287B7A8">
      <w:pPr>
        <w:pStyle w:val="4"/>
        <w:bidi w:val="0"/>
        <w:rPr>
          <w:rFonts w:hint="eastAsia"/>
          <w:highlight w:val="none"/>
        </w:rPr>
      </w:pPr>
      <w:r>
        <w:rPr>
          <w:rFonts w:hint="eastAsia"/>
          <w:highlight w:val="none"/>
        </w:rPr>
        <w:t>【教育信息化建设】</w:t>
      </w:r>
    </w:p>
    <w:p w14:paraId="2B6B6EED">
      <w:pPr>
        <w:rPr>
          <w:rFonts w:hint="eastAsia" w:hAnsi="宋体" w:cs="宋体"/>
          <w:highlight w:val="none"/>
        </w:rPr>
      </w:pPr>
      <w:r>
        <w:rPr>
          <w:rFonts w:hint="eastAsia" w:hAnsi="宋体" w:cs="宋体"/>
          <w:highlight w:val="none"/>
        </w:rPr>
        <w:t>南雄市顺利通过韶关市教育信息化建设验收，各中小学校实现“宽带网络校校通、优质资源班班通”，12月获得韶关市级财政100万元教育信息化发展奖励资金。</w:t>
      </w:r>
    </w:p>
    <w:p w14:paraId="7FE4CC05">
      <w:pPr>
        <w:pStyle w:val="4"/>
        <w:bidi w:val="0"/>
        <w:rPr>
          <w:rFonts w:hint="eastAsia"/>
          <w:highlight w:val="none"/>
        </w:rPr>
      </w:pPr>
      <w:r>
        <w:rPr>
          <w:rFonts w:hint="eastAsia"/>
          <w:highlight w:val="none"/>
        </w:rPr>
        <w:t>【学前教育】</w:t>
      </w:r>
    </w:p>
    <w:p w14:paraId="542ED024">
      <w:pPr>
        <w:rPr>
          <w:rFonts w:hint="eastAsia" w:hAnsi="宋体" w:cs="宋体"/>
          <w:highlight w:val="none"/>
        </w:rPr>
      </w:pPr>
      <w:r>
        <w:rPr>
          <w:rFonts w:hint="eastAsia" w:hAnsi="宋体" w:cs="宋体"/>
          <w:highlight w:val="none"/>
        </w:rPr>
        <w:t>南雄市深入推进实施第二期学前教育三年行动计划，完成南亩、界址、湖口、油山等4个镇中心幼儿园建设，18个镇（街）实现镇公办中心幼儿园全覆盖。全市有广东省一级幼儿园1所，韶关市一级幼儿园14所，南雄市一级幼儿园26所，南雄市规范化幼儿园15所。全市现有省级规范化幼儿园56所，规范化幼儿园覆盖率为91.8%。</w:t>
      </w:r>
    </w:p>
    <w:p w14:paraId="49B71FFF">
      <w:pPr>
        <w:pStyle w:val="4"/>
        <w:bidi w:val="0"/>
        <w:rPr>
          <w:rFonts w:hint="eastAsia"/>
          <w:highlight w:val="none"/>
        </w:rPr>
      </w:pPr>
      <w:r>
        <w:rPr>
          <w:rFonts w:hint="eastAsia"/>
          <w:highlight w:val="none"/>
        </w:rPr>
        <w:t>【义务教育】</w:t>
      </w:r>
    </w:p>
    <w:p w14:paraId="54C2EBA3">
      <w:pPr>
        <w:rPr>
          <w:rFonts w:hint="eastAsia" w:hAnsi="宋体" w:cs="宋体"/>
          <w:highlight w:val="none"/>
        </w:rPr>
      </w:pPr>
      <w:r>
        <w:rPr>
          <w:rFonts w:hint="eastAsia" w:hAnsi="宋体" w:cs="宋体"/>
          <w:highlight w:val="none"/>
        </w:rPr>
        <w:t>南雄市以创建“全国义务教育发展基本均衡县”为抓手，全面改善义务教育学校办学条件，优化城乡义务教育布局，实现城乡义务教育一体化，义务教育标准化学校覆盖率达100%。年底，南雄市顺利通过全国义务教育发展基本均衡县国家级督导评估。同时，在乌迳中学设立小学部，进一步优化乌迳镇学校布局。黎灿学校、永康路小学、南雄一小3所学校荣获“全国优秀家长学校”称号。争取中央苏区县财政资金2100万元，计划用于搬迁重建古市中心小学和古市镇中心幼儿园。</w:t>
      </w:r>
    </w:p>
    <w:p w14:paraId="27631DB3">
      <w:pPr>
        <w:pStyle w:val="4"/>
        <w:bidi w:val="0"/>
        <w:rPr>
          <w:rFonts w:hint="eastAsia"/>
          <w:highlight w:val="none"/>
        </w:rPr>
      </w:pPr>
      <w:r>
        <w:rPr>
          <w:rFonts w:hint="eastAsia"/>
          <w:highlight w:val="none"/>
        </w:rPr>
        <w:t>【高中</w:t>
      </w:r>
      <w:r>
        <w:rPr>
          <w:rFonts w:hint="eastAsia"/>
          <w:highlight w:val="none"/>
          <w:lang w:eastAsia="zh-CN"/>
        </w:rPr>
        <w:t>（</w:t>
      </w:r>
      <w:r>
        <w:rPr>
          <w:rFonts w:hint="eastAsia"/>
          <w:highlight w:val="none"/>
        </w:rPr>
        <w:t>中职</w:t>
      </w:r>
      <w:r>
        <w:rPr>
          <w:rFonts w:hint="eastAsia"/>
          <w:highlight w:val="none"/>
          <w:lang w:eastAsia="zh-CN"/>
        </w:rPr>
        <w:t>）</w:t>
      </w:r>
      <w:r>
        <w:rPr>
          <w:rFonts w:hint="eastAsia"/>
          <w:highlight w:val="none"/>
        </w:rPr>
        <w:t>教育】</w:t>
      </w:r>
    </w:p>
    <w:p w14:paraId="0FC6EB51">
      <w:pPr>
        <w:rPr>
          <w:rFonts w:hint="eastAsia" w:hAnsi="宋体" w:cs="宋体"/>
          <w:highlight w:val="none"/>
        </w:rPr>
      </w:pPr>
      <w:r>
        <w:rPr>
          <w:rFonts w:hint="eastAsia" w:hAnsi="宋体" w:cs="宋体"/>
          <w:highlight w:val="none"/>
        </w:rPr>
        <w:t>2015年，全市高考成绩再创新高，各批次上线人数居韶关各县（市、区）榜首。其中重点本科上线368人，上线率达10.2%</w:t>
      </w:r>
      <w:r>
        <w:rPr>
          <w:rFonts w:hint="eastAsia" w:hAnsi="宋体" w:cs="宋体"/>
          <w:highlight w:val="none"/>
          <w:lang w:eastAsia="zh-CN"/>
        </w:rPr>
        <w:t>；</w:t>
      </w:r>
      <w:r>
        <w:rPr>
          <w:rFonts w:hint="eastAsia" w:hAnsi="宋体" w:cs="宋体"/>
          <w:highlight w:val="none"/>
        </w:rPr>
        <w:t>本科以上上线人数1285人，上线率比2014年提高2.63%；专科以上上线人数3036人，增长6.6%；“3+证书”考生上线人数198人，比2014年增长120%。南雄市第一中学学生李子杨以149分荣获全省文科数学状元；南雄市第一中学学生赖国强以291分名列全省体育术科第8名。南雄中学钟鸣以634分、何光琦以632分、李建宏以625分、梁祖清以620分分别名列韶关市文科总分前10名；南雄中学李世璇以668分名列韶关市理科总分前10名。</w:t>
      </w:r>
    </w:p>
    <w:p w14:paraId="255A54E3">
      <w:pPr>
        <w:rPr>
          <w:rFonts w:hint="eastAsia" w:hAnsi="宋体" w:cs="宋体"/>
          <w:highlight w:val="none"/>
        </w:rPr>
      </w:pPr>
      <w:r>
        <w:rPr>
          <w:rFonts w:hint="eastAsia" w:hAnsi="宋体" w:cs="宋体"/>
          <w:highlight w:val="none"/>
        </w:rPr>
        <w:t>同时，争取中央苏区县财政资金2900万元和上级财政资金1200万元，用于全面升级改造南雄中学、南雄市第一中学、黄坑中学等3所普通高中学校。其中，计划投入1042万元实施南雄市第一中学新建宿舍楼新建和学生食堂扩建工程，投入700万元实施南雄市第一中学教学仪器设备配备及消防等其他设施维修改造工程，投入629万元实施黄坑中学塑胶运动场工程，投入768万元实施黄坑中学教学仪器设备配备及消防等其他设施维修改造工程，投入1200万元实施南雄中学教学仪器设备配备及消防电力改造工程。</w:t>
      </w:r>
    </w:p>
    <w:p w14:paraId="2AB1668B">
      <w:pPr>
        <w:pStyle w:val="4"/>
        <w:bidi w:val="0"/>
        <w:rPr>
          <w:rFonts w:hint="eastAsia"/>
          <w:highlight w:val="none"/>
        </w:rPr>
      </w:pPr>
      <w:r>
        <w:rPr>
          <w:rFonts w:hint="eastAsia"/>
          <w:highlight w:val="none"/>
        </w:rPr>
        <w:t>【特殊教育】</w:t>
      </w:r>
    </w:p>
    <w:p w14:paraId="1CC39341">
      <w:pPr>
        <w:rPr>
          <w:rFonts w:hint="eastAsia" w:hAnsi="宋体" w:cs="宋体"/>
          <w:highlight w:val="none"/>
        </w:rPr>
      </w:pPr>
      <w:r>
        <w:rPr>
          <w:rFonts w:hint="eastAsia" w:hAnsi="宋体" w:cs="宋体"/>
          <w:highlight w:val="none"/>
        </w:rPr>
        <w:t>南雄市深入贯彻落实特殊教育提升计划，特殊教育学校的办学条件持续改善。特殊教育学校现有教师12名，学生68人。全市残疾儿童少年入学率达97.8%。</w:t>
      </w:r>
    </w:p>
    <w:p w14:paraId="77AEE55D">
      <w:pPr>
        <w:pStyle w:val="4"/>
        <w:bidi w:val="0"/>
        <w:rPr>
          <w:rFonts w:hint="eastAsia"/>
          <w:highlight w:val="none"/>
        </w:rPr>
      </w:pPr>
      <w:r>
        <w:rPr>
          <w:rFonts w:hint="eastAsia"/>
          <w:highlight w:val="none"/>
        </w:rPr>
        <w:t>【德体卫艺与安全工作】</w:t>
      </w:r>
    </w:p>
    <w:p w14:paraId="0E5FC849">
      <w:pPr>
        <w:rPr>
          <w:rFonts w:hint="eastAsia" w:hAnsi="宋体" w:cs="宋体"/>
          <w:highlight w:val="none"/>
        </w:rPr>
      </w:pPr>
      <w:r>
        <w:rPr>
          <w:rFonts w:hint="eastAsia" w:hAnsi="宋体" w:cs="宋体"/>
          <w:highlight w:val="none"/>
        </w:rPr>
        <w:t>南雄市教育系统以“一校一品牌，一校一特色”为目标大力推进中小学校园文化建设；挂牌成立“南雄市中小学心理健康教育工作室”，选拔出22位优秀的心理辅导教师组成工作室队伍，构建心理健康教育工作体系。深入实施“体育、艺术2+1项目”，推动各类学校深入开展“阳光体育”运动，推进“三个一”活动，即让每一个孩子“喜欢一项体育项目、爱好一项艺术项目、写出一手好字”，组织全市性体艺大展示、大比武活动，举行中小学“九月礼赞”文艺汇演，努力提高学生综合素质。加强校园安全防范和各类安全教育，把法治教育纳入课堂，使安全隐患排查整改和应急演练形成常规，加强校园及周边环境整治，传染性疾病防控，接送车辆监管，做好信访维稳工作，确保全年校园安全零事故。</w:t>
      </w:r>
    </w:p>
    <w:p w14:paraId="5F82A6F2">
      <w:pPr>
        <w:pStyle w:val="4"/>
        <w:bidi w:val="0"/>
        <w:rPr>
          <w:rFonts w:hint="eastAsia"/>
          <w:highlight w:val="none"/>
        </w:rPr>
      </w:pPr>
      <w:r>
        <w:rPr>
          <w:rFonts w:hint="eastAsia"/>
          <w:highlight w:val="none"/>
        </w:rPr>
        <w:t>【教师队伍建设】</w:t>
      </w:r>
    </w:p>
    <w:p w14:paraId="0110C811">
      <w:pPr>
        <w:rPr>
          <w:rFonts w:hint="eastAsia" w:hAnsi="宋体" w:cs="宋体"/>
          <w:highlight w:val="none"/>
        </w:rPr>
      </w:pPr>
      <w:r>
        <w:rPr>
          <w:rFonts w:hint="eastAsia" w:hAnsi="宋体" w:cs="宋体"/>
          <w:highlight w:val="none"/>
        </w:rPr>
        <w:t>2015年，南雄市面向社会公开招聘高中（中职）、特殊教育学校教师共24名，其中高中教师20名、中职教师2名、特殊教育学校教师2名；招聘63名中小学、幼儿园新教师。进一步推进义务教育阶段教师轮岗交流，比例达8%</w:t>
      </w:r>
    </w:p>
    <w:p w14:paraId="58F0977E">
      <w:pPr>
        <w:rPr>
          <w:rFonts w:hint="eastAsia" w:hAnsi="宋体" w:cs="宋体"/>
          <w:highlight w:val="none"/>
        </w:rPr>
      </w:pPr>
      <w:r>
        <w:rPr>
          <w:rFonts w:hint="eastAsia" w:hAnsi="宋体" w:cs="宋体"/>
          <w:highlight w:val="none"/>
        </w:rPr>
        <w:t>以上。全系统受表彰省市优秀教师357人次，其中，南粤优秀教师3人，韶关市首席教师1人，韶关市优秀教师26人，韶关市优秀教研员2人，韶关市优秀教育工作者12人，韶关市优秀青年班主任5人，韶关市优秀乡村教师12人，韶关市优秀乡村校长2人，南雄市优秀班主任50人，南雄市优秀教师96人，南雄市优秀教育工作者52人，南雄市优秀乡村教师87人。</w:t>
      </w:r>
    </w:p>
    <w:p w14:paraId="363563EF">
      <w:pPr>
        <w:rPr>
          <w:rFonts w:hint="eastAsia" w:hAnsi="宋体" w:cs="宋体"/>
          <w:highlight w:val="none"/>
        </w:rPr>
      </w:pPr>
      <w:r>
        <w:rPr>
          <w:rFonts w:hint="eastAsia" w:hAnsi="宋体" w:cs="宋体"/>
          <w:highlight w:val="none"/>
        </w:rPr>
        <w:t>同时，全市深入推进教学常规精细化、教学科研常态化、督查视导科学化，申报国家省市县级课题213项；举行专题讲座21场、专家指导教师科研12校次、经验交流235人次、论文宣读361篇；市级公开课47节；设计大赛34次；现场议课32次；研修反思680人次。落实开展 “一师一优课，一课一名师，同步名师课堂”活动。全市有3900多名教师完成网上注册，在国家教育资源公共服务平台网上晒课2907节，占全韶关市的50%以上，参与教师的人数、晒课的数量及比例均居全韶关各县（市区）第一。40多位教师作品参加了全国优课评选，得到韶关市教育局充分肯定和表扬。</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997E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AED7DB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16760"/>
                  <wp:effectExtent l="0" t="0" r="8890" b="2540"/>
                  <wp:docPr id="89" name="图片 250" descr="教学楼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50" descr="教学楼24"/>
                          <pic:cNvPicPr>
                            <a:picLocks noChangeAspect="1"/>
                          </pic:cNvPicPr>
                        </pic:nvPicPr>
                        <pic:blipFill>
                          <a:blip r:embed="rId94"/>
                          <a:stretch>
                            <a:fillRect/>
                          </a:stretch>
                        </pic:blipFill>
                        <pic:spPr>
                          <a:xfrm>
                            <a:off x="0" y="0"/>
                            <a:ext cx="3420110" cy="2016760"/>
                          </a:xfrm>
                          <a:prstGeom prst="rect">
                            <a:avLst/>
                          </a:prstGeom>
                          <a:noFill/>
                          <a:ln>
                            <a:noFill/>
                          </a:ln>
                        </pic:spPr>
                      </pic:pic>
                    </a:graphicData>
                  </a:graphic>
                </wp:inline>
              </w:drawing>
            </w:r>
          </w:p>
        </w:tc>
      </w:tr>
      <w:tr w14:paraId="35A2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D4B5281">
            <w:pPr>
              <w:jc w:val="center"/>
              <w:rPr>
                <w:rFonts w:hint="eastAsia" w:hAnsi="宋体" w:cs="宋体"/>
                <w:highlight w:val="none"/>
                <w:vertAlign w:val="baseline"/>
              </w:rPr>
            </w:pPr>
            <w:r>
              <w:rPr>
                <w:rFonts w:hint="eastAsia" w:hAnsi="宋体" w:cs="宋体"/>
                <w:highlight w:val="none"/>
                <w:vertAlign w:val="baseline"/>
              </w:rPr>
              <w:t>在建的新城中学教学楼</w:t>
            </w:r>
          </w:p>
        </w:tc>
      </w:tr>
      <w:tr w14:paraId="793B6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B9D42D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831340"/>
                  <wp:effectExtent l="0" t="0" r="8890" b="16510"/>
                  <wp:docPr id="90" name="图片 251" descr="实验楼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51" descr="实验楼25"/>
                          <pic:cNvPicPr>
                            <a:picLocks noChangeAspect="1"/>
                          </pic:cNvPicPr>
                        </pic:nvPicPr>
                        <pic:blipFill>
                          <a:blip r:embed="rId95"/>
                          <a:stretch>
                            <a:fillRect/>
                          </a:stretch>
                        </pic:blipFill>
                        <pic:spPr>
                          <a:xfrm>
                            <a:off x="0" y="0"/>
                            <a:ext cx="3420110" cy="1831340"/>
                          </a:xfrm>
                          <a:prstGeom prst="rect">
                            <a:avLst/>
                          </a:prstGeom>
                          <a:noFill/>
                          <a:ln>
                            <a:noFill/>
                          </a:ln>
                        </pic:spPr>
                      </pic:pic>
                    </a:graphicData>
                  </a:graphic>
                </wp:inline>
              </w:drawing>
            </w:r>
          </w:p>
        </w:tc>
      </w:tr>
      <w:tr w14:paraId="4D6C1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297BC4A">
            <w:pPr>
              <w:jc w:val="center"/>
              <w:rPr>
                <w:rFonts w:hint="eastAsia" w:hAnsi="宋体" w:cs="宋体"/>
                <w:highlight w:val="none"/>
                <w:vertAlign w:val="baseline"/>
              </w:rPr>
            </w:pPr>
            <w:r>
              <w:rPr>
                <w:rFonts w:hint="eastAsia" w:hAnsi="宋体" w:cs="宋体"/>
                <w:highlight w:val="none"/>
                <w:vertAlign w:val="baseline"/>
              </w:rPr>
              <w:t>在建的新城中学实验楼</w:t>
            </w:r>
          </w:p>
        </w:tc>
      </w:tr>
    </w:tbl>
    <w:p w14:paraId="6C0330A0">
      <w:pPr>
        <w:pStyle w:val="4"/>
        <w:bidi w:val="0"/>
        <w:rPr>
          <w:rFonts w:hint="eastAsia"/>
          <w:highlight w:val="none"/>
        </w:rPr>
      </w:pPr>
      <w:r>
        <w:rPr>
          <w:rFonts w:hint="eastAsia"/>
          <w:highlight w:val="none"/>
        </w:rPr>
        <w:t>【党建维稳工作】</w:t>
      </w:r>
    </w:p>
    <w:p w14:paraId="53EFF1B6">
      <w:pPr>
        <w:rPr>
          <w:rFonts w:hint="eastAsia" w:hAnsi="宋体" w:cs="宋体"/>
          <w:highlight w:val="none"/>
        </w:rPr>
      </w:pPr>
      <w:r>
        <w:rPr>
          <w:rFonts w:hint="eastAsia" w:hAnsi="宋体" w:cs="宋体"/>
          <w:highlight w:val="none"/>
        </w:rPr>
        <w:t>南雄市教育系统落实党组织书记严格履行党风廉政建设主体责任，加强纪律教育，引导广大教育工作者守纪律讲规矩，积极开展廉政文化进校园、进机关活动，深化党务、政务、校务公开，加强纪检监察工作，加大案件的查处力度。落实基层党组织书记党建第一责任人的责任，召开以“三严三实”为主题组织生活会、民主生活会，全系统党员上交党员互助金10万多元、党费28万多元，吸收预备党员10名、转正正式党员13名。</w:t>
      </w:r>
    </w:p>
    <w:p w14:paraId="014B11E6">
      <w:pPr>
        <w:pStyle w:val="4"/>
        <w:bidi w:val="0"/>
        <w:rPr>
          <w:rFonts w:hint="eastAsia"/>
          <w:highlight w:val="none"/>
        </w:rPr>
      </w:pPr>
      <w:r>
        <w:rPr>
          <w:rFonts w:hint="eastAsia"/>
          <w:highlight w:val="none"/>
        </w:rPr>
        <w:t>【助学工作】</w:t>
      </w:r>
    </w:p>
    <w:p w14:paraId="19EA9DBA">
      <w:pPr>
        <w:rPr>
          <w:rFonts w:hint="eastAsia" w:hAnsi="宋体" w:cs="宋体"/>
          <w:highlight w:val="none"/>
        </w:rPr>
      </w:pPr>
      <w:r>
        <w:rPr>
          <w:rFonts w:hint="eastAsia" w:hAnsi="宋体" w:cs="宋体"/>
          <w:highlight w:val="none"/>
        </w:rPr>
        <w:t>南雄市教育系统落实学前教育阶段、义务教育阶段、高中（中职）教育阶段家庭经济困难学生资助政策，2015年国家资助项目合计资助23964人次，发放资助资金834.362万元。其中，学前教育阶段，国家助学金项目资助学生2913人次，资助金额58.23万元；义务教育阶段，家庭经济困难学生生活费补助项目资助学生15970人次，资助金额219.5020万元；普通高中教育阶段，国家助学金项目资助学生4120人次，资助金额412万元；残疾学生免学费项目资助16人次，资助金额5.28万元；中职免学费项目资助897人次，资助金额134.55万元，国家助学金项目资助48人次，资助金额4.8万元。市教育局设立 “南雄市生源地助学贷款中心”，为34名考取省外大学生办理生源地信用助学贷款业务，贷款金额为24.55万元。（王小兰）</w:t>
      </w:r>
    </w:p>
    <w:p w14:paraId="5DE7E755">
      <w:pPr>
        <w:rPr>
          <w:rFonts w:hint="eastAsia" w:hAnsi="宋体" w:eastAsia="宋体" w:cs="宋体"/>
          <w:b w:val="0"/>
          <w:bCs w:val="0"/>
          <w:highlight w:val="none"/>
          <w:lang w:eastAsia="zh-CN"/>
        </w:rPr>
      </w:pPr>
      <w:r>
        <w:rPr>
          <w:rFonts w:hint="eastAsia" w:hAnsi="宋体" w:cs="宋体"/>
          <w:b w:val="0"/>
          <w:bCs w:val="0"/>
          <w:highlight w:val="none"/>
        </w:rPr>
        <w:t>附：2015年市教育局领导班子成员名单</w:t>
      </w:r>
    </w:p>
    <w:p w14:paraId="4879495B">
      <w:pPr>
        <w:rPr>
          <w:rFonts w:hint="eastAsia" w:hAnsi="宋体" w:cs="宋体"/>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w:t>
      </w:r>
      <w:r>
        <w:rPr>
          <w:rFonts w:hint="eastAsia" w:hAnsi="宋体" w:cs="宋体"/>
          <w:highlight w:val="none"/>
        </w:rPr>
        <w:t>田文斌</w:t>
      </w:r>
    </w:p>
    <w:p w14:paraId="2AF58BE3">
      <w:pPr>
        <w:rPr>
          <w:rFonts w:hint="eastAsia" w:hAnsi="宋体" w:eastAsia="宋体" w:cs="宋体"/>
          <w:highlight w:val="none"/>
          <w:lang w:eastAsia="zh-CN"/>
        </w:rPr>
      </w:pPr>
      <w:r>
        <w:rPr>
          <w:rFonts w:hint="eastAsia" w:hAnsi="宋体" w:cs="宋体"/>
          <w:highlight w:val="none"/>
        </w:rPr>
        <w:t>副局长：曾昭泉 邓朝东 钟顺华</w:t>
      </w:r>
    </w:p>
    <w:p w14:paraId="41DBA126">
      <w:pPr>
        <w:rPr>
          <w:rFonts w:hint="eastAsia" w:hAnsi="宋体" w:cs="宋体"/>
          <w:highlight w:val="none"/>
        </w:rPr>
      </w:pPr>
      <w:r>
        <w:rPr>
          <w:rFonts w:hint="eastAsia" w:hAnsi="宋体" w:cs="宋体"/>
          <w:highlight w:val="none"/>
        </w:rPr>
        <w:t>纪工委书记：谢祥英</w:t>
      </w:r>
    </w:p>
    <w:p w14:paraId="5D448912">
      <w:pPr>
        <w:rPr>
          <w:rFonts w:hint="eastAsia" w:hAnsi="宋体" w:cs="宋体"/>
          <w:highlight w:val="none"/>
        </w:rPr>
      </w:pPr>
      <w:r>
        <w:rPr>
          <w:rFonts w:hint="eastAsia" w:hAnsi="宋体" w:cs="宋体"/>
          <w:highlight w:val="none"/>
        </w:rPr>
        <w:t>办公室主任：刘桂香</w:t>
      </w:r>
    </w:p>
    <w:p w14:paraId="46EC9ECC">
      <w:pPr>
        <w:pStyle w:val="3"/>
        <w:bidi w:val="0"/>
        <w:rPr>
          <w:rFonts w:hint="eastAsia"/>
          <w:highlight w:val="none"/>
        </w:rPr>
      </w:pPr>
      <w:r>
        <w:rPr>
          <w:rFonts w:hint="eastAsia"/>
          <w:highlight w:val="none"/>
        </w:rPr>
        <w:t>学校选介</w:t>
      </w:r>
    </w:p>
    <w:p w14:paraId="01F5C15E">
      <w:pPr>
        <w:pStyle w:val="4"/>
        <w:bidi w:val="0"/>
        <w:rPr>
          <w:rFonts w:hint="eastAsia"/>
          <w:highlight w:val="none"/>
        </w:rPr>
      </w:pPr>
      <w:r>
        <w:rPr>
          <w:rFonts w:hint="eastAsia"/>
          <w:highlight w:val="none"/>
        </w:rPr>
        <w:t>【南雄中学】</w:t>
      </w:r>
    </w:p>
    <w:p w14:paraId="4A4424BF">
      <w:pPr>
        <w:rPr>
          <w:rFonts w:hint="eastAsia" w:hAnsi="宋体" w:cs="宋体"/>
          <w:highlight w:val="none"/>
        </w:rPr>
      </w:pPr>
      <w:r>
        <w:rPr>
          <w:rFonts w:hint="eastAsia" w:hAnsi="宋体" w:cs="宋体"/>
          <w:highlight w:val="none"/>
        </w:rPr>
        <w:t>南雄中学前身为道南书院（1765年），1906年创办新学；1912年，奉省教育厅命令，改为“广东省立南雄中学”；1924年，改为“广东省立第六中学”；1934年，改为“广东省立南雄中学”；1951年，定名为“广东南雄中学”；1981年，被广东省人民政府定为南雄县重点中学；1995年，被评为首批“韶关市一级学校”；2003年，被评为“广东省一级学校”；2007年，晋升为首批“广东省国家级示范性普通高中”。</w:t>
      </w:r>
    </w:p>
    <w:p w14:paraId="2B16EBFD">
      <w:pPr>
        <w:rPr>
          <w:rFonts w:hint="eastAsia" w:hAnsi="宋体" w:cs="宋体"/>
          <w:highlight w:val="none"/>
        </w:rPr>
      </w:pPr>
      <w:r>
        <w:rPr>
          <w:rFonts w:hint="eastAsia" w:hAnsi="宋体" w:cs="宋体"/>
          <w:highlight w:val="none"/>
        </w:rPr>
        <w:t>该校占地148亩，建筑面积近6万平方米。现有学生5000多人，是韶关市内规模最大的学校。该校师资力量雄厚，有教职工337人，其中特级教师2人，高级教师88人，一级教师111名；硕士研究生6人，研究生学力33人，专任教师学历达标率100%；拥有省级以上名校长、名教师6人，省级骨干教师30人，韶关市名校长、名教师11人。该校设施完善、设备先进，配备多媒体教学平台的教学大楼3栋72间课室，设备先进的实验楼1栋，藏书丰富图书馆1栋，功能齐全的学术交流中心1栋，高标准的综合大楼1栋，学生公寓式宿舍4栋，现代化的学生饭堂1座，400米标准塑胶田径运动场1个，塑胶篮球场6个；完善的电视监控系统，先进的网络化管理。现代教学设施设备在韶关市内居于领先地位。2015年秋季，向上争取苏区县教育专项建设资金1200万元，用于教学功能室等11个建设项目。</w:t>
      </w:r>
    </w:p>
    <w:p w14:paraId="5B51B9D0">
      <w:pPr>
        <w:rPr>
          <w:rFonts w:hint="eastAsia" w:hAnsi="宋体" w:cs="宋体"/>
          <w:highlight w:val="none"/>
        </w:rPr>
      </w:pPr>
      <w:r>
        <w:rPr>
          <w:rFonts w:hint="eastAsia" w:hAnsi="宋体" w:cs="宋体"/>
          <w:highlight w:val="none"/>
        </w:rPr>
        <w:t>该校一直是省市重点中学，在长期的办学过程中，积累了丰富的办学经验，形成了“文化雄中、活力雄中、和谐雄中”的校园文化特色；“团结求实、进取创新”的科组特色；“以人为本，着眼发展”的德育特色；以“一球带多球”的群体性体育活动特色。学校先后获得全国中小学“科研兴校示范基地”、全国体育锻炼先进单位、广东省普通高中教学水平评估优秀学校、广东省一级学校、广东省国家级示范性普通高中、广东省普教系统先进集体、广东省“固本强基”先进基层党组织、广东省体育特色学校、广东省书香校园、韶关市高考优胜学校等60多个国家、省、市级和30多个县市级先进荣誉称号。</w:t>
      </w:r>
    </w:p>
    <w:p w14:paraId="7C0E8457">
      <w:pPr>
        <w:rPr>
          <w:rFonts w:hint="eastAsia" w:hAnsi="宋体" w:cs="宋体"/>
          <w:highlight w:val="none"/>
          <w:vertAlign w:val="baseline"/>
        </w:rPr>
      </w:pPr>
      <w:r>
        <w:rPr>
          <w:rFonts w:hint="eastAsia" w:hAnsi="宋体" w:cs="宋体"/>
          <w:highlight w:val="none"/>
        </w:rPr>
        <w:t>恢复高考至今，该校已为国家输送2万多名各类人才。尤其令人瞩目的是：有20位同学先后考入北京大学、清华大学；3人获高考广东省单科状元，8人摘取高考韶关市总分桂冠。从2005年至2015年，该校连续11年被评为“韶关市普通高中教学质量优秀学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2853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F47126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89175"/>
                  <wp:effectExtent l="0" t="0" r="8890" b="15875"/>
                  <wp:docPr id="91" name="图片 252" descr="南雄中学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52" descr="南雄中学26"/>
                          <pic:cNvPicPr>
                            <a:picLocks noChangeAspect="1"/>
                          </pic:cNvPicPr>
                        </pic:nvPicPr>
                        <pic:blipFill>
                          <a:blip r:embed="rId96"/>
                          <a:stretch>
                            <a:fillRect/>
                          </a:stretch>
                        </pic:blipFill>
                        <pic:spPr>
                          <a:xfrm>
                            <a:off x="0" y="0"/>
                            <a:ext cx="3420110" cy="2289175"/>
                          </a:xfrm>
                          <a:prstGeom prst="rect">
                            <a:avLst/>
                          </a:prstGeom>
                          <a:noFill/>
                          <a:ln>
                            <a:noFill/>
                          </a:ln>
                        </pic:spPr>
                      </pic:pic>
                    </a:graphicData>
                  </a:graphic>
                </wp:inline>
              </w:drawing>
            </w:r>
          </w:p>
        </w:tc>
      </w:tr>
      <w:tr w14:paraId="6CAC8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E15697A">
            <w:pPr>
              <w:jc w:val="center"/>
              <w:rPr>
                <w:rFonts w:hint="eastAsia" w:hAnsi="宋体" w:cs="宋体"/>
                <w:highlight w:val="none"/>
                <w:vertAlign w:val="baseline"/>
              </w:rPr>
            </w:pPr>
            <w:r>
              <w:rPr>
                <w:rFonts w:hint="eastAsia" w:hAnsi="宋体" w:cs="宋体"/>
                <w:highlight w:val="none"/>
              </w:rPr>
              <w:t>南雄中学“双学双比”活动启动仪式</w:t>
            </w:r>
          </w:p>
        </w:tc>
      </w:tr>
    </w:tbl>
    <w:p w14:paraId="6FAFABD6">
      <w:pPr>
        <w:rPr>
          <w:rFonts w:hint="eastAsia" w:hAnsi="宋体" w:cs="宋体"/>
          <w:highlight w:val="none"/>
        </w:rPr>
      </w:pPr>
      <w:r>
        <w:rPr>
          <w:rFonts w:hint="eastAsia" w:hAnsi="宋体" w:cs="宋体"/>
          <w:b/>
          <w:bCs/>
          <w:highlight w:val="none"/>
        </w:rPr>
        <w:t>中高</w:t>
      </w:r>
      <w:r>
        <w:rPr>
          <w:rFonts w:hint="eastAsia" w:hAnsi="宋体" w:cs="宋体"/>
          <w:b/>
          <w:highlight w:val="none"/>
        </w:rPr>
        <w:t>考取得突破</w:t>
      </w:r>
      <w:r>
        <w:rPr>
          <w:rFonts w:hint="eastAsia" w:hAnsi="宋体" w:cs="宋体"/>
          <w:b/>
          <w:highlight w:val="none"/>
          <w:lang w:val="en-US" w:eastAsia="zh-CN"/>
        </w:rPr>
        <w:t xml:space="preserve">  </w:t>
      </w:r>
      <w:r>
        <w:rPr>
          <w:rFonts w:hint="eastAsia" w:hAnsi="宋体" w:cs="宋体"/>
          <w:highlight w:val="none"/>
        </w:rPr>
        <w:t>2015年高考，亮点纷呈，全面丰收，取得重大突破。该校有5人总分进入韶关市前10名，文理科入围韶关市前10名人数在全韶关市重点中学中排名第二，仅次于北江中学。该校重点本科上线人数237人，其中，普通类170人（含理科130人，文科35人，体艺5人），广东省重点院校面向农村专项定向招生（即“地方专项招生计划”）重点本科上线人数67人，高居韶关市县（区、市）中学榜首。高分层人数（600分以上）理科62人，文科13人，合计75人，居韶关市县（区、市）中学第一名。本科以上入线人数823人，居韶关市县（区、市）中学第一名。在2015年韶关市教育教学评估中，该校位居各县市（区）重点中学第一名。学校连续第11年被评为“韶关市普通高中教学质量优秀学校”，是全韶关市唯一一所连续11年获此殊荣的学校。2015年该校中考再创辉煌，包揽全市中考总分前10名；600分以上达78人（全市121人）。</w:t>
      </w:r>
    </w:p>
    <w:p w14:paraId="7B26BA93">
      <w:pPr>
        <w:rPr>
          <w:rFonts w:hint="eastAsia" w:hAnsi="宋体" w:cs="宋体"/>
          <w:highlight w:val="none"/>
        </w:rPr>
      </w:pPr>
      <w:r>
        <w:rPr>
          <w:rFonts w:hint="eastAsia" w:hAnsi="宋体" w:cs="宋体"/>
          <w:b/>
          <w:bCs/>
          <w:highlight w:val="none"/>
        </w:rPr>
        <w:t>推进教育现</w:t>
      </w:r>
      <w:r>
        <w:rPr>
          <w:rFonts w:hint="eastAsia" w:hAnsi="宋体" w:cs="宋体"/>
          <w:b/>
          <w:highlight w:val="none"/>
        </w:rPr>
        <w:t>代化建设</w:t>
      </w:r>
      <w:r>
        <w:rPr>
          <w:rFonts w:hint="eastAsia" w:hAnsi="宋体" w:cs="宋体"/>
          <w:b/>
          <w:highlight w:val="none"/>
          <w:lang w:val="en-US" w:eastAsia="zh-CN"/>
        </w:rPr>
        <w:t xml:space="preserve">  </w:t>
      </w:r>
      <w:r>
        <w:rPr>
          <w:rFonts w:hint="eastAsia" w:hAnsi="宋体" w:cs="宋体"/>
          <w:highlight w:val="none"/>
        </w:rPr>
        <w:t>2015年，该校坚持内涵发展，不断推进教育现代化建设，高举“中央苏区县”金字招牌，向广东省教育厅争取到教育现代化装备建设专项资金1200万元，用于历史、化学、物理、音乐、美术、体育等功能室以及电子图书室、中央热水系统、供电系统、消防系统、直饮水系统等11个项目建设。11个项目稳步推进，学校现代教育化建设得到加速推进。</w:t>
      </w:r>
    </w:p>
    <w:p w14:paraId="43CD8B1B">
      <w:pPr>
        <w:rPr>
          <w:rFonts w:hint="eastAsia" w:hAnsi="宋体" w:cs="宋体"/>
          <w:highlight w:val="none"/>
        </w:rPr>
      </w:pPr>
      <w:r>
        <w:rPr>
          <w:rFonts w:hint="eastAsia" w:hAnsi="宋体" w:cs="宋体"/>
          <w:b/>
          <w:bCs/>
          <w:highlight w:val="none"/>
        </w:rPr>
        <w:t>教研教改成绩</w:t>
      </w:r>
      <w:r>
        <w:rPr>
          <w:rFonts w:hint="eastAsia" w:hAnsi="宋体" w:cs="宋体"/>
          <w:b/>
          <w:highlight w:val="none"/>
        </w:rPr>
        <w:t>显著</w:t>
      </w:r>
      <w:r>
        <w:rPr>
          <w:rFonts w:hint="eastAsia" w:hAnsi="宋体" w:cs="宋体"/>
          <w:b/>
          <w:highlight w:val="none"/>
          <w:lang w:val="en-US" w:eastAsia="zh-CN"/>
        </w:rPr>
        <w:t xml:space="preserve">  </w:t>
      </w:r>
      <w:r>
        <w:rPr>
          <w:rFonts w:hint="eastAsia" w:hAnsi="宋体" w:cs="宋体"/>
          <w:highlight w:val="none"/>
        </w:rPr>
        <w:t>2015年，该校坚持以教育教学为中心，强力推进科组建设，大力加强教科研工作。教研教改成绩显著，教师论文、课题共有44人次获县级市以上奖励，其中获国家奖励1人次，省级奖励13人次，韶关市级奖励15人次，县市级奖励15人次。</w:t>
      </w:r>
    </w:p>
    <w:p w14:paraId="0DDB3684">
      <w:pPr>
        <w:rPr>
          <w:rFonts w:hint="eastAsia" w:hAnsi="宋体" w:cs="宋体"/>
          <w:highlight w:val="none"/>
        </w:rPr>
      </w:pPr>
      <w:r>
        <w:rPr>
          <w:rFonts w:hint="eastAsia" w:hAnsi="宋体" w:cs="宋体"/>
          <w:b/>
          <w:bCs/>
          <w:highlight w:val="none"/>
        </w:rPr>
        <w:t>校园文化百</w:t>
      </w:r>
      <w:r>
        <w:rPr>
          <w:rFonts w:hint="eastAsia" w:hAnsi="宋体" w:cs="宋体"/>
          <w:b/>
          <w:highlight w:val="none"/>
        </w:rPr>
        <w:t>花齐放</w:t>
      </w:r>
      <w:r>
        <w:rPr>
          <w:rFonts w:hint="eastAsia" w:hAnsi="宋体" w:cs="宋体"/>
          <w:b/>
          <w:highlight w:val="none"/>
          <w:lang w:val="en-US" w:eastAsia="zh-CN"/>
        </w:rPr>
        <w:t xml:space="preserve">  </w:t>
      </w:r>
      <w:r>
        <w:rPr>
          <w:rFonts w:hint="eastAsia" w:hAnsi="宋体" w:cs="宋体"/>
          <w:highlight w:val="none"/>
        </w:rPr>
        <w:t>2015年，该校践行特色办学理念，大力加强校园文化建设，成功举办2015年“成人礼”活动、校庆纪念日活动、校园文化艺术节等大型文化艺术活动，建成并巩固“团结协作、和谐共进”的团队文化，“精益求精、爱生如子”育人文化、“刻苦拼搏、尊师如父”求学文化，“兼容并包、百花齐放”校园文化。是年校文艺、体育教育事业取得众多新成就：获得省级奖励8项，市级奖励7项。文艺代表队勇夺韶关市第20届“英东杯”文艺竞赛中学组合唱一等奖；学生女子篮球蝉联韶关市“英东杯”中学组亚军；健美操代表队勇夺2015年广东省中学健美团体总分第一名，并获7个单项高层次奖励；在广东省第十二届中小学电脑机器人活动中，校代表队勇夺三等奖；在韶关市第八届中小学虚拟机器人大赛获一等奖1人，二等奖3人，三等奖2人。（黄银英）</w:t>
      </w:r>
    </w:p>
    <w:p w14:paraId="25ABBDC9">
      <w:pPr>
        <w:rPr>
          <w:rFonts w:hint="eastAsia" w:hAnsi="宋体" w:eastAsia="宋体" w:cs="宋体"/>
          <w:highlight w:val="none"/>
          <w:lang w:eastAsia="zh-CN"/>
        </w:rPr>
      </w:pPr>
      <w:r>
        <w:rPr>
          <w:rFonts w:hint="eastAsia" w:hAnsi="宋体" w:cs="宋体"/>
          <w:highlight w:val="none"/>
        </w:rPr>
        <w:t>附：2015年南雄中学领导班子成员名单</w:t>
      </w:r>
    </w:p>
    <w:p w14:paraId="2273CD2C">
      <w:pPr>
        <w:rPr>
          <w:rFonts w:hint="eastAsia" w:hAnsi="宋体" w:eastAsia="宋体" w:cs="宋体"/>
          <w:highlight w:val="none"/>
          <w:lang w:eastAsia="zh-CN"/>
        </w:rPr>
      </w:pPr>
      <w:r>
        <w:rPr>
          <w:rFonts w:hint="eastAsia" w:hAnsi="宋体" w:cs="宋体"/>
          <w:highlight w:val="none"/>
        </w:rPr>
        <w:t>校长：刘卫民</w:t>
      </w:r>
    </w:p>
    <w:p w14:paraId="0F3D382C">
      <w:pPr>
        <w:rPr>
          <w:rFonts w:hint="eastAsia" w:hAnsi="宋体" w:cs="宋体"/>
          <w:highlight w:val="none"/>
        </w:rPr>
      </w:pPr>
      <w:r>
        <w:rPr>
          <w:rFonts w:hint="eastAsia" w:hAnsi="宋体" w:cs="宋体"/>
          <w:highlight w:val="none"/>
        </w:rPr>
        <w:t>副校长：郭军 吴海生 陈盛荣</w:t>
      </w:r>
      <w:r>
        <w:rPr>
          <w:rFonts w:hint="eastAsia" w:hAnsi="宋体" w:cs="宋体"/>
          <w:highlight w:val="none"/>
          <w:lang w:val="en-US" w:eastAsia="zh-CN"/>
        </w:rPr>
        <w:t xml:space="preserve"> </w:t>
      </w:r>
      <w:r>
        <w:rPr>
          <w:rFonts w:hint="eastAsia" w:hAnsi="宋体" w:cs="宋体"/>
          <w:highlight w:val="none"/>
        </w:rPr>
        <w:t>郑东升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3AEF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313511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2665"/>
                  <wp:effectExtent l="0" t="0" r="8890" b="13335"/>
                  <wp:docPr id="92" name="图片 253" descr="市一中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53" descr="市一中27"/>
                          <pic:cNvPicPr>
                            <a:picLocks noChangeAspect="1"/>
                          </pic:cNvPicPr>
                        </pic:nvPicPr>
                        <pic:blipFill>
                          <a:blip r:embed="rId97"/>
                          <a:stretch>
                            <a:fillRect/>
                          </a:stretch>
                        </pic:blipFill>
                        <pic:spPr>
                          <a:xfrm>
                            <a:off x="0" y="0"/>
                            <a:ext cx="3420110" cy="2272665"/>
                          </a:xfrm>
                          <a:prstGeom prst="rect">
                            <a:avLst/>
                          </a:prstGeom>
                          <a:noFill/>
                          <a:ln>
                            <a:noFill/>
                          </a:ln>
                        </pic:spPr>
                      </pic:pic>
                    </a:graphicData>
                  </a:graphic>
                </wp:inline>
              </w:drawing>
            </w:r>
          </w:p>
        </w:tc>
      </w:tr>
      <w:tr w14:paraId="574E5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545F1CBC">
            <w:pPr>
              <w:jc w:val="center"/>
              <w:rPr>
                <w:rFonts w:hint="eastAsia" w:hAnsi="宋体" w:cs="宋体"/>
                <w:highlight w:val="none"/>
                <w:vertAlign w:val="baseline"/>
              </w:rPr>
            </w:pPr>
            <w:r>
              <w:rPr>
                <w:rFonts w:hint="eastAsia" w:hAnsi="宋体" w:cs="宋体"/>
                <w:highlight w:val="none"/>
                <w:vertAlign w:val="baseline"/>
              </w:rPr>
              <w:t>市委书记曾风保、市长王碧安等视察市一中</w:t>
            </w:r>
          </w:p>
        </w:tc>
      </w:tr>
    </w:tbl>
    <w:p w14:paraId="79207A21">
      <w:pPr>
        <w:pStyle w:val="4"/>
        <w:bidi w:val="0"/>
        <w:rPr>
          <w:rFonts w:hint="eastAsia"/>
          <w:highlight w:val="none"/>
        </w:rPr>
      </w:pPr>
      <w:r>
        <w:rPr>
          <w:rFonts w:hint="eastAsia"/>
          <w:highlight w:val="none"/>
        </w:rPr>
        <w:t>【南雄市第一中学】</w:t>
      </w:r>
    </w:p>
    <w:p w14:paraId="508C982F">
      <w:pPr>
        <w:rPr>
          <w:rFonts w:hint="eastAsia" w:hAnsi="宋体" w:cs="宋体"/>
          <w:highlight w:val="none"/>
        </w:rPr>
      </w:pPr>
      <w:r>
        <w:rPr>
          <w:rFonts w:hint="eastAsia" w:hAnsi="宋体" w:cs="宋体"/>
          <w:highlight w:val="none"/>
        </w:rPr>
        <w:t>南雄市第一中学地处南雄市东北郊，创建于1982年。校名由广东省原副省长王屏山同志题写。该校坚持以校为本，走自主发展道路。1998年11月被评为韶关市一级学校，2003年被评为广东省一级学校，2007年11月被评为广东省国家级示范性普通高中，2008年12月顺利通过广东省国家级示范性普通高中验收。</w:t>
      </w:r>
    </w:p>
    <w:p w14:paraId="739F50F2">
      <w:pPr>
        <w:rPr>
          <w:rFonts w:hint="eastAsia" w:hAnsi="宋体" w:cs="宋体"/>
          <w:highlight w:val="none"/>
        </w:rPr>
      </w:pPr>
      <w:r>
        <w:rPr>
          <w:rFonts w:hint="eastAsia" w:hAnsi="宋体" w:cs="宋体"/>
          <w:highlight w:val="none"/>
        </w:rPr>
        <w:t>该校环境优美。总占地面积10.47万平方米，建筑面积3.17万平方米，分教学区、生活区、运动区，楼、堂、馆、所建设初具规模，布局科学合理，教育教学设备日臻完善。有400米标准运动场和配套篮球场、羽毛球场等运动场地；学校藏书已达8.2万册，电子图书2万多册，初具现代化办学条件。学校建成有320多个信息点，1000兆宽带接入，100兆交换到桌面完善校园网，拥有“一个中心”（网络管理控制中心），“二个库”（教学资源库、试题库），“五大功能室”（多媒体教室、模拟实验室、数字语言室、课件制作室、电子阅览室），“七个子系统”[校园信息管理系统、考试系统、视频点播（直播）系统、图书管理系统、电子邮件系统、智能语言学习系统、远程教育系统]。</w:t>
      </w:r>
    </w:p>
    <w:p w14:paraId="20020212">
      <w:pPr>
        <w:rPr>
          <w:rFonts w:hint="eastAsia" w:hAnsi="宋体" w:cs="宋体"/>
          <w:highlight w:val="none"/>
        </w:rPr>
      </w:pPr>
      <w:r>
        <w:rPr>
          <w:rFonts w:hint="eastAsia" w:hAnsi="宋体" w:cs="宋体"/>
          <w:highlight w:val="none"/>
        </w:rPr>
        <w:t>学校2002年初高中剥离，2011年恢复初中，现是一所完全中学，有74个班，其中高中62个班，初中12个班，在校生4856人。教师配备合理，在职教职工285人，其中，特级教师2人、高级教师68人，本科学历272人，研究生</w:t>
      </w:r>
      <w:r>
        <w:rPr>
          <w:rFonts w:hint="eastAsia" w:hAnsi="宋体" w:cs="宋体"/>
          <w:highlight w:val="none"/>
          <w:lang w:eastAsia="zh-CN"/>
        </w:rPr>
        <w:t>（</w:t>
      </w:r>
      <w:r>
        <w:rPr>
          <w:rFonts w:hint="eastAsia" w:hAnsi="宋体" w:cs="宋体"/>
          <w:highlight w:val="none"/>
        </w:rPr>
        <w:t>含结业</w:t>
      </w:r>
      <w:r>
        <w:rPr>
          <w:rFonts w:hint="eastAsia" w:hAnsi="宋体" w:cs="宋体"/>
          <w:highlight w:val="none"/>
          <w:lang w:eastAsia="zh-CN"/>
        </w:rPr>
        <w:t>）</w:t>
      </w:r>
      <w:r>
        <w:rPr>
          <w:rFonts w:hint="eastAsia" w:hAnsi="宋体" w:cs="宋体"/>
          <w:highlight w:val="none"/>
        </w:rPr>
        <w:t>30人，学历达标率96.6％，学科分布合理，满足教学需要。</w:t>
      </w:r>
    </w:p>
    <w:p w14:paraId="149E6B1F">
      <w:pPr>
        <w:rPr>
          <w:rFonts w:hint="eastAsia" w:hAnsi="宋体" w:cs="宋体"/>
          <w:highlight w:val="none"/>
        </w:rPr>
      </w:pPr>
      <w:r>
        <w:rPr>
          <w:rFonts w:hint="eastAsia" w:hAnsi="宋体" w:cs="宋体"/>
          <w:b/>
          <w:bCs/>
          <w:highlight w:val="none"/>
        </w:rPr>
        <w:t>高考</w:t>
      </w:r>
      <w:r>
        <w:rPr>
          <w:rFonts w:hint="eastAsia" w:hAnsi="宋体" w:cs="宋体"/>
          <w:b/>
          <w:highlight w:val="none"/>
        </w:rPr>
        <w:t>成绩显著</w:t>
      </w:r>
      <w:r>
        <w:rPr>
          <w:rFonts w:hint="eastAsia" w:hAnsi="宋体" w:cs="宋体"/>
          <w:b/>
          <w:highlight w:val="none"/>
          <w:lang w:val="en-US" w:eastAsia="zh-CN"/>
        </w:rPr>
        <w:t xml:space="preserve">  </w:t>
      </w:r>
      <w:r>
        <w:rPr>
          <w:rFonts w:hint="eastAsia" w:hAnsi="宋体" w:cs="宋体"/>
          <w:highlight w:val="none"/>
        </w:rPr>
        <w:t>2015年，始终坚持“一切为了学生，一切为了学生的全面发展”办学理念，坚持“低进高出，高进优出，特色办学，全面发展”办学目标，秉承“追求卓越”的校训，以“整顿作风，优质教学，服务师生”为动力。2015年高考再上新台阶：重点本科上线129人，本科上线439人，总上线1221人。呈现八大</w:t>
      </w:r>
    </w:p>
    <w:p w14:paraId="0F9C4E35">
      <w:pPr>
        <w:rPr>
          <w:rFonts w:hint="eastAsia" w:hAnsi="宋体" w:cs="宋体"/>
          <w:highlight w:val="none"/>
        </w:rPr>
      </w:pPr>
      <w:r>
        <w:rPr>
          <w:rFonts w:hint="eastAsia" w:hAnsi="宋体" w:cs="宋体"/>
          <w:highlight w:val="none"/>
        </w:rPr>
        <w:t>亮点：李子扬同学文科数学以149分高分成绩勇夺广东省高考文科数学状元，突破该校建校以来省状元零纪录。重点本科上线129人，超出韶关市给定预测数117人。各批次上线人数均居韶关市同类学校榜首。高考提升力排韶关市各所高中第一。有5位同学入围韶关市单科成绩前十名。5个单科成绩名列南雄全市第一，语文（131分）、文科数学</w:t>
      </w:r>
      <w:r>
        <w:rPr>
          <w:rFonts w:hint="eastAsia" w:hAnsi="宋体" w:cs="宋体"/>
          <w:highlight w:val="none"/>
          <w:lang w:eastAsia="zh-CN"/>
        </w:rPr>
        <w:t>（</w:t>
      </w:r>
      <w:r>
        <w:rPr>
          <w:rFonts w:hint="eastAsia" w:hAnsi="宋体" w:cs="宋体"/>
          <w:highlight w:val="none"/>
        </w:rPr>
        <w:t>149分</w:t>
      </w:r>
      <w:r>
        <w:rPr>
          <w:rFonts w:hint="eastAsia" w:hAnsi="宋体" w:cs="宋体"/>
          <w:highlight w:val="none"/>
          <w:lang w:eastAsia="zh-CN"/>
        </w:rPr>
        <w:t>）</w:t>
      </w:r>
      <w:r>
        <w:rPr>
          <w:rFonts w:hint="eastAsia" w:hAnsi="宋体" w:cs="宋体"/>
          <w:highlight w:val="none"/>
        </w:rPr>
        <w:t>、理科数学（140分）、体育术科（291分）、美术（246分）。高分层600分以上30人是上年5倍。语文科首次突破130分，130分以上3人。</w:t>
      </w:r>
    </w:p>
    <w:p w14:paraId="429C1B8C">
      <w:pPr>
        <w:ind w:left="0" w:leftChars="0" w:firstLine="422" w:firstLineChars="200"/>
        <w:rPr>
          <w:rFonts w:hint="eastAsia" w:hAnsi="宋体" w:cs="宋体"/>
          <w:highlight w:val="none"/>
        </w:rPr>
      </w:pPr>
      <w:r>
        <w:rPr>
          <w:rFonts w:hint="eastAsia" w:hAnsi="宋体" w:cs="宋体"/>
          <w:b/>
          <w:bCs/>
          <w:highlight w:val="none"/>
        </w:rPr>
        <w:t>强化责任，精</w:t>
      </w:r>
      <w:r>
        <w:rPr>
          <w:rFonts w:hint="eastAsia" w:hAnsi="宋体" w:cs="宋体"/>
          <w:b/>
          <w:highlight w:val="none"/>
        </w:rPr>
        <w:t>抓细干</w:t>
      </w:r>
      <w:r>
        <w:rPr>
          <w:rFonts w:hint="eastAsia" w:hAnsi="宋体" w:cs="宋体"/>
          <w:b/>
          <w:highlight w:val="none"/>
          <w:lang w:val="en-US" w:eastAsia="zh-CN"/>
        </w:rPr>
        <w:t xml:space="preserve">  </w:t>
      </w:r>
      <w:r>
        <w:rPr>
          <w:rFonts w:hint="eastAsia" w:hAnsi="宋体" w:cs="宋体"/>
          <w:highlight w:val="none"/>
        </w:rPr>
        <w:t>南雄市第一中学注重领导队伍、管理队伍建设。一个学校领导班子队伍，另一个是全校班主任队伍，这两个队伍是学校管理的关键点所在。为此，学校对领导班子和班主任等管理层提出严格要求，进行明确安排。加强学习，要求领导深入开展学习实践科学发展观活动，结合学校实际，开展以“弘扬高尚师德，致力教育书育人”为主题的师德教育活动。以人为本，尊重教师多元需求</w:t>
      </w:r>
      <w:r>
        <w:rPr>
          <w:rFonts w:hint="eastAsia" w:hAnsi="宋体" w:cs="宋体"/>
          <w:highlight w:val="none"/>
          <w:lang w:eastAsia="zh-CN"/>
        </w:rPr>
        <w:t>，</w:t>
      </w:r>
      <w:r>
        <w:rPr>
          <w:rFonts w:hint="eastAsia" w:hAnsi="宋体" w:cs="宋体"/>
          <w:highlight w:val="none"/>
        </w:rPr>
        <w:t>引领教师专业发展。实施反腐倡廉教育，革除教育“潜规则”，彻底革除教育“潜规则”，工作卓有成效。权力下放，中心下移。管理权下放，管理重心下移，扩大年级主任的管理权限，调动一线管理人员积极性，年级管理模式给学校带来新鲜办学活力。</w:t>
      </w:r>
    </w:p>
    <w:p w14:paraId="09EEBD41">
      <w:pPr>
        <w:rPr>
          <w:rFonts w:hint="eastAsia" w:hAnsi="宋体" w:cs="宋体"/>
          <w:highlight w:val="none"/>
        </w:rPr>
      </w:pPr>
      <w:r>
        <w:rPr>
          <w:rFonts w:hint="eastAsia" w:hAnsi="宋体" w:cs="宋体"/>
          <w:b/>
          <w:bCs/>
          <w:highlight w:val="none"/>
        </w:rPr>
        <w:t>强化管理，齐抓</w:t>
      </w:r>
      <w:r>
        <w:rPr>
          <w:rFonts w:hint="eastAsia" w:hAnsi="宋体" w:cs="宋体"/>
          <w:b/>
          <w:highlight w:val="none"/>
        </w:rPr>
        <w:t>共管</w:t>
      </w:r>
      <w:r>
        <w:rPr>
          <w:rFonts w:hint="eastAsia" w:hAnsi="宋体" w:cs="宋体"/>
          <w:b/>
          <w:highlight w:val="none"/>
          <w:lang w:val="en-US" w:eastAsia="zh-CN"/>
        </w:rPr>
        <w:t xml:space="preserve">  </w:t>
      </w:r>
      <w:r>
        <w:rPr>
          <w:rFonts w:hint="eastAsia" w:hAnsi="宋体" w:cs="宋体"/>
          <w:highlight w:val="none"/>
        </w:rPr>
        <w:t>加强领导，明确职责。学校始终高度重视安全工作，成立学校综治安全工作领导小组，做到主要领导亲自抓，分管领导具体抓，各成员分班抓，把综治安全工作责任分解到人、到岗、到位，并将综治安全工作成效列入教师年度考评，实行安全工作“一票否决制”，确实做到安全工作人人有责。完善制度，齐抓共管。学校不断建立健全综治创安制度，包括学校安全管理制度和值班制度。通过这些教育活动，增强师生的法制和安全意识，提高安全防范意识和能力，有效地保证学校正常教育教学工作开展，保障师生生命财产安全，创建平安稳定校园环境。（张荆乐）</w:t>
      </w:r>
    </w:p>
    <w:p w14:paraId="30D9647D">
      <w:pPr>
        <w:rPr>
          <w:rFonts w:hint="eastAsia" w:hAnsi="宋体" w:eastAsia="宋体" w:cs="宋体"/>
          <w:highlight w:val="none"/>
          <w:lang w:eastAsia="zh-CN"/>
        </w:rPr>
      </w:pPr>
      <w:r>
        <w:rPr>
          <w:rFonts w:hint="eastAsia" w:hAnsi="宋体" w:cs="宋体"/>
          <w:highlight w:val="none"/>
        </w:rPr>
        <w:t>附：2015年市第一中学领导班子成员名单</w:t>
      </w:r>
    </w:p>
    <w:p w14:paraId="381A5C2D">
      <w:pPr>
        <w:rPr>
          <w:rFonts w:hint="eastAsia" w:hAnsi="宋体" w:eastAsia="宋体" w:cs="宋体"/>
          <w:highlight w:val="none"/>
          <w:lang w:eastAsia="zh-CN"/>
        </w:rPr>
      </w:pPr>
      <w:r>
        <w:rPr>
          <w:rFonts w:hint="eastAsia" w:hAnsi="宋体" w:cs="宋体"/>
          <w:highlight w:val="none"/>
        </w:rPr>
        <w:t>校长：饶盛祥</w:t>
      </w:r>
    </w:p>
    <w:p w14:paraId="67C58644">
      <w:pPr>
        <w:rPr>
          <w:rFonts w:hint="eastAsia" w:hAnsi="宋体" w:eastAsia="宋体" w:cs="宋体"/>
          <w:highlight w:val="none"/>
          <w:lang w:eastAsia="zh-CN"/>
        </w:rPr>
      </w:pPr>
      <w:r>
        <w:rPr>
          <w:rFonts w:hint="eastAsia" w:hAnsi="宋体" w:cs="宋体"/>
          <w:highlight w:val="none"/>
        </w:rPr>
        <w:t>副校长：沈世荣 李子慧（任至8月）</w:t>
      </w:r>
      <w:r>
        <w:rPr>
          <w:rFonts w:hint="eastAsia" w:hAnsi="宋体" w:cs="宋体"/>
          <w:highlight w:val="none"/>
          <w:lang w:val="en-US" w:eastAsia="zh-CN"/>
        </w:rPr>
        <w:t xml:space="preserve"> </w:t>
      </w:r>
      <w:r>
        <w:rPr>
          <w:rFonts w:hint="eastAsia" w:hAnsi="宋体" w:cs="宋体"/>
          <w:highlight w:val="none"/>
        </w:rPr>
        <w:t>何俊杰 何社生</w:t>
      </w:r>
    </w:p>
    <w:p w14:paraId="2BB020B0">
      <w:pPr>
        <w:pStyle w:val="4"/>
        <w:bidi w:val="0"/>
        <w:rPr>
          <w:rFonts w:hint="eastAsia"/>
          <w:highlight w:val="none"/>
          <w:vertAlign w:val="baseline"/>
        </w:rPr>
      </w:pPr>
      <w:r>
        <w:rPr>
          <w:rFonts w:hint="eastAsia"/>
          <w:highlight w:val="none"/>
        </w:rPr>
        <w:t>【黄坑中学】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162D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833032B">
            <w:pPr>
              <w:bidi w:val="0"/>
              <w:ind w:left="0" w:leftChars="0" w:firstLine="0" w:firstLineChars="0"/>
              <w:jc w:val="center"/>
              <w:rPr>
                <w:rFonts w:hint="eastAsia"/>
                <w:highlight w:val="none"/>
              </w:rPr>
            </w:pPr>
            <w:r>
              <w:rPr>
                <w:rFonts w:hAnsi="宋体" w:cs="宋体"/>
                <w:highlight w:val="none"/>
              </w:rPr>
              <w:drawing>
                <wp:inline distT="0" distB="0" distL="114300" distR="114300">
                  <wp:extent cx="3420110" cy="2148840"/>
                  <wp:effectExtent l="0" t="0" r="8890" b="3810"/>
                  <wp:docPr id="93" name="图片 254" descr="黄坑中学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54" descr="黄坑中学28"/>
                          <pic:cNvPicPr>
                            <a:picLocks noChangeAspect="1"/>
                          </pic:cNvPicPr>
                        </pic:nvPicPr>
                        <pic:blipFill>
                          <a:blip r:embed="rId98"/>
                          <a:stretch>
                            <a:fillRect/>
                          </a:stretch>
                        </pic:blipFill>
                        <pic:spPr>
                          <a:xfrm>
                            <a:off x="0" y="0"/>
                            <a:ext cx="3420110" cy="2148840"/>
                          </a:xfrm>
                          <a:prstGeom prst="rect">
                            <a:avLst/>
                          </a:prstGeom>
                          <a:noFill/>
                          <a:ln>
                            <a:noFill/>
                          </a:ln>
                        </pic:spPr>
                      </pic:pic>
                    </a:graphicData>
                  </a:graphic>
                </wp:inline>
              </w:drawing>
            </w:r>
          </w:p>
        </w:tc>
      </w:tr>
      <w:tr w14:paraId="0A859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D9EE396">
            <w:pPr>
              <w:bidi w:val="0"/>
              <w:jc w:val="center"/>
              <w:rPr>
                <w:rFonts w:hint="eastAsia"/>
                <w:highlight w:val="none"/>
              </w:rPr>
            </w:pPr>
            <w:r>
              <w:rPr>
                <w:rFonts w:hint="eastAsia"/>
                <w:highlight w:val="none"/>
              </w:rPr>
              <w:t>黄坑中学校门</w:t>
            </w:r>
          </w:p>
        </w:tc>
      </w:tr>
    </w:tbl>
    <w:p w14:paraId="7D26B9ED">
      <w:pPr>
        <w:rPr>
          <w:rFonts w:hint="eastAsia" w:hAnsi="宋体" w:cs="宋体"/>
          <w:highlight w:val="none"/>
        </w:rPr>
      </w:pPr>
      <w:r>
        <w:rPr>
          <w:rFonts w:hint="eastAsia" w:hAnsi="宋体" w:cs="宋体"/>
          <w:highlight w:val="none"/>
        </w:rPr>
        <w:t>黄坑中学坐落在南雄市中东部黄坑镇，距市区22公里，是目前韶关市农村地区规模较大的一所完全中学。学校创办于1956年，1973年被定为韶关地区重点完全中学，1999年被评为韶关市一级学校，2004年晋升为广东省一级学校。</w:t>
      </w:r>
    </w:p>
    <w:p w14:paraId="04DEBC0D">
      <w:pPr>
        <w:rPr>
          <w:rFonts w:hint="eastAsia" w:hAnsi="宋体" w:cs="宋体"/>
          <w:highlight w:val="none"/>
        </w:rPr>
      </w:pPr>
      <w:r>
        <w:rPr>
          <w:rFonts w:hint="eastAsia" w:hAnsi="宋体" w:cs="宋体"/>
          <w:highlight w:val="none"/>
        </w:rPr>
        <w:t>学校基础设施学校占地面积8.32万平方米，建筑面积6万多平方米，拥有2栋教学楼，2栋实验楼，1座有12万册藏书图书馆，1栋信息中心楼，1栋艺术楼和1个标准400米跑道运动场，7个标准篮球场，1座建筑面积1125平方米的室内体育馆，教育教学实施较完善。</w:t>
      </w:r>
    </w:p>
    <w:p w14:paraId="1EE47585">
      <w:pPr>
        <w:rPr>
          <w:rFonts w:hint="eastAsia" w:hAnsi="宋体" w:cs="宋体"/>
          <w:highlight w:val="none"/>
        </w:rPr>
      </w:pPr>
      <w:r>
        <w:rPr>
          <w:rFonts w:hint="eastAsia" w:hAnsi="宋体" w:cs="宋体"/>
          <w:highlight w:val="none"/>
        </w:rPr>
        <w:t>教师队伍现有教职工187人，专任教师180人，其中高级教师23人，一级教师124人。</w:t>
      </w:r>
    </w:p>
    <w:p w14:paraId="44267B61">
      <w:pPr>
        <w:ind w:firstLine="420"/>
        <w:rPr>
          <w:rFonts w:hint="eastAsia" w:hAnsi="宋体" w:cs="宋体"/>
          <w:highlight w:val="none"/>
        </w:rPr>
      </w:pPr>
      <w:r>
        <w:rPr>
          <w:rFonts w:hint="eastAsia" w:hAnsi="宋体" w:cs="宋体"/>
          <w:highlight w:val="none"/>
        </w:rPr>
        <w:t>学生情况现有初、高中39个教学班，在校学生2077人，7月毕业人数：初三468人，高三421人；9月招生人数：高一367人，初一420人。学校通过构建一个由德育处—年级组—班委会组成学生德育教育平台，举行年级集会、主题班会、升旗仪式、家长会以及学校开展的各种形式多样活动，培养学生讲文明、懂礼貌、守纪律、有秩序、爱卫生的好习惯。2015年6月，高三学子勤奋拼搏结出累累硕果，学校超额完成市教育局下达各项指标任务，完成学生“低进高出，中进优出”工作目标。本科以上入线人数为23人，其中重点2人；专科入线人数为298人。</w:t>
      </w:r>
    </w:p>
    <w:p w14:paraId="2F9EAABD">
      <w:pPr>
        <w:rPr>
          <w:rFonts w:hint="eastAsia" w:hAnsi="宋体" w:cs="宋体"/>
          <w:highlight w:val="none"/>
        </w:rPr>
      </w:pPr>
      <w:r>
        <w:rPr>
          <w:rFonts w:hint="eastAsia" w:hAnsi="宋体" w:cs="宋体"/>
          <w:highlight w:val="none"/>
        </w:rPr>
        <w:t>办学理念黄坑中学提出明确办学理念：以人为本，和谐发展，提出“快乐学习，健康成长”办学思路。常规教学，注重借助现代化多媒体教学手段提高学生学习兴趣；鼓励创新课</w:t>
      </w:r>
    </w:p>
    <w:p w14:paraId="6E742FD7">
      <w:pPr>
        <w:rPr>
          <w:rFonts w:hint="eastAsia" w:hAnsi="宋体" w:cs="宋体"/>
          <w:highlight w:val="none"/>
        </w:rPr>
      </w:pPr>
      <w:r>
        <w:rPr>
          <w:rFonts w:hint="eastAsia" w:hAnsi="宋体" w:cs="宋体"/>
          <w:highlight w:val="none"/>
        </w:rPr>
        <w:t>堂教学模式，变教师灌输为学生自主，努力让学生愿学、乐学，学有所成。学校强调安全工作重要性，视安全为学校所有工作前提和保障。学校把“以人为本，和谐发展”理念作为学校一切工作的出发点和归宿点。（曾宪圣）</w:t>
      </w:r>
    </w:p>
    <w:p w14:paraId="46F78958">
      <w:pPr>
        <w:rPr>
          <w:rFonts w:hint="eastAsia" w:hAnsi="宋体" w:eastAsia="宋体" w:cs="宋体"/>
          <w:highlight w:val="none"/>
          <w:lang w:eastAsia="zh-CN"/>
        </w:rPr>
      </w:pPr>
      <w:r>
        <w:rPr>
          <w:rFonts w:hint="eastAsia" w:hAnsi="宋体" w:cs="宋体"/>
          <w:highlight w:val="none"/>
        </w:rPr>
        <w:t>附</w:t>
      </w:r>
      <w:r>
        <w:rPr>
          <w:rFonts w:hint="eastAsia" w:hAnsi="宋体" w:cs="宋体"/>
          <w:highlight w:val="none"/>
          <w:lang w:eastAsia="zh-CN"/>
        </w:rPr>
        <w:t>：</w:t>
      </w:r>
      <w:r>
        <w:rPr>
          <w:rFonts w:hint="eastAsia" w:hAnsi="宋体" w:cs="宋体"/>
          <w:highlight w:val="none"/>
        </w:rPr>
        <w:t>2015年黄坑中学领导班子成员名单</w:t>
      </w:r>
    </w:p>
    <w:p w14:paraId="468BEE3C">
      <w:pPr>
        <w:rPr>
          <w:rFonts w:hint="eastAsia" w:hAnsi="宋体" w:eastAsia="宋体" w:cs="宋体"/>
          <w:highlight w:val="none"/>
          <w:lang w:eastAsia="zh-CN"/>
        </w:rPr>
      </w:pPr>
      <w:r>
        <w:rPr>
          <w:rFonts w:hint="eastAsia" w:hAnsi="宋体" w:cs="宋体"/>
          <w:highlight w:val="none"/>
        </w:rPr>
        <w:t>校长：李庚标</w:t>
      </w:r>
    </w:p>
    <w:p w14:paraId="0301F149">
      <w:pPr>
        <w:rPr>
          <w:rFonts w:hint="eastAsia" w:hAnsi="宋体" w:eastAsia="宋体" w:cs="宋体"/>
          <w:highlight w:val="none"/>
          <w:lang w:eastAsia="zh-CN"/>
        </w:rPr>
      </w:pPr>
      <w:r>
        <w:rPr>
          <w:rFonts w:hint="eastAsia" w:hAnsi="宋体" w:cs="宋体"/>
          <w:highlight w:val="none"/>
        </w:rPr>
        <w:t>副校长：叶桂 林黄海 斌张林</w:t>
      </w:r>
    </w:p>
    <w:p w14:paraId="63FD12D7">
      <w:pPr>
        <w:pStyle w:val="4"/>
        <w:bidi w:val="0"/>
        <w:rPr>
          <w:rFonts w:hint="eastAsia"/>
          <w:highlight w:val="none"/>
          <w:vertAlign w:val="baseline"/>
        </w:rPr>
      </w:pPr>
      <w:r>
        <w:rPr>
          <w:rFonts w:hint="eastAsia"/>
          <w:highlight w:val="none"/>
        </w:rPr>
        <w:t>【南雄市中等职业学校】</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830D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AB9593C">
            <w:pPr>
              <w:bidi w:val="0"/>
              <w:ind w:left="0" w:leftChars="0" w:firstLine="0" w:firstLineChars="0"/>
              <w:jc w:val="center"/>
              <w:rPr>
                <w:rFonts w:hint="eastAsia"/>
                <w:highlight w:val="none"/>
              </w:rPr>
            </w:pPr>
            <w:r>
              <w:rPr>
                <w:rFonts w:hAnsi="宋体" w:cs="宋体"/>
                <w:highlight w:val="none"/>
              </w:rPr>
              <w:drawing>
                <wp:inline distT="0" distB="0" distL="114300" distR="114300">
                  <wp:extent cx="3420110" cy="2465705"/>
                  <wp:effectExtent l="0" t="0" r="8890" b="10795"/>
                  <wp:docPr id="94" name="图片 255" descr="领导到校视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55" descr="领导到校视察"/>
                          <pic:cNvPicPr>
                            <a:picLocks noChangeAspect="1"/>
                          </pic:cNvPicPr>
                        </pic:nvPicPr>
                        <pic:blipFill>
                          <a:blip r:embed="rId99"/>
                          <a:stretch>
                            <a:fillRect/>
                          </a:stretch>
                        </pic:blipFill>
                        <pic:spPr>
                          <a:xfrm>
                            <a:off x="0" y="0"/>
                            <a:ext cx="3420110" cy="2465705"/>
                          </a:xfrm>
                          <a:prstGeom prst="rect">
                            <a:avLst/>
                          </a:prstGeom>
                          <a:noFill/>
                          <a:ln>
                            <a:noFill/>
                          </a:ln>
                        </pic:spPr>
                      </pic:pic>
                    </a:graphicData>
                  </a:graphic>
                </wp:inline>
              </w:drawing>
            </w:r>
          </w:p>
        </w:tc>
      </w:tr>
      <w:tr w14:paraId="0E8B3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98D998A">
            <w:pPr>
              <w:bidi w:val="0"/>
              <w:jc w:val="center"/>
              <w:rPr>
                <w:rFonts w:hint="eastAsia"/>
                <w:highlight w:val="none"/>
              </w:rPr>
            </w:pPr>
            <w:r>
              <w:rPr>
                <w:rFonts w:hint="eastAsia"/>
                <w:highlight w:val="none"/>
              </w:rPr>
              <w:t>市人大常委会副主任刘宏伟视察学校（尹强光摄）</w:t>
            </w:r>
          </w:p>
        </w:tc>
      </w:tr>
    </w:tbl>
    <w:p w14:paraId="5C1157EA">
      <w:pPr>
        <w:rPr>
          <w:rFonts w:hint="eastAsia" w:hAnsi="宋体" w:cs="宋体"/>
          <w:highlight w:val="none"/>
        </w:rPr>
      </w:pPr>
      <w:r>
        <w:rPr>
          <w:rFonts w:hint="eastAsia" w:hAnsi="宋体" w:cs="宋体"/>
          <w:highlight w:val="none"/>
        </w:rPr>
        <w:t>南雄市中等职业学校创办于1956年10月，原名为雄州镇第二中学，1990年2月更名为南雄县职业高级中学，1992年3月经广东省教育厅评估，被广东省人民政府批准为省重点职业高中，2009年更名为南雄市中等职业学校。2008年，为拓展学校发展空间，南雄市委、政府将原古市中学区划归该校改造为南校区。目前该校有南、北2个校区，形成以专业班为主的北校区和以高考班为主的南校区学校格局。</w:t>
      </w:r>
    </w:p>
    <w:p w14:paraId="468B1F14">
      <w:pPr>
        <w:rPr>
          <w:rFonts w:hint="eastAsia" w:hAnsi="宋体" w:cs="宋体"/>
          <w:highlight w:val="none"/>
          <w:vertAlign w:val="baseline"/>
        </w:rPr>
      </w:pPr>
      <w:r>
        <w:rPr>
          <w:rFonts w:hint="eastAsia" w:hAnsi="宋体" w:cs="宋体"/>
          <w:highlight w:val="none"/>
        </w:rPr>
        <w:t>校园面积81.05亩（5.4公顷），建筑面积2.6万平方米。设施设备完善：有教学楼4幢，学生宿舍4幢，实训中心2幢（有46间功能室），实训设备总值1960万元；师资力量雄厚：现有教职工119人，专任教师108人，本科以上107人，高级教师32人，中级教师67人，双师型教师36人，在校学生1302人。开设适应社会经济和市场发展需求的电气运行与控制、机电技术应用、数控技术应用、模具制造技术、计算机平面设计、计算机网络技术、会计电算化等7个专业和“3+证书”高考班，是全国计算机信息高新技术考试考场和韶关市特种作业培训考核单位。</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6607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6EF55377">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38070"/>
                  <wp:effectExtent l="0" t="0" r="8890" b="5080"/>
                  <wp:docPr id="95" name="图片 256" descr="平安食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56" descr="平安食堂"/>
                          <pic:cNvPicPr>
                            <a:picLocks noChangeAspect="1"/>
                          </pic:cNvPicPr>
                        </pic:nvPicPr>
                        <pic:blipFill>
                          <a:blip r:embed="rId100"/>
                          <a:stretch>
                            <a:fillRect/>
                          </a:stretch>
                        </pic:blipFill>
                        <pic:spPr>
                          <a:xfrm>
                            <a:off x="0" y="0"/>
                            <a:ext cx="3420110" cy="2338070"/>
                          </a:xfrm>
                          <a:prstGeom prst="rect">
                            <a:avLst/>
                          </a:prstGeom>
                          <a:noFill/>
                          <a:ln>
                            <a:noFill/>
                          </a:ln>
                        </pic:spPr>
                      </pic:pic>
                    </a:graphicData>
                  </a:graphic>
                </wp:inline>
              </w:drawing>
            </w:r>
          </w:p>
        </w:tc>
      </w:tr>
      <w:tr w14:paraId="51DDE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12AAF77">
            <w:pPr>
              <w:jc w:val="center"/>
              <w:rPr>
                <w:rFonts w:hint="eastAsia" w:hAnsi="宋体" w:cs="宋体"/>
                <w:highlight w:val="none"/>
                <w:vertAlign w:val="baseline"/>
              </w:rPr>
            </w:pPr>
            <w:r>
              <w:rPr>
                <w:rFonts w:hint="eastAsia" w:hAnsi="宋体" w:cs="宋体"/>
                <w:highlight w:val="none"/>
                <w:vertAlign w:val="baseline"/>
              </w:rPr>
              <w:t>韶关市食品药品监督管理局指导创建中职“平安食堂”工作（章利军摄）</w:t>
            </w:r>
          </w:p>
        </w:tc>
      </w:tr>
    </w:tbl>
    <w:p w14:paraId="0B55106F">
      <w:pPr>
        <w:ind w:firstLine="420"/>
        <w:rPr>
          <w:rFonts w:hint="eastAsia" w:hAnsi="宋体" w:cs="宋体"/>
          <w:highlight w:val="none"/>
        </w:rPr>
      </w:pPr>
      <w:r>
        <w:rPr>
          <w:rFonts w:hint="eastAsia" w:hAnsi="宋体" w:cs="宋体"/>
          <w:highlight w:val="none"/>
        </w:rPr>
        <w:t>坚持以“圆梦大学，高薪就业”为办学目标，以“德以修身，技以立业”为校训，不断深化教育教学改革，注重内涵发展，形成“尚礼、精技、健体”的校风，“乐学多问、勤练技能、追求卓越”的学风。学校办学特色突出，成效显著：2015年该校高考上线率达94%，远高于南雄普通高中专A上线率42.2%；在广东省首届“时事创新杯”时事知识竞赛韶关选拔赛中，该校学生获得2个一等奖（南雄市高中学校中唯一获得一等奖的学校）、1个三等奖的好成绩；在韶关市中等职业学校学生技能竞赛中，2人获得二等奖，15人获得三等奖，电力拖动和数控技术应用分别获得团体三等奖；毕业生就业率达98%；同时，该校获得一系列省、市、县荣誉：被广东省评为“依法治校示范校”，学校食堂被韶关市教育局评为韶关市“平安食堂”，学校工会被韶关市教育工委评为韶关市“先进教工之家”，被南雄市政府授予“高考工作突出贡献奖”。（肖承军）</w:t>
      </w:r>
    </w:p>
    <w:p w14:paraId="2A5D2192">
      <w:pPr>
        <w:rPr>
          <w:rFonts w:hint="eastAsia" w:hAnsi="宋体" w:eastAsia="宋体" w:cs="宋体"/>
          <w:b w:val="0"/>
          <w:bCs w:val="0"/>
          <w:highlight w:val="none"/>
          <w:lang w:eastAsia="zh-CN"/>
        </w:rPr>
      </w:pPr>
      <w:r>
        <w:rPr>
          <w:rFonts w:hint="eastAsia" w:hAnsi="宋体" w:cs="宋体"/>
          <w:b w:val="0"/>
          <w:bCs w:val="0"/>
          <w:highlight w:val="none"/>
        </w:rPr>
        <w:t>附：2015年市中职学校领导班子成员名单</w:t>
      </w:r>
    </w:p>
    <w:p w14:paraId="2735F3D9">
      <w:pPr>
        <w:rPr>
          <w:rFonts w:hint="eastAsia" w:hAnsi="宋体" w:eastAsia="宋体" w:cs="宋体"/>
          <w:b w:val="0"/>
          <w:bCs w:val="0"/>
          <w:highlight w:val="none"/>
          <w:lang w:eastAsia="zh-CN"/>
        </w:rPr>
      </w:pPr>
      <w:r>
        <w:rPr>
          <w:rFonts w:hint="eastAsia" w:hAnsi="宋体" w:cs="宋体"/>
          <w:b w:val="0"/>
          <w:bCs w:val="0"/>
          <w:highlight w:val="none"/>
        </w:rPr>
        <w:t>校</w:t>
      </w:r>
      <w:r>
        <w:rPr>
          <w:rFonts w:hint="eastAsia" w:hAnsi="宋体" w:cs="宋体"/>
          <w:b w:val="0"/>
          <w:bCs w:val="0"/>
          <w:highlight w:val="none"/>
          <w:lang w:val="en-US" w:eastAsia="zh-CN"/>
        </w:rPr>
        <w:t xml:space="preserve">  </w:t>
      </w:r>
      <w:r>
        <w:rPr>
          <w:rFonts w:hint="eastAsia" w:hAnsi="宋体" w:cs="宋体"/>
          <w:b w:val="0"/>
          <w:bCs w:val="0"/>
          <w:highlight w:val="none"/>
        </w:rPr>
        <w:t>长：李子慧</w:t>
      </w:r>
    </w:p>
    <w:p w14:paraId="05755C18">
      <w:pPr>
        <w:rPr>
          <w:rFonts w:hint="eastAsia" w:hAnsi="宋体" w:eastAsia="宋体" w:cs="宋体"/>
          <w:highlight w:val="none"/>
          <w:lang w:eastAsia="zh-CN"/>
        </w:rPr>
      </w:pPr>
      <w:r>
        <w:rPr>
          <w:rFonts w:hint="eastAsia" w:hAnsi="宋体" w:cs="宋体"/>
          <w:highlight w:val="none"/>
        </w:rPr>
        <w:t>副校长：邓光拥 何静敏</w:t>
      </w:r>
    </w:p>
    <w:p w14:paraId="71719439">
      <w:pPr>
        <w:pStyle w:val="4"/>
        <w:bidi w:val="0"/>
        <w:rPr>
          <w:rFonts w:hint="eastAsia"/>
          <w:highlight w:val="none"/>
        </w:rPr>
      </w:pPr>
      <w:r>
        <w:rPr>
          <w:rFonts w:hint="eastAsia"/>
          <w:highlight w:val="none"/>
        </w:rPr>
        <w:t>【南雄市第二中学】</w:t>
      </w:r>
    </w:p>
    <w:p w14:paraId="7931A8EA">
      <w:pPr>
        <w:rPr>
          <w:rFonts w:hint="eastAsia" w:hAnsi="宋体" w:cs="宋体"/>
          <w:b/>
          <w:highlight w:val="none"/>
        </w:rPr>
      </w:pPr>
      <w:r>
        <w:rPr>
          <w:rFonts w:hint="eastAsia" w:hAnsi="宋体" w:cs="宋体"/>
          <w:highlight w:val="none"/>
        </w:rPr>
        <w:t>南雄市第二中学由原黎口中学与雄州中学合并，2013年8月更名为“南雄市第二中学”，2013年9月开学投入使用。南雄二中以“立德树人，和谐发展”为办学理念；以“现代化、示范性、高质量、有特色”为办学目标；以“创建适合学生的教育，提供师生满意的服务，营造教师价值的环境，打造一流的教学质量”为办学思路；秉承“崇德、尚学、致远”校训，“勤学、和谐、向上”校风，“爱生、善教、育人”教风，“自信、自主、自强”学风。</w:t>
      </w:r>
    </w:p>
    <w:p w14:paraId="0CBAA9E1">
      <w:pPr>
        <w:rPr>
          <w:rFonts w:hint="eastAsia" w:hAnsi="宋体" w:cs="宋体"/>
          <w:highlight w:val="none"/>
        </w:rPr>
      </w:pPr>
      <w:r>
        <w:rPr>
          <w:rFonts w:hint="eastAsia" w:hAnsi="宋体" w:cs="宋体"/>
          <w:b/>
          <w:highlight w:val="none"/>
        </w:rPr>
        <w:t>学校概况</w:t>
      </w:r>
      <w:r>
        <w:rPr>
          <w:rFonts w:hint="eastAsia" w:hAnsi="宋体" w:cs="宋体"/>
          <w:b/>
          <w:highlight w:val="none"/>
          <w:lang w:val="en-US" w:eastAsia="zh-CN"/>
        </w:rPr>
        <w:t xml:space="preserve">  </w:t>
      </w:r>
      <w:r>
        <w:rPr>
          <w:rFonts w:hint="eastAsia" w:hAnsi="宋体" w:cs="宋体"/>
          <w:highlight w:val="none"/>
        </w:rPr>
        <w:t>校园占地4.32万平方米，总建筑面积1.5万平方米。教学楼3幢、实验楼1幢，办公综合楼1幢、学生餐厅1幢、学生公寓2幢、200米标准化塑胶运动场1个，还有各项附属工程等配套设施。学校设办公室、党务办公室、工会办公室、团委办公室、德育与发展处、教导处等处室。教职工240多人，其中高级职称40人，中级职称200人，学历达标率100℅；省级骨干教师2人，市级骨干教师20人，市级名师5人。2015年秋季招生2620人，有46个教学班，住宿生1170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2AD0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55B55C3C">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3415"/>
                  <wp:effectExtent l="0" t="0" r="8890" b="635"/>
                  <wp:docPr id="96" name="图片 258" descr="南雄市二中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58" descr="南雄市二中29"/>
                          <pic:cNvPicPr>
                            <a:picLocks noChangeAspect="1"/>
                          </pic:cNvPicPr>
                        </pic:nvPicPr>
                        <pic:blipFill>
                          <a:blip r:embed="rId101"/>
                          <a:stretch>
                            <a:fillRect/>
                          </a:stretch>
                        </pic:blipFill>
                        <pic:spPr>
                          <a:xfrm>
                            <a:off x="0" y="0"/>
                            <a:ext cx="3420110" cy="1923415"/>
                          </a:xfrm>
                          <a:prstGeom prst="rect">
                            <a:avLst/>
                          </a:prstGeom>
                          <a:noFill/>
                          <a:ln>
                            <a:noFill/>
                          </a:ln>
                        </pic:spPr>
                      </pic:pic>
                    </a:graphicData>
                  </a:graphic>
                </wp:inline>
              </w:drawing>
            </w:r>
          </w:p>
        </w:tc>
      </w:tr>
      <w:tr w14:paraId="1A0CC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90258AD">
            <w:pPr>
              <w:jc w:val="center"/>
              <w:rPr>
                <w:rFonts w:hint="eastAsia" w:hAnsi="宋体" w:cs="宋体"/>
                <w:highlight w:val="none"/>
                <w:vertAlign w:val="baseline"/>
              </w:rPr>
            </w:pPr>
            <w:r>
              <w:rPr>
                <w:rFonts w:hint="eastAsia" w:hAnsi="宋体" w:cs="宋体"/>
                <w:highlight w:val="none"/>
                <w:vertAlign w:val="baseline"/>
              </w:rPr>
              <w:t>南雄市二中校园文化节</w:t>
            </w:r>
          </w:p>
        </w:tc>
      </w:tr>
    </w:tbl>
    <w:p w14:paraId="62F85BCF">
      <w:pPr>
        <w:rPr>
          <w:rFonts w:hint="eastAsia" w:hAnsi="宋体" w:cs="宋体"/>
          <w:b/>
          <w:highlight w:val="none"/>
        </w:rPr>
      </w:pPr>
      <w:r>
        <w:rPr>
          <w:rFonts w:hint="eastAsia" w:hAnsi="宋体" w:cs="宋体"/>
          <w:highlight w:val="none"/>
        </w:rPr>
        <w:t>教育教学</w:t>
      </w:r>
      <w:r>
        <w:rPr>
          <w:rFonts w:hint="eastAsia" w:hAnsi="宋体" w:cs="宋体"/>
          <w:highlight w:val="none"/>
          <w:lang w:val="en-US" w:eastAsia="zh-CN"/>
        </w:rPr>
        <w:t xml:space="preserve">  </w:t>
      </w:r>
      <w:r>
        <w:rPr>
          <w:rFonts w:hint="eastAsia" w:hAnsi="宋体" w:cs="宋体"/>
          <w:highlight w:val="none"/>
        </w:rPr>
        <w:t>坚持搞好常规管理，坚持以学生发展为本的教育理念，遵循教育教学规律，坚持教育创新。学校对教师的备、教、辅、改、考、评及师德各个环节进行量化积分常规考核，实施有效教学，打造高效课堂，落实教学环节，提高课堂教学质量。运用导学稿、导学案引领学生学习。重视教研工作，长期派出教师外出学习培训，请进来，走出去，纵向学习，取长补短。落实、强化校本培训，促进自主发展。</w:t>
      </w:r>
    </w:p>
    <w:p w14:paraId="26D307DC">
      <w:pPr>
        <w:rPr>
          <w:rFonts w:hint="eastAsia" w:hAnsi="宋体" w:cs="宋体"/>
          <w:b/>
          <w:highlight w:val="none"/>
        </w:rPr>
      </w:pPr>
      <w:r>
        <w:rPr>
          <w:rFonts w:hint="eastAsia" w:hAnsi="宋体" w:cs="宋体"/>
          <w:b/>
          <w:highlight w:val="none"/>
        </w:rPr>
        <w:t>德育安全</w:t>
      </w:r>
      <w:r>
        <w:rPr>
          <w:rFonts w:hint="eastAsia" w:hAnsi="宋体" w:cs="宋体"/>
          <w:b/>
          <w:highlight w:val="none"/>
          <w:lang w:val="en-US" w:eastAsia="zh-CN"/>
        </w:rPr>
        <w:t xml:space="preserve">  </w:t>
      </w:r>
      <w:r>
        <w:rPr>
          <w:rFonts w:hint="eastAsia" w:hAnsi="宋体" w:cs="宋体"/>
          <w:highlight w:val="none"/>
        </w:rPr>
        <w:t>实施有效德育管理，开展活动德育。实行自主管理模式，自主管理采取制度管理与人文管理相结合、层级管理与合作管理相结合、宏观管理与精细管理相结合、目标管理与过程管理相结合的“四结合管理”。强化安全管理和教育，狠抓行为规范、礼仪习惯养成。</w:t>
      </w:r>
    </w:p>
    <w:p w14:paraId="7D284431">
      <w:pPr>
        <w:rPr>
          <w:rFonts w:hint="eastAsia" w:hAnsi="宋体" w:cs="宋体"/>
          <w:highlight w:val="none"/>
        </w:rPr>
      </w:pPr>
      <w:r>
        <w:rPr>
          <w:rFonts w:hint="eastAsia" w:hAnsi="宋体" w:cs="宋体"/>
          <w:b/>
          <w:highlight w:val="none"/>
        </w:rPr>
        <w:t>队伍建设</w:t>
      </w:r>
      <w:r>
        <w:rPr>
          <w:rFonts w:hint="eastAsia" w:hAnsi="宋体" w:cs="宋体"/>
          <w:b/>
          <w:highlight w:val="none"/>
          <w:lang w:val="en-US" w:eastAsia="zh-CN"/>
        </w:rPr>
        <w:t xml:space="preserve">  </w:t>
      </w:r>
      <w:r>
        <w:rPr>
          <w:rFonts w:hint="eastAsia" w:hAnsi="宋体" w:cs="宋体"/>
          <w:highlight w:val="none"/>
        </w:rPr>
        <w:t>重视领导班子的作风建设，凝聚人心，凝聚集体智慧，加强学习，强化服务意识，共谋发展。发挥领导班子的引领带头作用，团结务实，开拓进取</w:t>
      </w:r>
      <w:r>
        <w:rPr>
          <w:rFonts w:hint="eastAsia" w:hAnsi="宋体" w:cs="宋体"/>
          <w:highlight w:val="none"/>
          <w:lang w:eastAsia="zh-CN"/>
        </w:rPr>
        <w:t>，</w:t>
      </w:r>
      <w:r>
        <w:rPr>
          <w:rFonts w:hint="eastAsia" w:hAnsi="宋体" w:cs="宋体"/>
          <w:highlight w:val="none"/>
        </w:rPr>
        <w:t>充分调动领导成员的工作积极性、主动性和创造性。加强教职工队伍建设，引领教师专业成长。大力开展教师社团建设，使社团活动及影响力不断扩大，增强教师幸福感。加大名师培养力度，目前学校有省市名师培养6人。</w:t>
      </w:r>
    </w:p>
    <w:p w14:paraId="7EA70C72">
      <w:pPr>
        <w:rPr>
          <w:rFonts w:hint="eastAsia" w:hAnsi="宋体" w:cs="宋体"/>
          <w:b/>
          <w:highlight w:val="none"/>
        </w:rPr>
      </w:pPr>
      <w:r>
        <w:rPr>
          <w:rFonts w:hint="eastAsia" w:hAnsi="宋体" w:cs="宋体"/>
          <w:b/>
          <w:bCs/>
          <w:highlight w:val="none"/>
        </w:rPr>
        <w:t>党务</w:t>
      </w:r>
      <w:r>
        <w:rPr>
          <w:rFonts w:hint="eastAsia" w:hAnsi="宋体" w:cs="宋体"/>
          <w:b/>
          <w:highlight w:val="none"/>
        </w:rPr>
        <w:t>校务公开</w:t>
      </w:r>
      <w:r>
        <w:rPr>
          <w:rFonts w:hint="eastAsia" w:hAnsi="宋体" w:cs="宋体"/>
          <w:b/>
          <w:highlight w:val="none"/>
          <w:lang w:val="en-US" w:eastAsia="zh-CN"/>
        </w:rPr>
        <w:t xml:space="preserve">  </w:t>
      </w:r>
      <w:r>
        <w:rPr>
          <w:rFonts w:hint="eastAsia" w:hAnsi="宋体" w:cs="宋体"/>
          <w:highlight w:val="none"/>
        </w:rPr>
        <w:t>全面推进依法治校、民主管理和党风廉政建设，促进学校各项工作的开展。搞好党组织基础建设，凝聚党组织的战斗力。贯彻执行上级有关党务、校务公开工作要求，加强领导，突出重点，注重实效。按规定实施党务、校务公开，全面公开。努力开展工会活动，民主管理学校。</w:t>
      </w:r>
    </w:p>
    <w:p w14:paraId="245D7CF9">
      <w:pPr>
        <w:rPr>
          <w:rFonts w:hint="eastAsia" w:hAnsi="宋体" w:cs="宋体"/>
          <w:b/>
          <w:highlight w:val="none"/>
        </w:rPr>
      </w:pPr>
      <w:r>
        <w:rPr>
          <w:rFonts w:hint="eastAsia" w:hAnsi="宋体" w:cs="宋体"/>
          <w:b/>
          <w:highlight w:val="none"/>
        </w:rPr>
        <w:t>后勤管理</w:t>
      </w:r>
      <w:r>
        <w:rPr>
          <w:rFonts w:hint="eastAsia" w:hAnsi="宋体" w:cs="宋体"/>
          <w:b/>
          <w:highlight w:val="none"/>
          <w:lang w:val="en-US" w:eastAsia="zh-CN"/>
        </w:rPr>
        <w:t xml:space="preserve">  </w:t>
      </w:r>
      <w:r>
        <w:rPr>
          <w:rFonts w:hint="eastAsia" w:hAnsi="宋体" w:cs="宋体"/>
          <w:highlight w:val="none"/>
        </w:rPr>
        <w:t>努力创建良好育人环境，努力改善办学条件，全面加强卫生、财产和寝室管理。勤俭节约，服务师生，资产增值，为学校各项工作提供优质服务。</w:t>
      </w:r>
    </w:p>
    <w:p w14:paraId="2EBD247A">
      <w:pPr>
        <w:rPr>
          <w:rFonts w:hint="eastAsia" w:hAnsi="宋体" w:cs="宋体"/>
          <w:highlight w:val="none"/>
        </w:rPr>
      </w:pPr>
      <w:r>
        <w:rPr>
          <w:rFonts w:hint="eastAsia" w:hAnsi="宋体" w:cs="宋体"/>
          <w:b/>
          <w:highlight w:val="none"/>
        </w:rPr>
        <w:t>办学成效</w:t>
      </w:r>
      <w:r>
        <w:rPr>
          <w:rFonts w:hint="eastAsia" w:hAnsi="宋体" w:cs="宋体"/>
          <w:b/>
          <w:highlight w:val="none"/>
          <w:lang w:val="en-US" w:eastAsia="zh-CN"/>
        </w:rPr>
        <w:t xml:space="preserve">  </w:t>
      </w:r>
      <w:r>
        <w:rPr>
          <w:rFonts w:hint="eastAsia" w:hAnsi="宋体" w:cs="宋体"/>
          <w:highlight w:val="none"/>
        </w:rPr>
        <w:t>2015年韶关市中小学校“英东杯”体育教师技能大赛暨韶关市第三届中小学体育教师教学技能大赛，南雄市第二中学取得初中组一等奖的喜人成绩。2015年获“韶关市五四红旗团委标兵”荣誉称号，被评为“韶关市高考优质生源贡献学校”。在2015年1月省课题评审中，南雄市第二中学有4位老师的小课题分别被评为一、二等奖。2015年“全国初中应用物理知识竞赛”，参赛学生获得优异成绩，实现历史性突破，有6人次获韶关市级以上奖励，获奖人数在南雄市所有中学中名列第一。在韶关市初中数学青年教师数学问题讲授核心片段展示活动中</w:t>
      </w:r>
      <w:r>
        <w:rPr>
          <w:rFonts w:hint="eastAsia" w:hAnsi="宋体" w:cs="宋体"/>
          <w:highlight w:val="none"/>
          <w:lang w:eastAsia="zh-CN"/>
        </w:rPr>
        <w:t>，</w:t>
      </w:r>
      <w:r>
        <w:rPr>
          <w:rFonts w:hint="eastAsia" w:hAnsi="宋体" w:cs="宋体"/>
          <w:highlight w:val="none"/>
        </w:rPr>
        <w:t>谢秀红获韶关市一等奖，黄端鑫获韶关市二等奖。2015年中考，600分以上17人，占南雄市初级中学60.7%</w:t>
      </w:r>
      <w:r>
        <w:rPr>
          <w:rFonts w:hint="eastAsia" w:hAnsi="宋体" w:cs="宋体"/>
          <w:highlight w:val="none"/>
          <w:lang w:eastAsia="zh-CN"/>
        </w:rPr>
        <w:t>；</w:t>
      </w:r>
      <w:r>
        <w:rPr>
          <w:rFonts w:hint="eastAsia" w:hAnsi="宋体" w:cs="宋体"/>
          <w:highlight w:val="none"/>
        </w:rPr>
        <w:t>单科成绩满分有118人，列南雄市初级中学第一。（邓金生）</w:t>
      </w:r>
    </w:p>
    <w:p w14:paraId="27C54131">
      <w:pPr>
        <w:rPr>
          <w:rFonts w:hint="eastAsia" w:hAnsi="宋体" w:eastAsia="宋体" w:cs="宋体"/>
          <w:b w:val="0"/>
          <w:bCs w:val="0"/>
          <w:highlight w:val="none"/>
          <w:lang w:eastAsia="zh-CN"/>
        </w:rPr>
      </w:pPr>
      <w:r>
        <w:rPr>
          <w:rFonts w:hint="eastAsia" w:hAnsi="宋体" w:cs="宋体"/>
          <w:b w:val="0"/>
          <w:bCs w:val="0"/>
          <w:highlight w:val="none"/>
        </w:rPr>
        <w:t>附：2015年南雄二中领导班子成员名单</w:t>
      </w:r>
    </w:p>
    <w:p w14:paraId="430C541B">
      <w:pPr>
        <w:rPr>
          <w:rFonts w:hint="eastAsia" w:hAnsi="宋体" w:eastAsia="宋体" w:cs="宋体"/>
          <w:highlight w:val="none"/>
          <w:lang w:eastAsia="zh-CN"/>
        </w:rPr>
      </w:pPr>
      <w:r>
        <w:rPr>
          <w:rFonts w:hint="eastAsia" w:hAnsi="宋体" w:cs="宋体"/>
          <w:b w:val="0"/>
          <w:bCs w:val="0"/>
          <w:highlight w:val="none"/>
        </w:rPr>
        <w:t>校</w:t>
      </w:r>
      <w:r>
        <w:rPr>
          <w:rFonts w:hint="eastAsia" w:hAnsi="宋体" w:cs="宋体"/>
          <w:b w:val="0"/>
          <w:bCs w:val="0"/>
          <w:highlight w:val="none"/>
          <w:lang w:val="en-US" w:eastAsia="zh-CN"/>
        </w:rPr>
        <w:t xml:space="preserve">  </w:t>
      </w:r>
      <w:r>
        <w:rPr>
          <w:rFonts w:hint="eastAsia" w:hAnsi="宋体" w:cs="宋体"/>
          <w:b w:val="0"/>
          <w:bCs w:val="0"/>
          <w:highlight w:val="none"/>
        </w:rPr>
        <w:t>长：邓应</w:t>
      </w:r>
      <w:r>
        <w:rPr>
          <w:rFonts w:hint="eastAsia" w:hAnsi="宋体" w:cs="宋体"/>
          <w:highlight w:val="none"/>
        </w:rPr>
        <w:t>福</w:t>
      </w:r>
    </w:p>
    <w:p w14:paraId="1228DFE6">
      <w:pPr>
        <w:rPr>
          <w:rFonts w:hint="eastAsia" w:hAnsi="宋体" w:cs="宋体"/>
          <w:highlight w:val="none"/>
        </w:rPr>
      </w:pPr>
      <w:r>
        <w:rPr>
          <w:rFonts w:hint="eastAsia" w:hAnsi="宋体" w:cs="宋体"/>
          <w:highlight w:val="none"/>
        </w:rPr>
        <w:t>副校长：刘发荣 丁德英 何世超 陈斌</w:t>
      </w:r>
    </w:p>
    <w:p w14:paraId="4DB37F20">
      <w:pPr>
        <w:pStyle w:val="4"/>
        <w:bidi w:val="0"/>
        <w:rPr>
          <w:rFonts w:hint="eastAsia"/>
          <w:highlight w:val="none"/>
        </w:rPr>
      </w:pPr>
      <w:r>
        <w:rPr>
          <w:rFonts w:hint="eastAsia"/>
          <w:highlight w:val="none"/>
        </w:rPr>
        <w:t>【乌迳中学】</w:t>
      </w:r>
    </w:p>
    <w:p w14:paraId="4413C46D">
      <w:pPr>
        <w:rPr>
          <w:rFonts w:hint="eastAsia" w:hAnsi="宋体" w:cs="宋体"/>
          <w:highlight w:val="none"/>
        </w:rPr>
      </w:pPr>
      <w:r>
        <w:rPr>
          <w:rFonts w:hint="eastAsia" w:hAnsi="宋体" w:cs="宋体"/>
          <w:highlight w:val="none"/>
        </w:rPr>
        <w:t>创办于1958年，原址在乌迳医院旧宿舍楼区，始称为乌迳公社乌迳小学初中部，1960年迁至雄信公路旁现今地址。1968年高中开始招生，成为当时南雄市上片地区规模较大的农村完全中学。“文化大革命”期间曾一度易名为“燎原中学”。1987年高中改制为农村职业高中，1990年升格为科级单位，1998年停设高中部，成为农村一所初级中学。</w:t>
      </w:r>
    </w:p>
    <w:p w14:paraId="297AA1E5">
      <w:pPr>
        <w:rPr>
          <w:rFonts w:hint="eastAsia" w:hAnsi="宋体" w:cs="宋体"/>
          <w:b/>
          <w:highlight w:val="none"/>
        </w:rPr>
      </w:pPr>
      <w:r>
        <w:rPr>
          <w:rFonts w:hint="eastAsia" w:hAnsi="宋体" w:cs="宋体"/>
          <w:highlight w:val="none"/>
        </w:rPr>
        <w:t>学校校园占地总面积近6万平方米，其中校舍面积达2万平方米。2015年秋季入学有初中教学班24个，小学部教学班8个班，在校学生1414人，在岗教职工109人。</w:t>
      </w:r>
    </w:p>
    <w:p w14:paraId="63DFA4E0">
      <w:pPr>
        <w:rPr>
          <w:rFonts w:hint="eastAsia" w:hAnsi="宋体" w:cs="宋体"/>
          <w:b/>
          <w:highlight w:val="none"/>
        </w:rPr>
      </w:pPr>
      <w:r>
        <w:rPr>
          <w:rFonts w:hint="eastAsia" w:hAnsi="宋体" w:cs="宋体"/>
          <w:b/>
          <w:highlight w:val="none"/>
        </w:rPr>
        <w:t>设施建设</w:t>
      </w:r>
      <w:r>
        <w:rPr>
          <w:rFonts w:hint="eastAsia" w:hAnsi="宋体" w:cs="宋体"/>
          <w:b/>
          <w:highlight w:val="none"/>
          <w:lang w:val="en-US" w:eastAsia="zh-CN"/>
        </w:rPr>
        <w:t xml:space="preserve">  </w:t>
      </w:r>
      <w:r>
        <w:rPr>
          <w:rFonts w:hint="eastAsia" w:hAnsi="宋体" w:cs="宋体"/>
          <w:highlight w:val="none"/>
        </w:rPr>
        <w:t>学校教学设施较为齐全。不断加大校园建设，先后搬迁学校厨房，新建学校招待室，学生宿舍楼4栋，教师楼4栋、教学楼1栋，综合楼1栋，实现师生工作、学习和生活楼房化，同时，又修建花园小景和文化长廊，美化绿化校园，使校园绿树成荫，花红草绿，亭台轩榭，假山池沼相辉映，风景秀丽怡人，并能做到教学、生活、运动三区分开，整个校园布局科学合理，为师生工作、学习和生活创设优美环境，提供良好条件。为满足乌迳小学现有学位紧张，学校已完成小学部的建设并已正常招生。</w:t>
      </w:r>
    </w:p>
    <w:p w14:paraId="3AE8F456">
      <w:pPr>
        <w:rPr>
          <w:rFonts w:hint="eastAsia" w:hAnsi="宋体" w:cs="宋体"/>
          <w:b/>
          <w:highlight w:val="none"/>
        </w:rPr>
      </w:pPr>
      <w:r>
        <w:rPr>
          <w:rFonts w:hint="eastAsia" w:hAnsi="宋体" w:cs="宋体"/>
          <w:b/>
          <w:highlight w:val="none"/>
        </w:rPr>
        <w:t>师资队伍</w:t>
      </w:r>
      <w:r>
        <w:rPr>
          <w:rFonts w:hint="eastAsia" w:hAnsi="宋体" w:cs="宋体"/>
          <w:b/>
          <w:highlight w:val="none"/>
          <w:lang w:val="en-US" w:eastAsia="zh-CN"/>
        </w:rPr>
        <w:t xml:space="preserve">  </w:t>
      </w:r>
      <w:r>
        <w:rPr>
          <w:rFonts w:hint="eastAsia" w:hAnsi="宋体" w:cs="宋体"/>
          <w:highlight w:val="none"/>
        </w:rPr>
        <w:t>学校现有109名教师中，高级教师5人，一级教师71人。大学本科学历68人，专科学历33人，工人7人，达标率99.5%。</w:t>
      </w:r>
    </w:p>
    <w:p w14:paraId="4DCBDEE4">
      <w:pPr>
        <w:rPr>
          <w:rFonts w:hint="eastAsia" w:hAnsi="宋体" w:cs="宋体"/>
          <w:b/>
          <w:highlight w:val="none"/>
        </w:rPr>
      </w:pPr>
      <w:r>
        <w:rPr>
          <w:rFonts w:hint="eastAsia" w:hAnsi="宋体" w:cs="宋体"/>
          <w:b/>
          <w:highlight w:val="none"/>
          <w:lang w:eastAsia="zh-CN"/>
        </w:rPr>
        <w:t>课程设置</w:t>
      </w:r>
      <w:r>
        <w:rPr>
          <w:rFonts w:hint="eastAsia" w:hAnsi="宋体" w:cs="宋体"/>
          <w:b/>
          <w:highlight w:val="none"/>
          <w:lang w:val="en-US" w:eastAsia="zh-CN"/>
        </w:rPr>
        <w:t xml:space="preserve">  </w:t>
      </w:r>
      <w:r>
        <w:rPr>
          <w:rFonts w:hint="eastAsia" w:hAnsi="宋体" w:cs="宋体"/>
          <w:highlight w:val="none"/>
        </w:rPr>
        <w:t>采用广东省九年义务教育初中教材，包括思想品德、语文、数学、英语、历史、地理、生物、美术、音乐、体育与健康、物理、化学、信息技术、综合实践、社会、写字等课程。</w:t>
      </w:r>
    </w:p>
    <w:p w14:paraId="317B91BA">
      <w:pPr>
        <w:rPr>
          <w:rFonts w:hint="eastAsia" w:hAnsi="宋体" w:cs="宋体"/>
          <w:highlight w:val="none"/>
        </w:rPr>
      </w:pPr>
      <w:r>
        <w:rPr>
          <w:rFonts w:hint="eastAsia" w:hAnsi="宋体" w:cs="宋体"/>
          <w:b/>
          <w:highlight w:val="none"/>
        </w:rPr>
        <w:t>办学特色</w:t>
      </w:r>
      <w:r>
        <w:rPr>
          <w:rFonts w:hint="eastAsia" w:hAnsi="宋体" w:cs="宋体"/>
          <w:b/>
          <w:highlight w:val="none"/>
          <w:lang w:val="en-US" w:eastAsia="zh-CN"/>
        </w:rPr>
        <w:t xml:space="preserve">  </w:t>
      </w:r>
      <w:r>
        <w:rPr>
          <w:rFonts w:hint="eastAsia" w:hAnsi="宋体" w:cs="宋体"/>
          <w:highlight w:val="none"/>
        </w:rPr>
        <w:t>学校已形成独特的以年级为阶梯的系列教育活动，寻找“传统、现代、现实”最佳结合点。让学生从小感悟博大精深的中华传统文化的精髓，注重人文底蕴积淀和熏陶，不断强化每位学生未来可持续发展的文化基因。传承粤北民间文化艺术、训练有素的乌迳中学板凳龙队，一度被广东省民间文艺家协会主席罗汉光称为“民间艺术奇葩”，并与其他地方的板凳龙队作了比较，原本以“舞龙求雨”形式而出现的板凳龙是以板凳出现的，而乌迳的板凳龙更具有艺术性，装饰和美术效果更好。省民间文艺家协会称该校板凳龙队“底蕴深厚、魅力独具、极有特点”，并指出这是古村落历史文化遗产中的非物质文化遗产。同时希望传承、发展、创新，发掘其文化底蕴。（叶华南）</w:t>
      </w:r>
    </w:p>
    <w:p w14:paraId="645FD629">
      <w:pPr>
        <w:rPr>
          <w:rFonts w:hint="eastAsia" w:hAnsi="宋体" w:eastAsia="宋体" w:cs="宋体"/>
          <w:b w:val="0"/>
          <w:bCs w:val="0"/>
          <w:highlight w:val="none"/>
          <w:lang w:eastAsia="zh-CN"/>
        </w:rPr>
      </w:pPr>
      <w:r>
        <w:rPr>
          <w:rFonts w:hint="eastAsia" w:hAnsi="宋体" w:cs="宋体"/>
          <w:b w:val="0"/>
          <w:bCs w:val="0"/>
          <w:highlight w:val="none"/>
        </w:rPr>
        <w:t>附：2015年乌迳中学领导班子成员名单</w:t>
      </w:r>
    </w:p>
    <w:p w14:paraId="2B2B14A8">
      <w:pPr>
        <w:rPr>
          <w:rFonts w:hint="eastAsia" w:hAnsi="宋体" w:eastAsia="宋体" w:cs="宋体"/>
          <w:b w:val="0"/>
          <w:bCs w:val="0"/>
          <w:highlight w:val="none"/>
          <w:lang w:eastAsia="zh-CN"/>
        </w:rPr>
      </w:pPr>
      <w:r>
        <w:rPr>
          <w:rFonts w:hint="eastAsia" w:hAnsi="宋体" w:cs="宋体"/>
          <w:b w:val="0"/>
          <w:bCs w:val="0"/>
          <w:highlight w:val="none"/>
        </w:rPr>
        <w:t>校</w:t>
      </w:r>
      <w:r>
        <w:rPr>
          <w:rFonts w:hint="eastAsia" w:hAnsi="宋体" w:cs="宋体"/>
          <w:b w:val="0"/>
          <w:bCs w:val="0"/>
          <w:highlight w:val="none"/>
          <w:lang w:val="en-US" w:eastAsia="zh-CN"/>
        </w:rPr>
        <w:t xml:space="preserve">  </w:t>
      </w:r>
      <w:r>
        <w:rPr>
          <w:rFonts w:hint="eastAsia" w:hAnsi="宋体" w:cs="宋体"/>
          <w:b w:val="0"/>
          <w:bCs w:val="0"/>
          <w:highlight w:val="none"/>
        </w:rPr>
        <w:t>长：黄国专（任至8月）叶小洋（8月任）</w:t>
      </w:r>
    </w:p>
    <w:p w14:paraId="51F1A757">
      <w:pPr>
        <w:rPr>
          <w:rFonts w:hint="eastAsia" w:hAnsi="宋体" w:eastAsia="宋体" w:cs="宋体"/>
          <w:highlight w:val="none"/>
          <w:lang w:eastAsia="zh-CN"/>
        </w:rPr>
      </w:pPr>
      <w:r>
        <w:rPr>
          <w:rFonts w:hint="eastAsia" w:hAnsi="宋体" w:cs="宋体"/>
          <w:b w:val="0"/>
          <w:bCs w:val="0"/>
          <w:highlight w:val="none"/>
        </w:rPr>
        <w:t>副校长：叶勤生</w:t>
      </w:r>
      <w:r>
        <w:rPr>
          <w:rFonts w:hint="eastAsia" w:hAnsi="宋体" w:cs="宋体"/>
          <w:highlight w:val="none"/>
        </w:rPr>
        <w:t xml:space="preserve"> 彭华 邓胜文</w:t>
      </w:r>
    </w:p>
    <w:p w14:paraId="5F731540">
      <w:pPr>
        <w:pStyle w:val="3"/>
        <w:bidi w:val="0"/>
        <w:rPr>
          <w:rFonts w:hint="eastAsia" w:eastAsia="宋体"/>
          <w:highlight w:val="none"/>
          <w:lang w:eastAsia="zh-CN"/>
        </w:rPr>
      </w:pPr>
      <w:r>
        <w:rPr>
          <w:rFonts w:hint="eastAsia"/>
          <w:highlight w:val="none"/>
        </w:rPr>
        <w:t>卫生</w:t>
      </w:r>
    </w:p>
    <w:p w14:paraId="6A061F5A">
      <w:pPr>
        <w:pStyle w:val="4"/>
        <w:bidi w:val="0"/>
        <w:rPr>
          <w:rFonts w:hint="eastAsia"/>
          <w:highlight w:val="none"/>
        </w:rPr>
      </w:pPr>
      <w:r>
        <w:rPr>
          <w:rFonts w:hint="eastAsia"/>
          <w:highlight w:val="none"/>
        </w:rPr>
        <w:t>【卫生概况】</w:t>
      </w:r>
    </w:p>
    <w:p w14:paraId="02AF78EB">
      <w:pPr>
        <w:rPr>
          <w:rFonts w:hint="eastAsia" w:hAnsi="宋体" w:cs="宋体"/>
          <w:highlight w:val="none"/>
        </w:rPr>
      </w:pPr>
      <w:r>
        <w:rPr>
          <w:rFonts w:hint="eastAsia" w:hAnsi="宋体" w:cs="宋体"/>
          <w:highlight w:val="none"/>
        </w:rPr>
        <w:t>2015年全市卫生和计划生育工作以强化基本公共卫生服务、创建国家慢性病防控示范区和加强计划生育服务为工作重点，进一步强化医德医风教育、医疗质量管理和计划生育党政一把手负总责等工作举措，推动卫生和计划生育工作开展。2015年，疾病预防控制工作荣获“全国疾病预防控制工作先进集体”荣誉称号；麻风病防治工作荣获“全国麻风病防治管理信息系统工作先进集体”“广东省麻风病防治先进单位”荣誉称号；精神病管理工作被评为“广东省严重精神管理治疗工作优秀县”；计划生育工作年度考核获得省委、省政府表扬，韶关市委、市政府表彰。2015年末，全市拥有各类医疗机构352间。其中县（市）级综合性医院1间（市人民医院），县（市）级中医院1间，县（市）级疾病预防控制机构4间</w:t>
      </w:r>
      <w:r>
        <w:rPr>
          <w:rFonts w:hint="eastAsia" w:hAnsi="宋体" w:cs="宋体"/>
          <w:highlight w:val="none"/>
          <w:lang w:eastAsia="zh-CN"/>
        </w:rPr>
        <w:t>（</w:t>
      </w:r>
      <w:r>
        <w:rPr>
          <w:rFonts w:hint="eastAsia" w:hAnsi="宋体" w:cs="宋体"/>
          <w:highlight w:val="none"/>
        </w:rPr>
        <w:t>疾病预防控制中心、卫生监督所、慢性病防治站、妇幼保健计划生育服务院</w:t>
      </w:r>
      <w:r>
        <w:rPr>
          <w:rFonts w:hint="eastAsia" w:hAnsi="宋体" w:cs="宋体"/>
          <w:highlight w:val="none"/>
          <w:lang w:eastAsia="zh-CN"/>
        </w:rPr>
        <w:t>）</w:t>
      </w:r>
      <w:r>
        <w:rPr>
          <w:rFonts w:hint="eastAsia" w:hAnsi="宋体" w:cs="宋体"/>
          <w:highlight w:val="none"/>
        </w:rPr>
        <w:t>，社区卫生服务中心1间，镇级卫生院18间。村级卫生站284间，企事业、个体诊所43间。除村卫生站和企事业、个体诊所外，全市在职在编人员1170人，其中卫生技术人员1087人，卫生技术人员中高级职称81人（正高1人、副高80人），中级职称319人；初级职称472人，无职称299人；执业医师373人，执业助理医师140人，每千人拥有医生数1.72人；注册护士653人，每千人拥有护士1.37人；有病床1399张，其中城区880张，镇卫生院519张。每千人拥有床位2.93张。</w:t>
      </w:r>
    </w:p>
    <w:p w14:paraId="0A900875">
      <w:pPr>
        <w:rPr>
          <w:rFonts w:hint="eastAsia" w:hAnsi="宋体" w:cs="宋体"/>
          <w:highlight w:val="none"/>
        </w:rPr>
      </w:pPr>
      <w:r>
        <w:rPr>
          <w:rFonts w:hint="eastAsia" w:hAnsi="宋体" w:cs="宋体"/>
          <w:highlight w:val="none"/>
        </w:rPr>
        <w:t>全市有单价万元以上设备404台，其中50万元以上设备35台。在国务院公布的甲、乙类大型医疗设备中，医用核磁共振（MRI）1台，X线电子计算机断层扫描装置（CT）2台（其中螺旋CT1台），DR机1台，计算机化的X线放射影像系统（CR）9台，彩色B超6台。</w:t>
      </w:r>
    </w:p>
    <w:p w14:paraId="455E788A">
      <w:pPr>
        <w:rPr>
          <w:rFonts w:hint="eastAsia" w:hAnsi="宋体" w:cs="宋体"/>
          <w:highlight w:val="none"/>
        </w:rPr>
      </w:pPr>
      <w:r>
        <w:rPr>
          <w:rFonts w:hint="eastAsia" w:hAnsi="宋体" w:cs="宋体"/>
          <w:highlight w:val="none"/>
        </w:rPr>
        <w:t>2015年全市门诊服务人次达到81.07万人，住院人次达到4.77万人。</w:t>
      </w:r>
    </w:p>
    <w:p w14:paraId="79599733">
      <w:pPr>
        <w:pStyle w:val="3"/>
        <w:bidi w:val="0"/>
        <w:rPr>
          <w:rFonts w:hint="eastAsia"/>
          <w:highlight w:val="none"/>
        </w:rPr>
      </w:pPr>
      <w:r>
        <w:rPr>
          <w:rFonts w:hint="eastAsia"/>
          <w:highlight w:val="none"/>
        </w:rPr>
        <w:t>深化医药卫生体制改革</w:t>
      </w:r>
    </w:p>
    <w:p w14:paraId="025A8F2E">
      <w:pPr>
        <w:pStyle w:val="4"/>
        <w:bidi w:val="0"/>
        <w:rPr>
          <w:rFonts w:hint="eastAsia"/>
          <w:highlight w:val="none"/>
        </w:rPr>
      </w:pPr>
      <w:r>
        <w:rPr>
          <w:rFonts w:hint="eastAsia"/>
          <w:highlight w:val="none"/>
        </w:rPr>
        <w:t>【概况】</w:t>
      </w:r>
    </w:p>
    <w:p w14:paraId="62629A7C">
      <w:pPr>
        <w:rPr>
          <w:rFonts w:hint="eastAsia" w:hAnsi="宋体" w:cs="宋体"/>
          <w:highlight w:val="none"/>
        </w:rPr>
      </w:pPr>
      <w:r>
        <w:rPr>
          <w:rFonts w:hint="eastAsia" w:hAnsi="宋体" w:cs="宋体"/>
          <w:highlight w:val="none"/>
        </w:rPr>
        <w:t>全市基层医疗卫生机构全面实施国家基本药物制度，对国家基本药物目录药品和省级增补的非目录药品实行药品零差价销售；全科医生培训工作。至2015年底，已完成全科医师（护师）岗位培训共116人（全科医师培训68人，全科护士岗位培训48人），已完成全科医师转岗培训60人。促进基本公共卫生均等化。全面实施建立居民健康档案、健康教育、儿童保健、孕产妇保健、老年人保健、免疫规划、传染病及突发公共卫生事件报告处理、高血压病管理、糖尿病管理、重性精神病管理、卫生监督协管及中医药健康管理等12类基本公共卫生服务和住院分娩补助、补服叶酸、改水改厕等重大公共卫生服务项目工作。巩固基层医疗卫生机构综合改革成果。继续对全市基层医疗卫生事业单位实施绩效考核制度和收支两条线管理。市人民医院、市中医院和市妇幼保健计划生育服务院全面实施公立医院改革工作。</w:t>
      </w:r>
    </w:p>
    <w:p w14:paraId="08DC5E7F">
      <w:pPr>
        <w:rPr>
          <w:rFonts w:hint="eastAsia" w:hAnsi="宋体" w:cs="宋体"/>
          <w:highlight w:val="none"/>
          <w:vertAlign w:val="baseline"/>
        </w:rPr>
      </w:pPr>
      <w:r>
        <w:rPr>
          <w:rFonts w:hint="eastAsia" w:hAnsi="宋体" w:cs="宋体"/>
          <w:highlight w:val="none"/>
        </w:rPr>
        <w:t>全面实施国家基本药物制度，对基本药物实行药品零差价销售。</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4381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D2D710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64410"/>
                  <wp:effectExtent l="0" t="0" r="8890" b="2540"/>
                  <wp:docPr id="97" name="图片 259" descr="卫计局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59" descr="卫计局30"/>
                          <pic:cNvPicPr>
                            <a:picLocks noChangeAspect="1"/>
                          </pic:cNvPicPr>
                        </pic:nvPicPr>
                        <pic:blipFill>
                          <a:blip r:embed="rId102"/>
                          <a:stretch>
                            <a:fillRect/>
                          </a:stretch>
                        </pic:blipFill>
                        <pic:spPr>
                          <a:xfrm>
                            <a:off x="0" y="0"/>
                            <a:ext cx="3420110" cy="2264410"/>
                          </a:xfrm>
                          <a:prstGeom prst="rect">
                            <a:avLst/>
                          </a:prstGeom>
                          <a:noFill/>
                          <a:ln>
                            <a:noFill/>
                          </a:ln>
                        </pic:spPr>
                      </pic:pic>
                    </a:graphicData>
                  </a:graphic>
                </wp:inline>
              </w:drawing>
            </w:r>
          </w:p>
        </w:tc>
      </w:tr>
      <w:tr w14:paraId="482A6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0C55B9FC">
            <w:pPr>
              <w:jc w:val="center"/>
              <w:rPr>
                <w:rFonts w:hint="eastAsia" w:hAnsi="宋体" w:cs="宋体"/>
                <w:highlight w:val="none"/>
                <w:vertAlign w:val="baseline"/>
              </w:rPr>
            </w:pPr>
            <w:r>
              <w:rPr>
                <w:rFonts w:hint="eastAsia" w:hAnsi="宋体" w:cs="宋体"/>
                <w:highlight w:val="none"/>
                <w:vertAlign w:val="baseline"/>
              </w:rPr>
              <w:t>卫计局、安监局在工业园区举办职业病防治宣传</w:t>
            </w:r>
          </w:p>
        </w:tc>
      </w:tr>
    </w:tbl>
    <w:p w14:paraId="7B47C725">
      <w:pPr>
        <w:pStyle w:val="3"/>
        <w:bidi w:val="0"/>
        <w:rPr>
          <w:rFonts w:hint="eastAsia" w:eastAsia="宋体"/>
          <w:highlight w:val="none"/>
          <w:lang w:eastAsia="zh-CN"/>
        </w:rPr>
      </w:pPr>
      <w:r>
        <w:rPr>
          <w:rFonts w:hint="eastAsia"/>
          <w:highlight w:val="none"/>
        </w:rPr>
        <w:t>公共卫生应急体系建设</w:t>
      </w:r>
    </w:p>
    <w:p w14:paraId="6ABA076A">
      <w:pPr>
        <w:pStyle w:val="4"/>
        <w:bidi w:val="0"/>
        <w:rPr>
          <w:rFonts w:hint="eastAsia"/>
          <w:highlight w:val="none"/>
        </w:rPr>
      </w:pPr>
      <w:r>
        <w:rPr>
          <w:rFonts w:hint="eastAsia"/>
          <w:highlight w:val="none"/>
        </w:rPr>
        <w:t>【概况】</w:t>
      </w:r>
    </w:p>
    <w:p w14:paraId="6D9738E3">
      <w:pPr>
        <w:rPr>
          <w:rFonts w:hint="eastAsia" w:hAnsi="宋体" w:cs="宋体"/>
          <w:highlight w:val="none"/>
        </w:rPr>
      </w:pPr>
      <w:r>
        <w:rPr>
          <w:rFonts w:hint="eastAsia" w:hAnsi="宋体" w:cs="宋体"/>
          <w:highlight w:val="none"/>
        </w:rPr>
        <w:t>公共医疗卫生体系主要由市人民医院、市中医院、市卫生监督所、市疾病预防控制中心、市健康教育所、市妇幼保健院、市慢性病防治站、镇卫生院（社区卫生服务中心）防保组及妇幼卫生组和村卫生站等机构组成。</w:t>
      </w:r>
    </w:p>
    <w:p w14:paraId="4EC2B6A3">
      <w:pPr>
        <w:pStyle w:val="4"/>
        <w:bidi w:val="0"/>
        <w:rPr>
          <w:rFonts w:hint="eastAsia"/>
          <w:highlight w:val="none"/>
        </w:rPr>
      </w:pPr>
      <w:r>
        <w:rPr>
          <w:rFonts w:hint="eastAsia"/>
          <w:highlight w:val="none"/>
        </w:rPr>
        <w:t>【应对突发公共卫生事件机制】</w:t>
      </w:r>
    </w:p>
    <w:p w14:paraId="46C15FD8">
      <w:pPr>
        <w:rPr>
          <w:rFonts w:hint="eastAsia" w:hAnsi="宋体" w:eastAsia="宋体" w:cs="宋体"/>
          <w:highlight w:val="none"/>
          <w:lang w:eastAsia="zh-CN"/>
        </w:rPr>
      </w:pPr>
      <w:r>
        <w:rPr>
          <w:rFonts w:hint="eastAsia" w:hAnsi="宋体" w:cs="宋体"/>
          <w:highlight w:val="none"/>
        </w:rPr>
        <w:t>加强和完善卫生应急“一案三制”（制订修订应急预案，建立健全应急的体制、机制和法制），制定《南雄市卫生系统突发公共卫生事件应急预案》，并成立南雄市卫生系统突发公共卫生事件应急处理工作领导小组，下设医疗救护、预防控制、卫生监督3个指导小组，重大传染病和突发公共卫生事件得到有效防控。与农业、畜牧、水利、环保、质监等部门建立协调机制，加强部门间突发公共卫生事件信息沟通与措施联动。结合卫生应急工作需要，制订和修订相关突发公共卫生事件防控预案，卫生应急预案框架体系逐步完善。建立健全全市24个镇级以上医疗卫生机构传染病疫情和突发公共卫生事件网络直报常态管理、实时监控机制，及时、准确地对突发公共卫生事件作出预测、预警和预报。加强队伍建设。对村卫生站、镇级以上医疗机构和托幼机构、学校等相关卫生工作人员每年定期进行业务技术指导、培训、督促检查，使之能够掌握突发公共卫生事件调查处理办法，有效开展疾病预防控制工作；全面实施城乡居民健康档案管理、健康教育、预防接种、0—6岁儿童健康管理、孕产妇健康管理、老年人健康管理、高血压患者健康管理、2型糖尿病患者健康管理、重性精神疾病患者管理、传染病及突发公共卫生事件报告和处理、卫生监督协管服务规范等基本公共卫生服务项目工作。全力做好突发公共卫生事件医疗救治工作，组织医疗、卫生机构专业人员开展应急演练，组织应急物资储备。广泛开展传染病防治知识健康教育工作，提高居民防病控病意识；重点抓好人感染高致病性禽流感、手足口病、霍乱等疾病为主的传染病监测工作。</w:t>
      </w:r>
    </w:p>
    <w:p w14:paraId="3BA66F8A">
      <w:pPr>
        <w:pStyle w:val="3"/>
        <w:bidi w:val="0"/>
        <w:rPr>
          <w:rFonts w:hint="eastAsia" w:eastAsia="宋体"/>
          <w:highlight w:val="none"/>
          <w:lang w:eastAsia="zh-CN"/>
        </w:rPr>
      </w:pPr>
      <w:r>
        <w:rPr>
          <w:rFonts w:hint="eastAsia"/>
          <w:highlight w:val="none"/>
        </w:rPr>
        <w:t>农村医疗卫生</w:t>
      </w:r>
    </w:p>
    <w:p w14:paraId="71EBCBDF">
      <w:pPr>
        <w:pStyle w:val="4"/>
        <w:bidi w:val="0"/>
        <w:rPr>
          <w:rFonts w:hint="eastAsia"/>
          <w:highlight w:val="none"/>
        </w:rPr>
      </w:pPr>
      <w:r>
        <w:rPr>
          <w:rFonts w:hint="eastAsia"/>
          <w:highlight w:val="none"/>
        </w:rPr>
        <w:t>【基层医疗卫生设施建设】</w:t>
      </w:r>
    </w:p>
    <w:p w14:paraId="3046D0D1">
      <w:pPr>
        <w:rPr>
          <w:rFonts w:hint="eastAsia" w:hAnsi="宋体" w:cs="宋体"/>
          <w:highlight w:val="none"/>
        </w:rPr>
      </w:pPr>
      <w:r>
        <w:rPr>
          <w:rFonts w:hint="eastAsia" w:hAnsi="宋体" w:cs="宋体"/>
          <w:highlight w:val="none"/>
        </w:rPr>
        <w:t>多渠道筹集资金和争取中央扩大内需基层医疗卫生服务体系建设项目建设资金改善就医环境。市中医院住院大楼二期工程建设基本完成，主田、黄坑卫生院医技大楼主体工程基本完成。</w:t>
      </w:r>
    </w:p>
    <w:p w14:paraId="665A7236">
      <w:pPr>
        <w:pStyle w:val="3"/>
        <w:bidi w:val="0"/>
        <w:rPr>
          <w:rFonts w:hint="eastAsia" w:eastAsia="宋体"/>
          <w:highlight w:val="none"/>
          <w:lang w:eastAsia="zh-CN"/>
        </w:rPr>
      </w:pPr>
      <w:r>
        <w:rPr>
          <w:rFonts w:hint="eastAsia"/>
          <w:highlight w:val="none"/>
        </w:rPr>
        <w:t>疾病预防控制和卫生保健</w:t>
      </w:r>
    </w:p>
    <w:p w14:paraId="48B5A242">
      <w:pPr>
        <w:pStyle w:val="4"/>
        <w:bidi w:val="0"/>
        <w:rPr>
          <w:rFonts w:hint="eastAsia"/>
          <w:highlight w:val="none"/>
        </w:rPr>
      </w:pPr>
      <w:r>
        <w:rPr>
          <w:rFonts w:hint="eastAsia"/>
          <w:highlight w:val="none"/>
        </w:rPr>
        <w:t>【疾病预防控制】</w:t>
      </w:r>
    </w:p>
    <w:p w14:paraId="1E48D960">
      <w:pPr>
        <w:rPr>
          <w:rFonts w:hint="eastAsia" w:hAnsi="宋体" w:eastAsia="宋体" w:cs="宋体"/>
          <w:highlight w:val="none"/>
          <w:vertAlign w:val="baseline"/>
          <w:lang w:eastAsia="zh-CN"/>
        </w:rPr>
      </w:pPr>
      <w:r>
        <w:rPr>
          <w:rFonts w:hint="eastAsia" w:hAnsi="宋体" w:cs="宋体"/>
          <w:highlight w:val="none"/>
        </w:rPr>
        <w:t>2015年，全市报告各类传染病14种1965例，发病率为410.34/10万。无甲类传染病报告；报告乙类传染病8种1233例，发病率为257.48/10万，发病数居前3位是病毒性肝炎、肺结核和梅毒；报告丙类传染病6种732例，发病率为152.86/10万，发病数居前3位的是手足口病、感染性腹泻和流行性感冒。</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CE6E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34558415">
            <w:pPr>
              <w:ind w:left="0" w:leftChars="0" w:firstLine="0" w:firstLineChars="0"/>
              <w:jc w:val="center"/>
              <w:rPr>
                <w:rFonts w:hint="eastAsia" w:hAnsi="宋体" w:eastAsia="宋体" w:cs="宋体"/>
                <w:highlight w:val="none"/>
                <w:vertAlign w:val="baseline"/>
                <w:lang w:val="en-US" w:eastAsia="zh-CN"/>
              </w:rPr>
            </w:pPr>
            <w:r>
              <w:rPr>
                <w:rFonts w:hAnsi="宋体" w:cs="宋体"/>
                <w:highlight w:val="none"/>
              </w:rPr>
              <w:drawing>
                <wp:inline distT="0" distB="0" distL="114300" distR="114300">
                  <wp:extent cx="3420110" cy="2453640"/>
                  <wp:effectExtent l="0" t="0" r="8890" b="3810"/>
                  <wp:docPr id="98" name="图片 260" descr="世界艾滋病日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60" descr="世界艾滋病日34"/>
                          <pic:cNvPicPr>
                            <a:picLocks noChangeAspect="1"/>
                          </pic:cNvPicPr>
                        </pic:nvPicPr>
                        <pic:blipFill>
                          <a:blip r:embed="rId103"/>
                          <a:stretch>
                            <a:fillRect/>
                          </a:stretch>
                        </pic:blipFill>
                        <pic:spPr>
                          <a:xfrm>
                            <a:off x="0" y="0"/>
                            <a:ext cx="3420110" cy="2453640"/>
                          </a:xfrm>
                          <a:prstGeom prst="rect">
                            <a:avLst/>
                          </a:prstGeom>
                          <a:noFill/>
                          <a:ln>
                            <a:noFill/>
                          </a:ln>
                        </pic:spPr>
                      </pic:pic>
                    </a:graphicData>
                  </a:graphic>
                </wp:inline>
              </w:drawing>
            </w:r>
            <w:r>
              <w:rPr>
                <w:rFonts w:hint="eastAsia" w:hAnsi="宋体" w:cs="宋体"/>
                <w:highlight w:val="none"/>
                <w:lang w:val="en-US" w:eastAsia="zh-CN"/>
              </w:rPr>
              <w:t>v</w:t>
            </w:r>
          </w:p>
        </w:tc>
      </w:tr>
      <w:tr w14:paraId="6AC08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D385DF2">
            <w:pPr>
              <w:jc w:val="center"/>
              <w:rPr>
                <w:rFonts w:hint="eastAsia" w:hAnsi="宋体" w:cs="宋体"/>
                <w:highlight w:val="none"/>
                <w:vertAlign w:val="baseline"/>
              </w:rPr>
            </w:pPr>
            <w:r>
              <w:rPr>
                <w:rFonts w:hint="eastAsia" w:hAnsi="宋体" w:cs="宋体"/>
                <w:highlight w:val="none"/>
                <w:vertAlign w:val="baseline"/>
              </w:rPr>
              <w:t>举办第28个“世界艾滋病日”宣传</w:t>
            </w:r>
          </w:p>
        </w:tc>
      </w:tr>
    </w:tbl>
    <w:p w14:paraId="6657C48A">
      <w:pPr>
        <w:pStyle w:val="4"/>
        <w:bidi w:val="0"/>
        <w:rPr>
          <w:rFonts w:hint="eastAsia"/>
          <w:highlight w:val="none"/>
        </w:rPr>
      </w:pPr>
      <w:r>
        <w:rPr>
          <w:rFonts w:hint="eastAsia"/>
          <w:highlight w:val="none"/>
        </w:rPr>
        <w:t>【重大疾病防控与突发公共卫生事件处置】</w:t>
      </w:r>
    </w:p>
    <w:p w14:paraId="25F17600">
      <w:pPr>
        <w:rPr>
          <w:rFonts w:hint="eastAsia" w:hAnsi="宋体" w:cs="宋体"/>
          <w:highlight w:val="none"/>
        </w:rPr>
      </w:pPr>
      <w:r>
        <w:rPr>
          <w:rFonts w:hint="eastAsia" w:hAnsi="宋体" w:cs="宋体"/>
          <w:highlight w:val="none"/>
        </w:rPr>
        <w:t>完善重大疾病防控网络和体系建设，开展常规性的风险评估、预警和分析。2015年，继续加强对医疗卫生机构传染病网络直报工作，强化预检分诊制度，主动做好不明原因肺炎监测，开展人感染H7N9禽流感、埃博拉出血热、登革热、手足口病、乙肝、艾滋病等重点传染病防控工作。处置急性传染病疫情4起，分别是水痘疫情1起，手足口病疫情2起，登革热疫情1起，未发生重大影响的突发公共卫生事件。</w:t>
      </w:r>
    </w:p>
    <w:p w14:paraId="5EC1CE41">
      <w:pPr>
        <w:pStyle w:val="4"/>
        <w:bidi w:val="0"/>
        <w:rPr>
          <w:rFonts w:hint="eastAsia"/>
          <w:highlight w:val="none"/>
        </w:rPr>
      </w:pPr>
      <w:r>
        <w:rPr>
          <w:rFonts w:hint="eastAsia"/>
          <w:highlight w:val="none"/>
        </w:rPr>
        <w:t>【巩固地方病、慢性非传染性疾病防治效果】</w:t>
      </w:r>
    </w:p>
    <w:p w14:paraId="0D2CA1F1">
      <w:pPr>
        <w:rPr>
          <w:rFonts w:hint="eastAsia" w:hAnsi="宋体" w:cs="宋体"/>
          <w:highlight w:val="none"/>
        </w:rPr>
      </w:pPr>
      <w:r>
        <w:rPr>
          <w:rFonts w:hint="eastAsia" w:hAnsi="宋体" w:cs="宋体"/>
          <w:highlight w:val="none"/>
        </w:rPr>
        <w:t>巩固地方病防治工作。2015年对油山镇、全安镇、江头镇、珠玑镇、湖口镇5个镇20个行政村300户居民食用盐样进行采集检测，检测碘盐合格率为96.67%；同时每镇随机抽检20名孕妇共100份尿样，碘盐合格率98.00%；每镇40名8—10岁儿童共200份尿样进行尿碘检测，并对200名儿童触诊检查甲状腺肿大，肿大率为0.00%。联合市盐务分局开展第22个“全国防治碘缺乏病宣传日”活动，向群众普及防治碘缺乏病知识。</w:t>
      </w:r>
    </w:p>
    <w:p w14:paraId="14F06FF1">
      <w:pPr>
        <w:rPr>
          <w:rFonts w:hint="eastAsia" w:hAnsi="宋体" w:cs="宋体"/>
          <w:highlight w:val="none"/>
        </w:rPr>
      </w:pPr>
      <w:r>
        <w:rPr>
          <w:rFonts w:hint="eastAsia" w:hAnsi="宋体" w:cs="宋体"/>
          <w:highlight w:val="none"/>
        </w:rPr>
        <w:t>加强慢性非传染性疾病防治工作。做好死因、肿瘤、心脑血管疾病和伤害监测。监测全人群死亡病例3012例，死亡报告率为6.28‰；监测肿瘤病例922例，其中死亡629例；监测心脑血管病例1658例，其中死亡病例742例；监测伤害病例9653例。加强高血压、糖尿病管理。全市完成首诊测血压30921人，建立高血压档案15136人，管理率36.00，规范管理人数7914人，规范管理率52.29%，血压达标人数7028人，血压达标率为46.43%；建立糖尿病档案2832人，管理率33.83%，规范管理人数1518人，规范管理率为53.60%，血糖达标人数1207人，血糖达标率42.62%。做好居民健康档案与65岁以上老年人档案管理。全市居民健康档案已建档247680人，建档率78.30%；65岁以上老年人档案已管理25142人，管理率66.39%。开展中医药健康管理。接受中医药健康管理服务65岁及以上居民数16760人，健康管理服务率44.21%。继续推进国家慢性病综合防控示范区创建工作。加大经费投入和政策环境支持，完善社区诊断和慢病监测报告质量，落实创建技术指导，开展社区宣传、推进学校、幼儿园健康教育课和健康讲座全面覆盖；打造健康社区、健康单位等示范创建引领，开展慢性病高危人群筛查和管理，进一步实施基本公共卫生服务均等化项目，促进患者自我管理。开展慢病与营养监测流行病学专项调查。对珠玑镇里仁、洋湖村委会，澜河镇上澜和澜河村委会，水口镇下楼和云西村委会目标人群开展调查，完成膳食与非膳食调查对象620人份、孕妇32人份的血样采取以及625人流行病学调查。</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D571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55EF75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45335"/>
                  <wp:effectExtent l="0" t="0" r="8890" b="12065"/>
                  <wp:docPr id="99" name="图片 261" descr="慢性病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61" descr="慢性病31"/>
                          <pic:cNvPicPr>
                            <a:picLocks noChangeAspect="1"/>
                          </pic:cNvPicPr>
                        </pic:nvPicPr>
                        <pic:blipFill>
                          <a:blip r:embed="rId104"/>
                          <a:stretch>
                            <a:fillRect/>
                          </a:stretch>
                        </pic:blipFill>
                        <pic:spPr>
                          <a:xfrm>
                            <a:off x="0" y="0"/>
                            <a:ext cx="3420110" cy="2045335"/>
                          </a:xfrm>
                          <a:prstGeom prst="rect">
                            <a:avLst/>
                          </a:prstGeom>
                          <a:noFill/>
                          <a:ln>
                            <a:noFill/>
                          </a:ln>
                        </pic:spPr>
                      </pic:pic>
                    </a:graphicData>
                  </a:graphic>
                </wp:inline>
              </w:drawing>
            </w:r>
          </w:p>
        </w:tc>
      </w:tr>
      <w:tr w14:paraId="2BAE6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3CC9DD2">
            <w:pPr>
              <w:jc w:val="center"/>
              <w:rPr>
                <w:rFonts w:hint="eastAsia" w:hAnsi="宋体" w:cs="宋体"/>
                <w:highlight w:val="none"/>
                <w:vertAlign w:val="baseline"/>
              </w:rPr>
            </w:pPr>
            <w:r>
              <w:rPr>
                <w:rFonts w:hint="eastAsia" w:hAnsi="宋体" w:cs="宋体"/>
                <w:highlight w:val="none"/>
                <w:vertAlign w:val="baseline"/>
              </w:rPr>
              <w:t>慢性病防治培训</w:t>
            </w:r>
          </w:p>
        </w:tc>
      </w:tr>
    </w:tbl>
    <w:p w14:paraId="667842A8">
      <w:pPr>
        <w:pStyle w:val="4"/>
        <w:bidi w:val="0"/>
        <w:rPr>
          <w:rFonts w:hint="eastAsia"/>
          <w:highlight w:val="none"/>
        </w:rPr>
      </w:pPr>
      <w:r>
        <w:rPr>
          <w:rFonts w:hint="eastAsia"/>
          <w:highlight w:val="none"/>
        </w:rPr>
        <w:t>【免疫规划】</w:t>
      </w:r>
    </w:p>
    <w:p w14:paraId="75DAC4DB">
      <w:pPr>
        <w:rPr>
          <w:rFonts w:hint="eastAsia" w:hAnsi="宋体" w:cs="宋体"/>
          <w:highlight w:val="none"/>
        </w:rPr>
      </w:pPr>
      <w:r>
        <w:rPr>
          <w:rFonts w:hint="eastAsia" w:hAnsi="宋体" w:cs="宋体"/>
          <w:highlight w:val="none"/>
        </w:rPr>
        <w:t>2015年全市一类疫苗基础疫苗免疫接种率达95%，加强疫苗免疫接种率达90%。开展免疫监测。监测AFP病例1例；报告麻疹疑似病例5例，均为排除病例；无破伤风监测病例；疫苗接种疑似异常反应（AEFI）49例，其中一般反应36例，异常反应13例（过敏性皮疹）。开展麻疹、风疹、流脑、乙脑、脊灰五项免疫抗体检测，检测1—7岁儿童4562人，抗体阳性率达95%以上，并及时进行疫苗查漏补种。组织实施儿童入园入学查验预防接种证工作，查验证人数9039人，查验证率97.51%。加强预防接种信息化管理。2015年新增儿童预防接种个案6225人。</w:t>
      </w:r>
    </w:p>
    <w:p w14:paraId="2AC97C85">
      <w:pPr>
        <w:pStyle w:val="4"/>
        <w:bidi w:val="0"/>
        <w:rPr>
          <w:rFonts w:hint="eastAsia"/>
          <w:highlight w:val="none"/>
        </w:rPr>
      </w:pPr>
      <w:r>
        <w:rPr>
          <w:rFonts w:hint="eastAsia"/>
          <w:highlight w:val="none"/>
        </w:rPr>
        <w:t>【妇幼保健】</w:t>
      </w:r>
    </w:p>
    <w:p w14:paraId="1ED01E85">
      <w:pPr>
        <w:rPr>
          <w:rFonts w:hint="eastAsia" w:hAnsi="宋体" w:cs="宋体"/>
          <w:highlight w:val="none"/>
        </w:rPr>
      </w:pPr>
      <w:r>
        <w:rPr>
          <w:rFonts w:hint="eastAsia" w:hAnsi="宋体" w:cs="宋体"/>
          <w:highlight w:val="none"/>
        </w:rPr>
        <w:t>开展重大公共卫生服务妇幼项目工作。实行农村孕产妇住院分娩补助和育龄妇女免费补服叶酸项目，2015年补助农村住院分娩孕产妇2338人；为全市准备怀孕和孕3个月内的农村妇女免费增补叶酸2800人。</w:t>
      </w:r>
    </w:p>
    <w:p w14:paraId="1231BCD7">
      <w:pPr>
        <w:rPr>
          <w:rFonts w:hint="eastAsia" w:hAnsi="宋体" w:cs="宋体"/>
          <w:highlight w:val="none"/>
        </w:rPr>
      </w:pPr>
      <w:r>
        <w:rPr>
          <w:rFonts w:hint="eastAsia" w:hAnsi="宋体" w:cs="宋体"/>
          <w:highlight w:val="none"/>
        </w:rPr>
        <w:t>孕产妇系统管理工作。2015年全市产妇总数3570人，活产数3603人，孕产妇系统管理3478人，管理率97.42%；产后访视3537人，访视率98.16%；住院分娩3570人，住院分娩率100%。全市高危孕产妇共593人，高危孕产妇住院分娩率100%。无孕产妇死亡。</w:t>
      </w:r>
    </w:p>
    <w:p w14:paraId="0822202F">
      <w:pPr>
        <w:rPr>
          <w:rFonts w:hint="eastAsia" w:hAnsi="宋体" w:cs="宋体"/>
          <w:highlight w:val="none"/>
        </w:rPr>
      </w:pPr>
      <w:r>
        <w:rPr>
          <w:rFonts w:hint="eastAsia" w:hAnsi="宋体" w:cs="宋体"/>
          <w:highlight w:val="none"/>
        </w:rPr>
        <w:t>儿童系统管理工作。2015年全市7岁以下儿童共37613人，保健覆盖人数36322人，保健率96.56%。2015年全市5岁以下儿童死亡18例，死亡率为6.70‰；婴儿死亡13例，死亡率4.84‰，均低于《两纲》要求的8‰和6‰水平</w:t>
      </w:r>
      <w:r>
        <w:rPr>
          <w:rFonts w:hint="eastAsia" w:hAnsi="宋体" w:cs="宋体"/>
          <w:highlight w:val="none"/>
          <w:lang w:eastAsia="zh-CN"/>
        </w:rPr>
        <w:t>，</w:t>
      </w:r>
      <w:r>
        <w:rPr>
          <w:rFonts w:hint="eastAsia" w:hAnsi="宋体" w:cs="宋体"/>
          <w:highlight w:val="none"/>
        </w:rPr>
        <w:t>新生儿死亡8例，死亡率2.97‰。</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4EC68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3FF90852">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3415"/>
                  <wp:effectExtent l="0" t="0" r="8890" b="635"/>
                  <wp:docPr id="100" name="图片 262" descr="防控宣传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62" descr="防控宣传32"/>
                          <pic:cNvPicPr>
                            <a:picLocks noChangeAspect="1"/>
                          </pic:cNvPicPr>
                        </pic:nvPicPr>
                        <pic:blipFill>
                          <a:blip r:embed="rId105"/>
                          <a:stretch>
                            <a:fillRect/>
                          </a:stretch>
                        </pic:blipFill>
                        <pic:spPr>
                          <a:xfrm>
                            <a:off x="0" y="0"/>
                            <a:ext cx="3420110" cy="1923415"/>
                          </a:xfrm>
                          <a:prstGeom prst="rect">
                            <a:avLst/>
                          </a:prstGeom>
                          <a:noFill/>
                          <a:ln>
                            <a:noFill/>
                          </a:ln>
                        </pic:spPr>
                      </pic:pic>
                    </a:graphicData>
                  </a:graphic>
                </wp:inline>
              </w:drawing>
            </w:r>
          </w:p>
        </w:tc>
      </w:tr>
      <w:tr w14:paraId="5EF7C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813540F">
            <w:pPr>
              <w:jc w:val="center"/>
              <w:rPr>
                <w:rFonts w:hint="eastAsia" w:hAnsi="宋体" w:cs="宋体"/>
                <w:highlight w:val="none"/>
                <w:vertAlign w:val="baseline"/>
              </w:rPr>
            </w:pPr>
            <w:r>
              <w:rPr>
                <w:rFonts w:hint="eastAsia" w:hAnsi="宋体" w:cs="宋体"/>
                <w:highlight w:val="none"/>
                <w:vertAlign w:val="baseline"/>
              </w:rPr>
              <w:t>开展出生缺陷防控宣传</w:t>
            </w:r>
          </w:p>
        </w:tc>
      </w:tr>
      <w:tr w14:paraId="724DC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C7C9A95">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101" name="图片 263" descr="治日宣传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63" descr="治日宣传33"/>
                          <pic:cNvPicPr>
                            <a:picLocks noChangeAspect="1"/>
                          </pic:cNvPicPr>
                        </pic:nvPicPr>
                        <pic:blipFill>
                          <a:blip r:embed="rId106"/>
                          <a:stretch>
                            <a:fillRect/>
                          </a:stretch>
                        </pic:blipFill>
                        <pic:spPr>
                          <a:xfrm>
                            <a:off x="0" y="0"/>
                            <a:ext cx="3420110" cy="2279650"/>
                          </a:xfrm>
                          <a:prstGeom prst="rect">
                            <a:avLst/>
                          </a:prstGeom>
                          <a:noFill/>
                          <a:ln>
                            <a:noFill/>
                          </a:ln>
                        </pic:spPr>
                      </pic:pic>
                    </a:graphicData>
                  </a:graphic>
                </wp:inline>
              </w:drawing>
            </w:r>
          </w:p>
        </w:tc>
      </w:tr>
      <w:tr w14:paraId="051B0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9C2FCB1">
            <w:pPr>
              <w:jc w:val="center"/>
              <w:rPr>
                <w:rFonts w:hint="eastAsia" w:hAnsi="宋体" w:cs="宋体"/>
                <w:highlight w:val="none"/>
                <w:vertAlign w:val="baseline"/>
              </w:rPr>
            </w:pPr>
            <w:r>
              <w:rPr>
                <w:rFonts w:hint="eastAsia" w:hAnsi="宋体" w:cs="宋体"/>
                <w:highlight w:val="none"/>
                <w:vertAlign w:val="baseline"/>
              </w:rPr>
              <w:t>世界结核病防治日宣传</w:t>
            </w:r>
          </w:p>
        </w:tc>
      </w:tr>
    </w:tbl>
    <w:p w14:paraId="511F908D">
      <w:pPr>
        <w:rPr>
          <w:rFonts w:hint="eastAsia" w:hAnsi="宋体" w:cs="宋体"/>
          <w:highlight w:val="none"/>
        </w:rPr>
      </w:pPr>
      <w:r>
        <w:rPr>
          <w:rFonts w:hint="eastAsia" w:hAnsi="宋体" w:cs="宋体"/>
          <w:highlight w:val="none"/>
        </w:rPr>
        <w:t>开展出生缺陷和新生儿破伤风监测工作。2015年全市监测围产儿3958例，发现出生缺陷儿20例，发生率为50.32/万。无新生儿破伤风发生。</w:t>
      </w:r>
    </w:p>
    <w:p w14:paraId="12F95ABE">
      <w:pPr>
        <w:pStyle w:val="4"/>
        <w:bidi w:val="0"/>
        <w:rPr>
          <w:rFonts w:hint="eastAsia"/>
          <w:highlight w:val="none"/>
        </w:rPr>
      </w:pPr>
      <w:r>
        <w:rPr>
          <w:rFonts w:hint="eastAsia"/>
          <w:highlight w:val="none"/>
        </w:rPr>
        <w:t>【健康教育】</w:t>
      </w:r>
    </w:p>
    <w:p w14:paraId="6E224C02">
      <w:pPr>
        <w:rPr>
          <w:rFonts w:hint="eastAsia" w:hAnsi="宋体" w:eastAsia="宋体" w:cs="宋体"/>
          <w:highlight w:val="none"/>
          <w:lang w:eastAsia="zh-CN"/>
        </w:rPr>
      </w:pPr>
      <w:r>
        <w:rPr>
          <w:rFonts w:hint="eastAsia" w:hAnsi="宋体" w:cs="宋体"/>
          <w:highlight w:val="none"/>
        </w:rPr>
        <w:t>充分利用电视台卫计窗口、社区宣传栏、网络、微信等载体加强卫生防病知识宣传。开展各种卫生主题日健康教育宣传咨询活动。2015年开展各种卫生主题日宣传12次，发放宣传资料2万余份，参加活动市民达4295人，接受公众咨询1297人次。结合巩固省级卫生城市工作，及时编印和向社会公众下发宣传材料5种2.6万份、调查问卷1万份。在中心开展妈妈课堂、老年人保健课堂，以及开设预防接种QQ群，向群众宣传儿童预防接种、老年人预防保健等知识，开办课堂11期，受教群众289人。按照广东省卫生计生委健康促进行动工作规划，与韶关市健康教育所合作开展公务员健康素养巡讲活动，全市28个政府机关单位的170多名公务员参加。开展广东省无烟单位创建活动，全市现有41间医疗机构、学校（幼儿园）被省卫计委授予“广东省无烟单位”称号。同时，为深入推进控烟履约工作，巩固控烟成果，由中心组织举办1期创建省级无烟单位培训班，全市28家中小学校、机关单位派员参加培训。</w:t>
      </w:r>
    </w:p>
    <w:p w14:paraId="7B1FA34F">
      <w:pPr>
        <w:pStyle w:val="3"/>
        <w:bidi w:val="0"/>
        <w:rPr>
          <w:rFonts w:hint="eastAsia" w:eastAsia="宋体"/>
          <w:highlight w:val="none"/>
          <w:lang w:eastAsia="zh-CN"/>
        </w:rPr>
      </w:pPr>
      <w:r>
        <w:rPr>
          <w:rFonts w:hint="eastAsia"/>
          <w:highlight w:val="none"/>
        </w:rPr>
        <w:t>医疗质量与医疗科研</w:t>
      </w:r>
    </w:p>
    <w:p w14:paraId="6D91F62F">
      <w:pPr>
        <w:pStyle w:val="4"/>
        <w:bidi w:val="0"/>
        <w:rPr>
          <w:rFonts w:hint="eastAsia"/>
          <w:highlight w:val="none"/>
        </w:rPr>
      </w:pPr>
      <w:r>
        <w:rPr>
          <w:rFonts w:hint="eastAsia"/>
          <w:highlight w:val="none"/>
        </w:rPr>
        <w:t>【技术培训】</w:t>
      </w:r>
    </w:p>
    <w:p w14:paraId="19492778">
      <w:pPr>
        <w:rPr>
          <w:rFonts w:hint="eastAsia" w:hAnsi="宋体" w:cs="宋体"/>
          <w:highlight w:val="none"/>
        </w:rPr>
      </w:pPr>
      <w:r>
        <w:rPr>
          <w:rFonts w:hint="eastAsia" w:hAnsi="宋体" w:cs="宋体"/>
          <w:highlight w:val="none"/>
        </w:rPr>
        <w:t>继续开展以完善规章制度、落实岗位职责、严格诊疗护理常规和各项技术规程为主的医疗质量，全面开展卫生技术人员培训。2015年全市组织各医疗机构集中培训学习216次，“三基”理论考试合格率为100%。加强落实各项医疗质量管理规章制度。2015年市卫计局每季度就执行医疗质量和医疗安全核心制度等情况对各医疗卫生单位进行督导检查，促进医务人员增强依法执业意识，改善医疗服务质量，提高医疗技术水平，减少医疗纠纷。</w:t>
      </w:r>
    </w:p>
    <w:p w14:paraId="7F062902">
      <w:pPr>
        <w:pStyle w:val="4"/>
        <w:bidi w:val="0"/>
        <w:rPr>
          <w:rFonts w:hint="eastAsia"/>
          <w:highlight w:val="none"/>
        </w:rPr>
      </w:pPr>
      <w:r>
        <w:rPr>
          <w:rFonts w:hint="eastAsia"/>
          <w:highlight w:val="none"/>
        </w:rPr>
        <w:t>【科研成果】</w:t>
      </w:r>
    </w:p>
    <w:p w14:paraId="549BB94F">
      <w:pPr>
        <w:rPr>
          <w:rFonts w:hint="eastAsia" w:hAnsi="宋体" w:cs="宋体"/>
          <w:highlight w:val="none"/>
        </w:rPr>
      </w:pPr>
      <w:r>
        <w:rPr>
          <w:rFonts w:hint="eastAsia" w:hAnsi="宋体" w:cs="宋体"/>
          <w:highlight w:val="none"/>
        </w:rPr>
        <w:t>推行“科教兴医”战略，卫生科研工作有新进展。市人民医院、市中医院、市疾病预防控制中心、市妇幼保健院等单位申报“推广新技术、新项目”。2015年全市申报26个“新技术、新项目”科研课题。</w:t>
      </w:r>
    </w:p>
    <w:p w14:paraId="5AD5574A">
      <w:pPr>
        <w:pStyle w:val="4"/>
        <w:bidi w:val="0"/>
        <w:rPr>
          <w:rFonts w:hint="eastAsia"/>
          <w:highlight w:val="none"/>
        </w:rPr>
      </w:pPr>
      <w:r>
        <w:rPr>
          <w:rFonts w:hint="eastAsia"/>
          <w:highlight w:val="none"/>
        </w:rPr>
        <w:t>【医学教育】</w:t>
      </w:r>
    </w:p>
    <w:p w14:paraId="30AC1B77">
      <w:pPr>
        <w:rPr>
          <w:rFonts w:hint="eastAsia" w:hAnsi="宋体" w:cs="宋体"/>
          <w:highlight w:val="none"/>
        </w:rPr>
      </w:pPr>
      <w:r>
        <w:rPr>
          <w:rFonts w:hint="eastAsia" w:hAnsi="宋体" w:cs="宋体"/>
          <w:highlight w:val="none"/>
        </w:rPr>
        <w:t>医学教育力度进一步加大。开展继续医学教育，规定学分的专业技术人员学分率均能达标。做好住院医师规范化培训工作。组织相关人员参加住院医师规范化培训，2015年全市24人通过住院医师考试。加强农村卫生技术人员业务和技能培训，2015年各镇卫生院完成6名全科医师转岗培训，选送25名基层医疗卫生技术人员到市人民医院、市中医院等上级医院进修学习，选送1名医疗骨干到省级三级医院进修学习。</w:t>
      </w:r>
    </w:p>
    <w:p w14:paraId="360052A0">
      <w:pPr>
        <w:pStyle w:val="4"/>
        <w:bidi w:val="0"/>
        <w:rPr>
          <w:rFonts w:hint="eastAsia"/>
          <w:highlight w:val="none"/>
        </w:rPr>
      </w:pPr>
      <w:r>
        <w:rPr>
          <w:rFonts w:hint="eastAsia"/>
          <w:highlight w:val="none"/>
        </w:rPr>
        <w:t>【无偿献血】</w:t>
      </w:r>
    </w:p>
    <w:p w14:paraId="5C442D4F">
      <w:pPr>
        <w:rPr>
          <w:rFonts w:hint="eastAsia" w:hAnsi="宋体" w:eastAsia="宋体" w:cs="宋体"/>
          <w:highlight w:val="none"/>
          <w:lang w:eastAsia="zh-CN"/>
        </w:rPr>
      </w:pPr>
      <w:r>
        <w:rPr>
          <w:rFonts w:hint="eastAsia" w:hAnsi="宋体" w:cs="宋体"/>
          <w:highlight w:val="none"/>
        </w:rPr>
        <w:t>宣传贯彻落实《献血法》，推动南雄无偿献血工作，确保医疗用血安全和需要。2015年完成无偿献血总人次为2433人次，总献血量为48万毫升。其中农民献血821人次。</w:t>
      </w:r>
    </w:p>
    <w:p w14:paraId="1D6EA371">
      <w:pPr>
        <w:pStyle w:val="3"/>
        <w:bidi w:val="0"/>
        <w:rPr>
          <w:rFonts w:hint="eastAsia" w:eastAsia="宋体"/>
          <w:highlight w:val="none"/>
          <w:lang w:eastAsia="zh-CN"/>
        </w:rPr>
      </w:pPr>
      <w:r>
        <w:rPr>
          <w:rFonts w:hint="eastAsia"/>
          <w:highlight w:val="none"/>
        </w:rPr>
        <w:t>爱国卫生运动</w:t>
      </w:r>
    </w:p>
    <w:p w14:paraId="01020B3B">
      <w:pPr>
        <w:pStyle w:val="4"/>
        <w:bidi w:val="0"/>
        <w:rPr>
          <w:rFonts w:hint="eastAsia"/>
          <w:highlight w:val="none"/>
        </w:rPr>
      </w:pPr>
      <w:r>
        <w:rPr>
          <w:rFonts w:hint="eastAsia"/>
          <w:highlight w:val="none"/>
        </w:rPr>
        <w:t>【概况】</w:t>
      </w:r>
    </w:p>
    <w:p w14:paraId="6A3CFB4B">
      <w:pPr>
        <w:rPr>
          <w:rFonts w:hint="eastAsia" w:hAnsi="宋体" w:cs="宋体"/>
          <w:highlight w:val="none"/>
        </w:rPr>
      </w:pPr>
      <w:r>
        <w:rPr>
          <w:rFonts w:hint="eastAsia" w:hAnsi="宋体" w:cs="宋体"/>
          <w:highlight w:val="none"/>
        </w:rPr>
        <w:t>落实全市爱国卫生工作要点和巩固发展省卫生城市、卫生镇村创建工作长期规划。组织实施巩固省卫生城市、全市农村改水、改厕工作以及省、市级卫生镇村的创建工作。2015年省卫生城市创建成果得到进一步巩固发展，被省爱卫会再次确认命名为广东省卫生城市；全市有1个镇被授予“韶关市卫生镇”称号，有2个镇被再次确认命名为“韶关市卫生镇”，有29个行政村被授予“韶关市卫生村”称号。</w:t>
      </w:r>
    </w:p>
    <w:p w14:paraId="39B47E02">
      <w:pPr>
        <w:pStyle w:val="4"/>
        <w:bidi w:val="0"/>
        <w:rPr>
          <w:rFonts w:hint="eastAsia"/>
          <w:highlight w:val="none"/>
        </w:rPr>
      </w:pPr>
      <w:r>
        <w:rPr>
          <w:rFonts w:hint="eastAsia"/>
          <w:highlight w:val="none"/>
        </w:rPr>
        <w:t>【巩固省卫生城市】</w:t>
      </w:r>
    </w:p>
    <w:p w14:paraId="56BBB52A">
      <w:pPr>
        <w:rPr>
          <w:rFonts w:hint="eastAsia" w:hAnsi="宋体" w:cs="宋体"/>
          <w:highlight w:val="none"/>
        </w:rPr>
      </w:pPr>
      <w:r>
        <w:rPr>
          <w:rFonts w:hint="eastAsia" w:hAnsi="宋体" w:cs="宋体"/>
          <w:highlight w:val="none"/>
        </w:rPr>
        <w:t>巩固省卫生城市创建成果，不断提升城市管理水平。制定《南雄市巩固省卫生城市复审迎检工作方案》《南雄市巩固省卫生城市复审迎检宣传工作方案》《督导工作方案》等指导性文件；成立“南雄市巩固省卫生城市复审迎检工作领导小组”，加大复审迎检工作组织领导和宣传工作力度，做好市容整治、单位和居民区卫生、环境保护、建筑工地管理、城区除“四害”、健康教育、公共场所和饮用水卫生、食品卫生与传染病防治等方面工作。重点开展城市管理专项整治，成立5个专项整治工作组和中心城区综合整治工作组，对市容环境卫生、农贸市场、城中村、城乡结合部开展多次综合整治。10月14日通过省卫生城市检查组复查。</w:t>
      </w:r>
    </w:p>
    <w:p w14:paraId="2AAFA679">
      <w:pPr>
        <w:pStyle w:val="4"/>
        <w:bidi w:val="0"/>
        <w:rPr>
          <w:rFonts w:hint="eastAsia"/>
          <w:highlight w:val="none"/>
        </w:rPr>
      </w:pPr>
      <w:r>
        <w:rPr>
          <w:rFonts w:hint="eastAsia"/>
          <w:highlight w:val="none"/>
        </w:rPr>
        <w:t>【巩固卫生创建成果和卫生村创建】</w:t>
      </w:r>
    </w:p>
    <w:p w14:paraId="1DAEB380">
      <w:pPr>
        <w:rPr>
          <w:rFonts w:hint="eastAsia" w:hAnsi="宋体" w:cs="宋体"/>
          <w:highlight w:val="none"/>
        </w:rPr>
      </w:pPr>
      <w:r>
        <w:rPr>
          <w:rFonts w:hint="eastAsia" w:hAnsi="宋体" w:cs="宋体"/>
          <w:highlight w:val="none"/>
        </w:rPr>
        <w:t>制定《南雄市卫生镇村创建工作方案》，指导各镇村开展创建工作，2015年12月24申报韶关市卫生村（行政村）29个、韶关市卫生镇1个（帽子峰镇）通过韶关市爱卫会组织检查验收，同时江头镇、珠玑镇卫生镇创建成果得到巩固发展，被韶关市爱卫会再次命名为韶关市卫生镇，超额完成韶关市下达创建工作任务，卫生镇、卫生村覆盖率分别达到16.6%和13.9%，超过韶关市要求的10.86%和11.45%。在创建卫生镇村过程中把治污治乱、改水改厕、改善城镇卫生状况作为建设社会主义新农村突破口，因地制宜，分类指导，落实责任，科学管理，坚持突击整治与常态化治理相结合、专业队伍与群众运动相结合、治标与治本相结合，促进镇村环境综合整治和管理水平不断提高，切实改善镇村环境卫生，提高镇村居民生活质量。2015年珠玑镇聪辈村委会、全安镇大坪村委会、油山镇平林村委会、乌迳镇高溯村委会、南亩镇芙蓉村委会等29个行政村被授予韶关市卫生村称号。</w:t>
      </w:r>
    </w:p>
    <w:p w14:paraId="73BA1701">
      <w:pPr>
        <w:pStyle w:val="4"/>
        <w:bidi w:val="0"/>
        <w:rPr>
          <w:rFonts w:hint="eastAsia"/>
          <w:highlight w:val="none"/>
        </w:rPr>
      </w:pPr>
      <w:r>
        <w:rPr>
          <w:rFonts w:hint="eastAsia"/>
          <w:highlight w:val="none"/>
        </w:rPr>
        <w:t>【农村卫生】</w:t>
      </w:r>
    </w:p>
    <w:p w14:paraId="714306F1">
      <w:pPr>
        <w:rPr>
          <w:rFonts w:hint="eastAsia" w:hAnsi="宋体" w:cs="宋体"/>
          <w:highlight w:val="none"/>
        </w:rPr>
      </w:pPr>
      <w:r>
        <w:rPr>
          <w:rFonts w:hint="eastAsia" w:hAnsi="宋体" w:cs="宋体"/>
          <w:highlight w:val="none"/>
        </w:rPr>
        <w:t>组织发动农村开展改水改厕工作，开展宣传发动、技术培训和技术指导等一系列工作。2015年农村卫生厕所普及率达96.37%</w:t>
      </w:r>
      <w:r>
        <w:rPr>
          <w:rFonts w:hint="eastAsia" w:hAnsi="宋体" w:cs="宋体"/>
          <w:highlight w:val="none"/>
          <w:lang w:eastAsia="zh-CN"/>
        </w:rPr>
        <w:t>，</w:t>
      </w:r>
      <w:r>
        <w:rPr>
          <w:rFonts w:hint="eastAsia" w:hAnsi="宋体" w:cs="宋体"/>
          <w:highlight w:val="none"/>
        </w:rPr>
        <w:t>无害化卫生厕所普及率达90.94%，均超过韶关市标准要求。</w:t>
      </w:r>
    </w:p>
    <w:p w14:paraId="4330F255">
      <w:pPr>
        <w:pStyle w:val="4"/>
        <w:bidi w:val="0"/>
        <w:rPr>
          <w:rFonts w:hint="eastAsia"/>
          <w:highlight w:val="none"/>
        </w:rPr>
      </w:pPr>
      <w:r>
        <w:rPr>
          <w:rFonts w:hint="eastAsia"/>
          <w:highlight w:val="none"/>
        </w:rPr>
        <w:t>【除“四害”防病】</w:t>
      </w:r>
    </w:p>
    <w:p w14:paraId="098C2604">
      <w:pPr>
        <w:rPr>
          <w:rFonts w:hint="eastAsia" w:hAnsi="宋体" w:cs="宋体"/>
          <w:highlight w:val="none"/>
        </w:rPr>
      </w:pPr>
      <w:r>
        <w:rPr>
          <w:rFonts w:hint="eastAsia" w:hAnsi="宋体" w:cs="宋体"/>
          <w:highlight w:val="none"/>
        </w:rPr>
        <w:t>以降低四害密度为目标，深入开展病媒</w:t>
      </w:r>
      <w:r>
        <w:rPr>
          <w:rFonts w:hint="eastAsia" w:hAnsi="宋体" w:cs="宋体"/>
          <w:highlight w:val="none"/>
          <w:lang w:eastAsia="zh-CN"/>
        </w:rPr>
        <w:t>生物防治</w:t>
      </w:r>
      <w:r>
        <w:rPr>
          <w:rFonts w:hint="eastAsia" w:hAnsi="宋体" w:cs="宋体"/>
          <w:highlight w:val="none"/>
        </w:rPr>
        <w:t>工作。开展卫生整治，改善城乡环境面貌。各镇（街道）和各单位按照雄爱卫下发的《关于开展第27个全国爱国卫生月活动的通知》《周五公共卫生活动日通知》等相关通知精神，开展城乡环境卫生整治活动，全面动员辖区居民深入开展卫生整治活动，清理卫生死角、铲除杂草、彻底消除历史存量垃圾，消灭蚊蝇鼠孳生地。推进“明改暗”和“四防装置”安装工作。结合2015年南雄市巩固省卫生城市工作，南雄市2015年在城区大力推进“明改暗”和“四防装置”安装工作，取得较好成效。2015年南雄城区安装“四防装置”近1600个，对明渠进行密闭改造近6000米。开展药物消杀，预防病媒生物疾病传播。6月至10月组织全市开展多次统一投药灭鼠、烟熏灭蚊行动。由专业消杀队消杀与群众运动相结合，组织各镇</w:t>
      </w:r>
      <w:r>
        <w:rPr>
          <w:rFonts w:hint="eastAsia" w:hAnsi="宋体" w:cs="宋体"/>
          <w:highlight w:val="none"/>
          <w:lang w:eastAsia="zh-CN"/>
        </w:rPr>
        <w:t>（</w:t>
      </w:r>
      <w:r>
        <w:rPr>
          <w:rFonts w:hint="eastAsia" w:hAnsi="宋体" w:cs="宋体"/>
          <w:highlight w:val="none"/>
        </w:rPr>
        <w:t>街道</w:t>
      </w:r>
      <w:r>
        <w:rPr>
          <w:rFonts w:hint="eastAsia" w:hAnsi="宋体" w:cs="宋体"/>
          <w:highlight w:val="none"/>
          <w:lang w:eastAsia="zh-CN"/>
        </w:rPr>
        <w:t>）</w:t>
      </w:r>
      <w:r>
        <w:rPr>
          <w:rFonts w:hint="eastAsia" w:hAnsi="宋体" w:cs="宋体"/>
          <w:highlight w:val="none"/>
        </w:rPr>
        <w:t>购买药物自行统一投放，市直各单位根据要求切实搞好办公场所、居住区的消毒、消杀工作，消杀队对城区广场、绿化带、主要街道下水道等公共场所进行投药灭鼠灭蚊。统一投药灭鼠、烟熏灭蚊行动累计投入灭鼠药约1600多公斤</w:t>
      </w:r>
      <w:r>
        <w:rPr>
          <w:rFonts w:hint="eastAsia" w:hAnsi="宋体" w:cs="宋体"/>
          <w:highlight w:val="none"/>
          <w:lang w:eastAsia="zh-CN"/>
        </w:rPr>
        <w:t>，</w:t>
      </w:r>
      <w:r>
        <w:rPr>
          <w:rFonts w:hint="eastAsia" w:hAnsi="宋体" w:cs="宋体"/>
          <w:highlight w:val="none"/>
        </w:rPr>
        <w:t>灭蚊药800多公斤，清理蚊蝇孳生地1000余处。有效控制“四害”密度，降低病媒生物传播疾病在辖区内发生的风险。开展登革热防控工作，保障人民群众身体健康。加强登革热防控知识宣传教育，成立南雄市疾病联防联控领导小组，登革热病例监测和风险评估工作，定期进行统一灭蚊消杀行动。</w:t>
      </w:r>
    </w:p>
    <w:p w14:paraId="17FBD1B2">
      <w:pPr>
        <w:pStyle w:val="4"/>
        <w:bidi w:val="0"/>
        <w:rPr>
          <w:rFonts w:hint="eastAsia"/>
          <w:highlight w:val="none"/>
        </w:rPr>
      </w:pPr>
      <w:r>
        <w:rPr>
          <w:rFonts w:hint="eastAsia"/>
          <w:highlight w:val="none"/>
        </w:rPr>
        <w:t>【建立完善相关规章制度】</w:t>
      </w:r>
    </w:p>
    <w:p w14:paraId="362BCEC2">
      <w:pPr>
        <w:rPr>
          <w:rFonts w:hint="eastAsia" w:hAnsi="宋体" w:cs="宋体"/>
          <w:highlight w:val="none"/>
        </w:rPr>
      </w:pPr>
      <w:r>
        <w:rPr>
          <w:rFonts w:hint="eastAsia" w:hAnsi="宋体" w:cs="宋体"/>
          <w:highlight w:val="none"/>
        </w:rPr>
        <w:t>制定《南雄市2015—2020年加快推进创建卫生镇村工作方案》《南雄市“三个一”环境卫生整治工作实施方案》等文件，同时建立相关考核指标体系，把爱卫工作绩效纳入领导干部年终考核内容，确保爱卫工作落实。</w:t>
      </w:r>
    </w:p>
    <w:p w14:paraId="71FD2630">
      <w:pPr>
        <w:pStyle w:val="3"/>
        <w:bidi w:val="0"/>
        <w:rPr>
          <w:rFonts w:hint="eastAsia" w:eastAsia="宋体"/>
          <w:highlight w:val="none"/>
          <w:lang w:eastAsia="zh-CN"/>
        </w:rPr>
      </w:pPr>
      <w:r>
        <w:rPr>
          <w:rFonts w:hint="eastAsia"/>
          <w:highlight w:val="none"/>
        </w:rPr>
        <w:t>卫生监督执法</w:t>
      </w:r>
    </w:p>
    <w:p w14:paraId="37EA246F">
      <w:pPr>
        <w:pStyle w:val="4"/>
        <w:bidi w:val="0"/>
        <w:rPr>
          <w:rFonts w:hint="eastAsia"/>
          <w:highlight w:val="none"/>
        </w:rPr>
      </w:pPr>
      <w:r>
        <w:rPr>
          <w:rFonts w:hint="eastAsia"/>
          <w:highlight w:val="none"/>
        </w:rPr>
        <w:t>【概况】</w:t>
      </w:r>
    </w:p>
    <w:p w14:paraId="5F97281E">
      <w:pPr>
        <w:rPr>
          <w:rFonts w:hint="eastAsia" w:hAnsi="宋体" w:cs="宋体"/>
          <w:highlight w:val="none"/>
        </w:rPr>
      </w:pPr>
      <w:r>
        <w:rPr>
          <w:rFonts w:hint="eastAsia" w:hAnsi="宋体" w:cs="宋体"/>
          <w:highlight w:val="none"/>
        </w:rPr>
        <w:t>重点加强医疗机构、公共场所、生活饮用水卫生、学校卫生、传染病防治、放射卫生等方面预防性和经常性卫生监督。参与对危害公共卫生、医疗放射、重大疫情和突发事件调查处理。严肃查处危害食品安全、医疗安全以及传染病防治等方面的违法行为，维护一方平安。</w:t>
      </w:r>
    </w:p>
    <w:p w14:paraId="24F16600">
      <w:pPr>
        <w:pStyle w:val="4"/>
        <w:bidi w:val="0"/>
        <w:rPr>
          <w:rFonts w:hint="eastAsia"/>
          <w:highlight w:val="none"/>
        </w:rPr>
      </w:pPr>
      <w:r>
        <w:rPr>
          <w:rFonts w:hint="eastAsia"/>
          <w:highlight w:val="none"/>
        </w:rPr>
        <w:t>【公共场所卫生监管】</w:t>
      </w:r>
    </w:p>
    <w:p w14:paraId="094EA560">
      <w:pPr>
        <w:rPr>
          <w:rFonts w:hint="eastAsia" w:hAnsi="宋体" w:cs="宋体"/>
          <w:highlight w:val="none"/>
        </w:rPr>
      </w:pPr>
      <w:r>
        <w:rPr>
          <w:rFonts w:hint="eastAsia" w:hAnsi="宋体" w:cs="宋体"/>
          <w:highlight w:val="none"/>
        </w:rPr>
        <w:t>2015年办理“公共场所卫生许可证”（含新办、延续）99户；继续推行公共场所卫生监督量化分级管理。对纳入卫生监督量化分级管理单位，进行一次复核，实行动态管理。对风险性高经营单位加大监督检查频次，及时排查隐患，防止发生公共卫生突发事件；开展住宿场所、美容美发等场所公共用品用具抽检；加大对大型商场等（含超市）卫生监督等。2015年监督检查公共场所经营户220户次，其中住宿场所70户次，游泳场所4户次，美容美发场所133户次，洗浴场所11户次，大型商场2户次。出动卫生监督员330人次。制作“现场笔录”205份，下达“卫生监督意见书”205份，并对5家公共场所进行处罚。</w:t>
      </w:r>
    </w:p>
    <w:p w14:paraId="7783DE2D">
      <w:pPr>
        <w:pStyle w:val="4"/>
        <w:bidi w:val="0"/>
        <w:rPr>
          <w:rFonts w:hint="eastAsia"/>
          <w:highlight w:val="none"/>
        </w:rPr>
      </w:pPr>
      <w:r>
        <w:rPr>
          <w:rFonts w:hint="eastAsia"/>
          <w:highlight w:val="none"/>
        </w:rPr>
        <w:t>【医疗机构监管】</w:t>
      </w:r>
    </w:p>
    <w:p w14:paraId="77916787">
      <w:pPr>
        <w:rPr>
          <w:rFonts w:hint="eastAsia" w:hAnsi="宋体" w:cs="宋体"/>
          <w:highlight w:val="none"/>
        </w:rPr>
      </w:pPr>
      <w:r>
        <w:rPr>
          <w:rFonts w:hint="eastAsia" w:hAnsi="宋体" w:cs="宋体"/>
          <w:highlight w:val="none"/>
        </w:rPr>
        <w:t>做好辖区内医疗机构年审校验工作及新增医疗机构受理工作，对辖区内334间医疗机构进行校验工作。检查工作内容包括4个方面：为一般情况包括“医疗机构执业许可证”有效期、许可项目、人员资质；疫情报告，包括疫情管理制度、肠道门诊设立情况、门诊日志登记情况、预防接种工作情况；消毒管理，包括医疗废弃物的处理，消毒产品索证情况、空气消毒、压力容器消毒管理；处方管理。对违反相关规定超出执业许可登记范围的6家村卫生站进行行政处罚，罚款人民币8500元。对新增2间村卫生站及4间私人诊所按相关规定予以受理。</w:t>
      </w:r>
    </w:p>
    <w:p w14:paraId="0CD29B64">
      <w:pPr>
        <w:pStyle w:val="4"/>
        <w:bidi w:val="0"/>
        <w:rPr>
          <w:rFonts w:hint="eastAsia"/>
          <w:highlight w:val="none"/>
        </w:rPr>
      </w:pPr>
      <w:r>
        <w:rPr>
          <w:rFonts w:hint="eastAsia"/>
          <w:highlight w:val="none"/>
        </w:rPr>
        <w:t>【学校卫生监督管理】</w:t>
      </w:r>
    </w:p>
    <w:p w14:paraId="3D244714">
      <w:pPr>
        <w:rPr>
          <w:rFonts w:hint="eastAsia" w:hAnsi="宋体" w:cs="宋体"/>
          <w:highlight w:val="none"/>
        </w:rPr>
      </w:pPr>
      <w:r>
        <w:rPr>
          <w:rFonts w:hint="eastAsia" w:hAnsi="宋体" w:cs="宋体"/>
          <w:highlight w:val="none"/>
        </w:rPr>
        <w:t>在全市组织开展以传染病防控、生活饮用水卫生等为重点的监督检查。检查学校35所，含市区9所学校及镇所有初级中学、中心小学。制作“现场笔录”70份，下达“卫生监督意见书”70份，要求学校对存在的问题限期进行整改。要求学校严格按照相关规定要求，做好水源卫生防护、供水消毒设施及其运转、蓄水设施定期清洗消毒等工作。供管水人员必须持培训和健康合格证明上岗。每学期必须委托市疾控中心对水质进行检测，检测合格方可使用。不断完善学校卫生档案。已对36所学校建立与完善卫生监督管理档案。</w:t>
      </w:r>
    </w:p>
    <w:p w14:paraId="1DF8D66C">
      <w:pPr>
        <w:pStyle w:val="4"/>
        <w:bidi w:val="0"/>
        <w:rPr>
          <w:rFonts w:hint="eastAsia"/>
          <w:highlight w:val="none"/>
        </w:rPr>
      </w:pPr>
      <w:r>
        <w:rPr>
          <w:rFonts w:hint="eastAsia"/>
          <w:highlight w:val="none"/>
        </w:rPr>
        <w:t>【生活饮用水卫生监督管理】</w:t>
      </w:r>
    </w:p>
    <w:p w14:paraId="7421A619">
      <w:pPr>
        <w:rPr>
          <w:rFonts w:hint="eastAsia" w:hAnsi="宋体" w:cs="宋体"/>
          <w:highlight w:val="none"/>
        </w:rPr>
      </w:pPr>
      <w:r>
        <w:rPr>
          <w:rFonts w:hint="eastAsia" w:hAnsi="宋体" w:cs="宋体"/>
          <w:highlight w:val="none"/>
        </w:rPr>
        <w:t>对生活饮用水进行监督检查、检测，确保全市居民饮水安全。加强市星翔供水有限公司、16间镇级自来水厂及部分村级自来水厂监督检查。要求各水厂完善净水、供水设施设备，建立健全水质检测制度，规范与加强卫生管理。</w:t>
      </w:r>
    </w:p>
    <w:p w14:paraId="2F12D44E">
      <w:pPr>
        <w:pStyle w:val="4"/>
        <w:bidi w:val="0"/>
        <w:rPr>
          <w:rFonts w:hint="eastAsia"/>
          <w:highlight w:val="none"/>
        </w:rPr>
      </w:pPr>
      <w:r>
        <w:rPr>
          <w:rFonts w:hint="eastAsia"/>
          <w:highlight w:val="none"/>
        </w:rPr>
        <w:t>【放射卫生监督管理】</w:t>
      </w:r>
    </w:p>
    <w:p w14:paraId="4F0BBB69">
      <w:pPr>
        <w:rPr>
          <w:rFonts w:hint="eastAsia" w:hAnsi="宋体" w:cs="宋体"/>
          <w:highlight w:val="none"/>
        </w:rPr>
      </w:pPr>
      <w:r>
        <w:rPr>
          <w:rFonts w:hint="eastAsia" w:hAnsi="宋体" w:cs="宋体"/>
          <w:highlight w:val="none"/>
        </w:rPr>
        <w:t>检查全市26家放射诊断机构中14家持有有效“放射诊疗许可证”正常开展放射诊断活动，且全部建立应急预案、放射安全防护管理制度及操作规程。7月中旬市卫计局委托韶关市职业卫生检测中心对市局许可登记的开展放射诊疗活动的医疗卫生机构放射诊疗设备进行一次性能检测和防护监测。检测19家（市人民医院另请检测机构进行检测；2家乡镇卫生院的机器故障；3家乡镇卫生院机房、疾病预防控制中心机房正在装修中）。对检查中发现存在机房警示标志设置不规范、防护用品配备不齐全、机房的辐射屏蔽防护指标及性能指标不达标等问题的放射诊断机构卫生监督员下发整改意见书。</w:t>
      </w:r>
    </w:p>
    <w:p w14:paraId="6396A991">
      <w:pPr>
        <w:pStyle w:val="4"/>
        <w:bidi w:val="0"/>
        <w:rPr>
          <w:rFonts w:hint="eastAsia"/>
          <w:highlight w:val="none"/>
        </w:rPr>
      </w:pPr>
      <w:r>
        <w:rPr>
          <w:rFonts w:hint="eastAsia"/>
          <w:highlight w:val="none"/>
        </w:rPr>
        <w:t>【母婴保健技术服务监督管理】</w:t>
      </w:r>
    </w:p>
    <w:p w14:paraId="1BBCC639">
      <w:pPr>
        <w:rPr>
          <w:rFonts w:hint="eastAsia" w:hAnsi="宋体" w:cs="宋体"/>
          <w:highlight w:val="none"/>
        </w:rPr>
      </w:pPr>
      <w:r>
        <w:rPr>
          <w:rFonts w:hint="eastAsia" w:hAnsi="宋体" w:cs="宋体"/>
          <w:highlight w:val="none"/>
        </w:rPr>
        <w:t>对全市22间医疗机构开展母婴保健技术服务，全部已取得“母婴保健技术服务执业许可证”；从事母婴保健技术服务的人员180人，全都取得母婴保健技术考核合格证书（其中临床70人、护理110人）；2015年新发证9人。</w:t>
      </w:r>
    </w:p>
    <w:p w14:paraId="54C10965">
      <w:pPr>
        <w:pStyle w:val="4"/>
        <w:bidi w:val="0"/>
        <w:rPr>
          <w:rFonts w:hint="eastAsia"/>
          <w:highlight w:val="none"/>
        </w:rPr>
      </w:pPr>
      <w:r>
        <w:rPr>
          <w:rFonts w:hint="eastAsia"/>
          <w:highlight w:val="none"/>
        </w:rPr>
        <w:t>【血液安全专项检查】</w:t>
      </w:r>
    </w:p>
    <w:p w14:paraId="3FD99BAE">
      <w:pPr>
        <w:rPr>
          <w:rFonts w:hint="eastAsia" w:hAnsi="宋体" w:cs="宋体"/>
          <w:highlight w:val="none"/>
        </w:rPr>
      </w:pPr>
      <w:r>
        <w:rPr>
          <w:rFonts w:hint="eastAsia" w:hAnsi="宋体" w:cs="宋体"/>
          <w:highlight w:val="none"/>
        </w:rPr>
        <w:t>对采供血点开展执法检查。卫生技术人员3人均有“全国采供血机构人员培训合格证书”。配有专用储血冰箱储存血液，冰箱温度记录及时，血液分型分层存放。血液出入库登记一致、规范，发放登记完整。传染病疫情报告有专人负责，有传染病疫情报告制度，使用后一次性注射器和采血器材及废弃血液等医疗废物处理有专人管理，基本符合“医疗废弃物管理条例”的规定。开展临床用血业务的3家医疗机构（市人民医院、市中医院、市妇幼保健计划生育服务院）均能够严格执行和落实临床用血相关制度，输血申请书、输血治疗知情同意书、输血反应登记等医疗文书登记规范，患者输血前五项检查齐全，所有临床用血均来自韶关市中心血站，未发现有私自采供血现象，临床用血规范。</w:t>
      </w:r>
    </w:p>
    <w:p w14:paraId="7A354DE4">
      <w:pPr>
        <w:pStyle w:val="4"/>
        <w:bidi w:val="0"/>
        <w:rPr>
          <w:rFonts w:hint="eastAsia"/>
          <w:highlight w:val="none"/>
        </w:rPr>
      </w:pPr>
      <w:r>
        <w:rPr>
          <w:rFonts w:hint="eastAsia"/>
          <w:highlight w:val="none"/>
        </w:rPr>
        <w:t>【传染病防治卫生监督】</w:t>
      </w:r>
    </w:p>
    <w:p w14:paraId="1201690A">
      <w:pPr>
        <w:rPr>
          <w:rFonts w:hint="eastAsia" w:hAnsi="宋体" w:cs="宋体"/>
          <w:highlight w:val="none"/>
        </w:rPr>
      </w:pPr>
      <w:r>
        <w:rPr>
          <w:rFonts w:hint="eastAsia" w:hAnsi="宋体" w:cs="宋体"/>
          <w:highlight w:val="none"/>
        </w:rPr>
        <w:t>2015年完成传染病防治专项检查1次，检查医疗机构23家、疾病预防控制中心、采血点。重点检查其传染病防控制度的制定及落实、疫情报告、院内感染的控制、消毒灭菌、医疗废弃物管理等相关情况。</w:t>
      </w:r>
    </w:p>
    <w:p w14:paraId="4D4281FA">
      <w:pPr>
        <w:pStyle w:val="4"/>
        <w:bidi w:val="0"/>
        <w:rPr>
          <w:rFonts w:hint="eastAsia"/>
          <w:highlight w:val="none"/>
        </w:rPr>
      </w:pPr>
      <w:r>
        <w:rPr>
          <w:rFonts w:hint="eastAsia"/>
          <w:highlight w:val="none"/>
        </w:rPr>
        <w:t>【医疗服务市场监管】</w:t>
      </w:r>
    </w:p>
    <w:p w14:paraId="51E820AD">
      <w:pPr>
        <w:rPr>
          <w:rFonts w:hint="eastAsia" w:hAnsi="宋体" w:cs="宋体"/>
          <w:highlight w:val="none"/>
        </w:rPr>
      </w:pPr>
      <w:r>
        <w:rPr>
          <w:rFonts w:hint="eastAsia" w:hAnsi="宋体" w:cs="宋体"/>
          <w:highlight w:val="none"/>
        </w:rPr>
        <w:t>以打击“黑诊所”、游医、假医，借助虚假宣传误导和欺骗患者，危害群众身体健康和生命安全的非法行医活动为工作重点，严肃查处未取得“医疗机构执业许可证”擅自开展诊疗活动的诊所。对3家牙科诊所作出罚款等行政处罚，罚款人民币1.3万元。未发现非法接生、鉴定胎儿性别和选择性别终止妊娠等诊疗活动。</w:t>
      </w:r>
    </w:p>
    <w:p w14:paraId="7972B31C">
      <w:pPr>
        <w:pStyle w:val="4"/>
        <w:bidi w:val="0"/>
        <w:rPr>
          <w:rFonts w:hint="eastAsia"/>
          <w:highlight w:val="none"/>
        </w:rPr>
      </w:pPr>
      <w:r>
        <w:rPr>
          <w:rFonts w:hint="eastAsia"/>
          <w:highlight w:val="none"/>
        </w:rPr>
        <w:t>【卫生监督协管管理】</w:t>
      </w:r>
    </w:p>
    <w:p w14:paraId="17248F71">
      <w:pPr>
        <w:rPr>
          <w:rFonts w:hint="eastAsia" w:hAnsi="宋体" w:cs="宋体"/>
          <w:highlight w:val="none"/>
        </w:rPr>
      </w:pPr>
      <w:r>
        <w:rPr>
          <w:rFonts w:hint="eastAsia" w:hAnsi="宋体" w:cs="宋体"/>
          <w:highlight w:val="none"/>
        </w:rPr>
        <w:t>每季度对各乡镇卫生院和雄州街道社区卫生服务中心开展卫生监督协管工作进行督导。加强协管单位卫生监督协管文书制作现场指导，特别是对现场笔录和协管意见书制作，要求具有针对性和可操作性。各单位对协管对象均建立档案，同时充实档案内容。</w:t>
      </w:r>
    </w:p>
    <w:p w14:paraId="76B7EF0E">
      <w:pPr>
        <w:pStyle w:val="4"/>
        <w:bidi w:val="0"/>
        <w:rPr>
          <w:rFonts w:hint="eastAsia"/>
          <w:highlight w:val="none"/>
        </w:rPr>
      </w:pPr>
      <w:r>
        <w:rPr>
          <w:rFonts w:hint="eastAsia"/>
          <w:highlight w:val="none"/>
        </w:rPr>
        <w:t>【餐饮具集中消毒单位监督管理】</w:t>
      </w:r>
    </w:p>
    <w:p w14:paraId="60DC8EBB">
      <w:pPr>
        <w:rPr>
          <w:rFonts w:hint="eastAsia" w:hAnsi="宋体" w:cs="宋体"/>
          <w:highlight w:val="none"/>
        </w:rPr>
      </w:pPr>
      <w:r>
        <w:rPr>
          <w:rFonts w:hint="eastAsia" w:hAnsi="宋体" w:cs="宋体"/>
          <w:highlight w:val="none"/>
        </w:rPr>
        <w:t>对餐饮具集中消毒单位开展监督监测专项检查。通过专项检查，规范餐饮具集中消毒单位生产经营行为，促进餐饮具集中消毒单位健康发展，从源头上加强餐饮具卫生安全监管，保障餐饮消费者身体健康。</w:t>
      </w:r>
    </w:p>
    <w:p w14:paraId="1FC2C8D4">
      <w:pPr>
        <w:pStyle w:val="3"/>
        <w:bidi w:val="0"/>
        <w:rPr>
          <w:rFonts w:hint="eastAsia" w:eastAsia="宋体"/>
          <w:highlight w:val="none"/>
          <w:lang w:eastAsia="zh-CN"/>
        </w:rPr>
      </w:pPr>
      <w:r>
        <w:rPr>
          <w:rFonts w:hint="eastAsia"/>
          <w:highlight w:val="none"/>
        </w:rPr>
        <w:t>计划生育工作</w:t>
      </w:r>
    </w:p>
    <w:p w14:paraId="08D75596">
      <w:pPr>
        <w:pStyle w:val="4"/>
        <w:bidi w:val="0"/>
        <w:rPr>
          <w:rFonts w:hint="eastAsia"/>
          <w:highlight w:val="none"/>
        </w:rPr>
      </w:pPr>
      <w:r>
        <w:rPr>
          <w:rFonts w:hint="eastAsia"/>
          <w:highlight w:val="none"/>
        </w:rPr>
        <w:t>【信息化建设】</w:t>
      </w:r>
    </w:p>
    <w:p w14:paraId="392D2CAA">
      <w:pPr>
        <w:rPr>
          <w:rFonts w:hint="eastAsia" w:hAnsi="宋体" w:cs="宋体"/>
          <w:highlight w:val="none"/>
        </w:rPr>
      </w:pPr>
      <w:r>
        <w:rPr>
          <w:rFonts w:hint="eastAsia" w:hAnsi="宋体" w:cs="宋体"/>
          <w:highlight w:val="none"/>
        </w:rPr>
        <w:t>实现市、县、镇三级光纤联网，已建立全员人口信息数据库，流动人口信息网上全国交互，软件自动生成报表，软件审核办证并且电脑打印。各镇（街道）配备有2名以上信息操作员，每年市卫生和计划生育局不定期组织业务培训。</w:t>
      </w:r>
    </w:p>
    <w:p w14:paraId="3AB52E4F">
      <w:pPr>
        <w:pStyle w:val="4"/>
        <w:bidi w:val="0"/>
        <w:rPr>
          <w:rFonts w:hint="eastAsia"/>
          <w:highlight w:val="none"/>
        </w:rPr>
      </w:pPr>
      <w:r>
        <w:rPr>
          <w:rFonts w:hint="eastAsia"/>
          <w:highlight w:val="none"/>
        </w:rPr>
        <w:t>【人口计生宣传】</w:t>
      </w:r>
    </w:p>
    <w:p w14:paraId="6FA321D8">
      <w:pPr>
        <w:rPr>
          <w:rFonts w:hint="eastAsia" w:hAnsi="宋体" w:cs="宋体"/>
          <w:highlight w:val="none"/>
        </w:rPr>
      </w:pPr>
      <w:r>
        <w:rPr>
          <w:rFonts w:hint="eastAsia" w:hAnsi="宋体" w:cs="宋体"/>
          <w:highlight w:val="none"/>
        </w:rPr>
        <w:t>投入40多万元启动水口、湖口、古市镇“新家庭人口文化示范点”工作。投入10多万元创建“南雄卫计”微信平台和在南雄广播电视台开设“卫计前沿”“人口天地”栏目。及时发布卫计民生热点、政策法规、健康知识等信息。投入100万元开展省计生宣传创新项目。在坪田旅游景区建设卫生计生宣传长廊，在珠玑罗田建设卫生计生健康园，在油山卫生院建设卫生计生文化园。拓展卫生计生政策宣传面，提升南雄文化底蕴和知名度。充分利用重大节日或宣传日开展卫生计生宣传和服务活动。充分利用元旦、春节、“5·29”、“7·11”等重大节日相继开展各项卫生计生宣传和便民服务活动。2015年全市组织20多场户外宣传咨询活动，与红十字会免费发放药具一大批，接受群众咨询近5000人次，发放各类卫生计生宣传资料2万多份。</w:t>
      </w:r>
    </w:p>
    <w:p w14:paraId="537B021C">
      <w:pPr>
        <w:pStyle w:val="4"/>
        <w:bidi w:val="0"/>
        <w:rPr>
          <w:rFonts w:hint="eastAsia"/>
          <w:highlight w:val="none"/>
        </w:rPr>
      </w:pPr>
      <w:r>
        <w:rPr>
          <w:rFonts w:hint="eastAsia"/>
          <w:highlight w:val="none"/>
        </w:rPr>
        <w:t>【全市计生工作会议】</w:t>
      </w:r>
    </w:p>
    <w:p w14:paraId="06EA207E">
      <w:pPr>
        <w:rPr>
          <w:rFonts w:hint="eastAsia" w:hAnsi="宋体" w:cs="宋体"/>
          <w:highlight w:val="none"/>
        </w:rPr>
      </w:pPr>
      <w:r>
        <w:rPr>
          <w:rFonts w:hint="eastAsia" w:hAnsi="宋体" w:cs="宋体"/>
          <w:highlight w:val="none"/>
        </w:rPr>
        <w:t>2015年4月28日，召开2015年全市计划生育工作会议，会议对2014年度的计划生育工作进行总结，对2015年人口和计划生育工作作出部署。市委常委、常务副市长何人平代表市政府与各镇（街道）、各兼职单位代表签订人口和计划生育目标考核责任书，会议对2014年度计划生育先进集体进行表彰。</w:t>
      </w:r>
    </w:p>
    <w:p w14:paraId="3E80AC21">
      <w:pPr>
        <w:pStyle w:val="4"/>
        <w:bidi w:val="0"/>
        <w:rPr>
          <w:rFonts w:hint="eastAsia"/>
          <w:highlight w:val="none"/>
        </w:rPr>
      </w:pPr>
      <w:r>
        <w:rPr>
          <w:rFonts w:hint="eastAsia"/>
          <w:highlight w:val="none"/>
        </w:rPr>
        <w:t>【转型期人口计生工作新机制】</w:t>
      </w:r>
    </w:p>
    <w:p w14:paraId="5300FB4A">
      <w:pPr>
        <w:rPr>
          <w:rFonts w:hint="eastAsia" w:hAnsi="宋体" w:cs="宋体"/>
          <w:highlight w:val="none"/>
        </w:rPr>
      </w:pPr>
      <w:r>
        <w:rPr>
          <w:rFonts w:hint="eastAsia" w:hAnsi="宋体" w:cs="宋体"/>
          <w:highlight w:val="none"/>
        </w:rPr>
        <w:t>全市推行人口和计划生育综合改革，建立流动人口计划生育管理服务新机制。推行“阳光计生”服务，并开通12356阳光服务热线。2015年共收到计生各类信访案件134件，其中来信79件、来访48件，来电7件。答复率100%，办结率100%。</w:t>
      </w:r>
    </w:p>
    <w:p w14:paraId="53270A6B">
      <w:pPr>
        <w:pStyle w:val="4"/>
        <w:bidi w:val="0"/>
        <w:rPr>
          <w:rFonts w:hint="eastAsia"/>
          <w:highlight w:val="none"/>
        </w:rPr>
      </w:pPr>
      <w:r>
        <w:rPr>
          <w:rFonts w:hint="eastAsia"/>
          <w:highlight w:val="none"/>
        </w:rPr>
        <w:t>【人口专项整治】</w:t>
      </w:r>
    </w:p>
    <w:p w14:paraId="6796FC65">
      <w:pPr>
        <w:rPr>
          <w:rFonts w:hint="eastAsia" w:hAnsi="宋体" w:cs="宋体"/>
          <w:highlight w:val="none"/>
        </w:rPr>
      </w:pPr>
      <w:r>
        <w:rPr>
          <w:rFonts w:hint="eastAsia" w:hAnsi="宋体" w:cs="宋体"/>
          <w:highlight w:val="none"/>
        </w:rPr>
        <w:t>及时依法查处违法生育行为。2015年审批社会抚养费卷宗1320宗，受理强制执行案件126宗；建立行政处罚卷宗366本。实行举报奖励制度，常态化打击“两非”行为，性别比偏高问题得到了有效遏制。2015年查处持假计划生育证明擅自人工终止妊娠案件1宗。深入简政便民。探索在农村一胎办证、二胎审批简化办事程序，不让群众多跑冤枉路、多花冤枉钱。联合市公安局、住建局、工商局、卫生局、财政局等计划生育兼职部门在全市范围内开展流动人口计划生育服务管理专项活动，对出租屋、窝棚、商铺、住宅小区、工地、厂区宿舍等流动人口比较集中的地方进行地毯式的清查登记，强化对辖区内流动人口的统一管理。</w:t>
      </w:r>
    </w:p>
    <w:p w14:paraId="67DC83C6">
      <w:pPr>
        <w:pStyle w:val="4"/>
        <w:bidi w:val="0"/>
        <w:rPr>
          <w:rFonts w:hint="eastAsia"/>
          <w:highlight w:val="none"/>
        </w:rPr>
      </w:pPr>
      <w:r>
        <w:rPr>
          <w:rFonts w:hint="eastAsia"/>
          <w:highlight w:val="none"/>
        </w:rPr>
        <w:t>【政策法规】</w:t>
      </w:r>
    </w:p>
    <w:p w14:paraId="04A8738D">
      <w:pPr>
        <w:rPr>
          <w:rFonts w:hint="eastAsia" w:hAnsi="宋体" w:cs="宋体"/>
          <w:highlight w:val="none"/>
        </w:rPr>
      </w:pPr>
      <w:r>
        <w:rPr>
          <w:rFonts w:hint="eastAsia" w:hAnsi="宋体" w:cs="宋体"/>
          <w:highlight w:val="none"/>
        </w:rPr>
        <w:t>完善利益导向。围绕全面实施“惠一生”工程，认真做好符合“三奖一扶”对象的发放工作。依法保障公民享有计划生育奖励、优待扶助等方面的权利，让广大实行计划生育家庭从中得到实惠。全面落实独生子女伤残、死亡家庭补助金以及独生子女父母奖励等政策。2015年全市兑现城镇独生子女奖励对象金额121.19万元，兑现计划生育特别扶助对象金额42.76万元，兑现农村部分计划家庭奖励对象金额155.14万元，兑现农村计划生育奖励对象金额425.44万元。</w:t>
      </w:r>
    </w:p>
    <w:p w14:paraId="6B8A06B8">
      <w:pPr>
        <w:pStyle w:val="4"/>
        <w:bidi w:val="0"/>
        <w:rPr>
          <w:rFonts w:hint="eastAsia"/>
          <w:highlight w:val="none"/>
        </w:rPr>
      </w:pPr>
      <w:r>
        <w:rPr>
          <w:rFonts w:hint="eastAsia"/>
          <w:highlight w:val="none"/>
        </w:rPr>
        <w:t>【规划统计】</w:t>
      </w:r>
    </w:p>
    <w:p w14:paraId="2AE31BE0">
      <w:pPr>
        <w:rPr>
          <w:rFonts w:hint="eastAsia" w:hAnsi="宋体" w:cs="宋体"/>
          <w:highlight w:val="none"/>
        </w:rPr>
      </w:pPr>
      <w:r>
        <w:rPr>
          <w:rFonts w:hint="eastAsia" w:hAnsi="宋体" w:cs="宋体"/>
          <w:highlight w:val="none"/>
        </w:rPr>
        <w:t>加强计划生育信息化统计建设，建立信息共享制度。公安、卫生、民政、人社等相关部门定期向卫计部门提供人口有关信息。同时，与周边市县建立协作关系，定期互传信息。镇村两级经常核查出生人口信息。每月核对卫生部门（医院</w:t>
      </w:r>
      <w:r>
        <w:rPr>
          <w:rFonts w:hint="eastAsia" w:hAnsi="宋体" w:cs="宋体"/>
          <w:highlight w:val="none"/>
          <w:lang w:eastAsia="zh-CN"/>
        </w:rPr>
        <w:t>）</w:t>
      </w:r>
      <w:r>
        <w:rPr>
          <w:rFonts w:hint="eastAsia" w:hAnsi="宋体" w:cs="宋体"/>
          <w:highlight w:val="none"/>
        </w:rPr>
        <w:t>出生名单，并对瞒报、漏报、错报对象的人员信息进行及时上报并更正错误信息，录入数据库。2015年全市总人口49万多人，已婚育龄妇女10.25万人，出生6120人，政策生育率为91.70%，人口出生率12.42‰，自然增长率为7.19‰（常住人口5.12‰），出生人口性别比106.13，综合节育率为82.06%。免费孕前优生健康检查4410人次，完成目标人群数88.20%。（邓荣强）</w:t>
      </w:r>
    </w:p>
    <w:p w14:paraId="44F28BA4">
      <w:pPr>
        <w:rPr>
          <w:rFonts w:hint="eastAsia" w:hAnsi="宋体" w:eastAsia="宋体" w:cs="宋体"/>
          <w:b w:val="0"/>
          <w:bCs w:val="0"/>
          <w:highlight w:val="none"/>
          <w:lang w:eastAsia="zh-CN"/>
        </w:rPr>
      </w:pPr>
      <w:r>
        <w:rPr>
          <w:rFonts w:hint="eastAsia" w:hAnsi="宋体" w:cs="宋体"/>
          <w:b w:val="0"/>
          <w:bCs w:val="0"/>
          <w:highlight w:val="none"/>
        </w:rPr>
        <w:t>附：2015年市卫计局领导班子成员名单</w:t>
      </w:r>
    </w:p>
    <w:p w14:paraId="14A79469">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长：邱万茹</w:t>
      </w:r>
    </w:p>
    <w:p w14:paraId="568D9A80">
      <w:pPr>
        <w:rPr>
          <w:rFonts w:hint="eastAsia" w:hAnsi="宋体" w:eastAsia="宋体" w:cs="宋体"/>
          <w:highlight w:val="none"/>
          <w:lang w:eastAsia="zh-CN"/>
        </w:rPr>
      </w:pPr>
      <w:r>
        <w:rPr>
          <w:rFonts w:hint="eastAsia" w:hAnsi="宋体" w:cs="宋体"/>
          <w:highlight w:val="none"/>
        </w:rPr>
        <w:t>党委书记：陈志雄</w:t>
      </w:r>
    </w:p>
    <w:p w14:paraId="47C16C57">
      <w:pPr>
        <w:rPr>
          <w:rFonts w:hint="eastAsia" w:hAnsi="宋体" w:eastAsia="宋体" w:cs="宋体"/>
          <w:highlight w:val="none"/>
          <w:lang w:eastAsia="zh-CN"/>
        </w:rPr>
      </w:pPr>
      <w:r>
        <w:rPr>
          <w:rFonts w:hint="eastAsia" w:hAnsi="宋体" w:cs="宋体"/>
          <w:highlight w:val="none"/>
        </w:rPr>
        <w:t>副局长：陈志雄 王向兰 李平生</w:t>
      </w:r>
    </w:p>
    <w:p w14:paraId="7F1680F7">
      <w:pPr>
        <w:rPr>
          <w:rFonts w:hint="eastAsia" w:hAnsi="宋体" w:eastAsia="宋体" w:cs="宋体"/>
          <w:highlight w:val="none"/>
          <w:lang w:eastAsia="zh-CN"/>
        </w:rPr>
      </w:pPr>
      <w:r>
        <w:rPr>
          <w:rFonts w:hint="eastAsia" w:hAnsi="宋体" w:cs="宋体"/>
          <w:highlight w:val="none"/>
        </w:rPr>
        <w:t>纪委书记：黄得胜 马喜成</w:t>
      </w:r>
    </w:p>
    <w:p w14:paraId="2B2AF10D">
      <w:pPr>
        <w:rPr>
          <w:rFonts w:hint="eastAsia" w:hAnsi="宋体" w:eastAsia="宋体" w:cs="宋体"/>
          <w:highlight w:val="none"/>
          <w:lang w:eastAsia="zh-CN"/>
        </w:rPr>
      </w:pPr>
      <w:r>
        <w:rPr>
          <w:rFonts w:hint="eastAsia" w:hAnsi="宋体" w:cs="宋体"/>
          <w:highlight w:val="none"/>
        </w:rPr>
        <w:t>党委委员：叶春福 张涛</w:t>
      </w:r>
    </w:p>
    <w:p w14:paraId="54D6AEDD">
      <w:pPr>
        <w:rPr>
          <w:rFonts w:hint="eastAsia" w:hAnsi="宋体" w:eastAsia="宋体" w:cs="宋体"/>
          <w:highlight w:val="none"/>
          <w:lang w:eastAsia="zh-CN"/>
        </w:rPr>
      </w:pPr>
      <w:r>
        <w:rPr>
          <w:rFonts w:hint="eastAsia" w:hAnsi="宋体" w:cs="宋体"/>
          <w:highlight w:val="none"/>
        </w:rPr>
        <w:t>工会主席：刘光文</w:t>
      </w:r>
    </w:p>
    <w:p w14:paraId="722116F9">
      <w:pPr>
        <w:pStyle w:val="3"/>
        <w:bidi w:val="0"/>
        <w:rPr>
          <w:rFonts w:hint="eastAsia" w:eastAsia="宋体"/>
          <w:highlight w:val="none"/>
          <w:lang w:eastAsia="zh-CN"/>
        </w:rPr>
      </w:pPr>
      <w:r>
        <w:rPr>
          <w:rFonts w:hint="eastAsia"/>
          <w:highlight w:val="none"/>
        </w:rPr>
        <w:t>市直属医疗卫生机构</w:t>
      </w:r>
    </w:p>
    <w:p w14:paraId="5ADAA4E7">
      <w:pPr>
        <w:pStyle w:val="4"/>
        <w:bidi w:val="0"/>
        <w:rPr>
          <w:rFonts w:hint="eastAsia"/>
          <w:highlight w:val="none"/>
        </w:rPr>
      </w:pPr>
      <w:r>
        <w:rPr>
          <w:rFonts w:hint="eastAsia"/>
          <w:highlight w:val="none"/>
        </w:rPr>
        <w:t>【南雄市人民医院】</w:t>
      </w:r>
    </w:p>
    <w:p w14:paraId="76C30ED0">
      <w:pPr>
        <w:rPr>
          <w:rFonts w:hint="eastAsia" w:hAnsi="宋体" w:cs="宋体"/>
          <w:b/>
          <w:highlight w:val="none"/>
        </w:rPr>
      </w:pPr>
      <w:r>
        <w:rPr>
          <w:rFonts w:hint="eastAsia" w:hAnsi="宋体" w:cs="宋体"/>
          <w:highlight w:val="none"/>
        </w:rPr>
        <w:t>南雄市人民医院成立于1949年，其前身为南雄县人民政府卫生院。经过半个多世纪的发展，现已建设成为一所集医疗、教学、科研、保健、康复为一体的功能齐全的综合性二级甲等医院，是南雄市的120医疗急救中心，设有南方医院南雄远程医学分中心，是广东省普通高等医学院校教学医院和南方医科大学实践教学基地、广东药学院附属第一医院教学医院。是广东省百家文明医院，多次被评为省、韶关市文明单位，并荣获中华全国总工会授予的“全国模范职工之家”荣誉称号。医院占地面积6.8万平方米，建筑面积4万平方米。现有职工719人，其中专业技术人员562人。高级专业技术职称人员61人，中级专业技术职称149人，硕士学历人员2人。医院设置内科、心肾内科、外一科、外二科、骨科、妇产科、儿科、中医科、感染科、五官科、ICU重症监护病区、120急救中心等临床住院科室和检验科、功能科、影像科、药剂科、供应室等医技科室，成立健康管理中心和临床支持中心。编制病床500张，医疗设备齐全，拥有进口全身CT扫描机、磁共振成像设备（MR）、DR、彩色B超、全自动生化分析仪、血液分析仪、血液透析机、电子胃肠镜、体外震波碎石机、关节镜、腹腔镜等先进医疗设备。</w:t>
      </w:r>
    </w:p>
    <w:p w14:paraId="0F4EDA30">
      <w:pPr>
        <w:rPr>
          <w:rFonts w:hint="eastAsia" w:hAnsi="宋体" w:cs="宋体"/>
          <w:highlight w:val="none"/>
        </w:rPr>
      </w:pPr>
      <w:r>
        <w:rPr>
          <w:rFonts w:hint="eastAsia" w:hAnsi="宋体" w:cs="宋体"/>
          <w:b/>
          <w:highlight w:val="none"/>
        </w:rPr>
        <w:t>医疗情况</w:t>
      </w:r>
      <w:r>
        <w:rPr>
          <w:rFonts w:hint="eastAsia" w:hAnsi="宋体" w:cs="宋体"/>
          <w:b/>
          <w:highlight w:val="none"/>
          <w:lang w:val="en-US" w:eastAsia="zh-CN"/>
        </w:rPr>
        <w:t xml:space="preserve">  </w:t>
      </w:r>
      <w:r>
        <w:rPr>
          <w:rFonts w:hint="eastAsia" w:hAnsi="宋体" w:cs="宋体"/>
          <w:highlight w:val="none"/>
        </w:rPr>
        <w:t>2015年，全院门诊诊疗患者30万人次，比上年增长2.3％；住院患者2.4万人次，比上年增长4.9％；各类手术5856台，比上年增长3％，各类体检10110人次，比上年增长49.7％。全院业务收入1.72亿元，比上年增长14.66%，药品收入占业务总收入的比例为23.07％。</w:t>
      </w:r>
    </w:p>
    <w:p w14:paraId="6C4B1426">
      <w:pPr>
        <w:rPr>
          <w:rFonts w:hint="eastAsia" w:hAnsi="宋体" w:cs="宋体"/>
          <w:highlight w:val="none"/>
        </w:rPr>
      </w:pPr>
      <w:r>
        <w:rPr>
          <w:rFonts w:hint="eastAsia" w:hAnsi="宋体" w:cs="宋体"/>
          <w:b/>
          <w:bCs/>
          <w:highlight w:val="none"/>
        </w:rPr>
        <w:t>思想教育和</w:t>
      </w:r>
      <w:r>
        <w:rPr>
          <w:rFonts w:hint="eastAsia" w:hAnsi="宋体" w:cs="宋体"/>
          <w:b/>
          <w:highlight w:val="none"/>
        </w:rPr>
        <w:t>行风建设</w:t>
      </w:r>
      <w:r>
        <w:rPr>
          <w:rFonts w:hint="eastAsia" w:hAnsi="宋体" w:cs="宋体"/>
          <w:b/>
          <w:highlight w:val="none"/>
          <w:lang w:val="en-US" w:eastAsia="zh-CN"/>
        </w:rPr>
        <w:t xml:space="preserve">  </w:t>
      </w:r>
      <w:r>
        <w:rPr>
          <w:rFonts w:hint="eastAsia" w:hAnsi="宋体" w:cs="宋体"/>
          <w:highlight w:val="none"/>
        </w:rPr>
        <w:t>医院坚持把职工思想教育和行业作风建设作为医院文化和精神文明建设一项大事来抓。2015年，领导班子带领全院干部职工开展“三严三实”“六五普法”“双学双比”“平安医院”“无红包医院”“三好一满意”“廉洁南雄”“纪律教育学习月活动”和行风专项治理等活动；开设“社会主义核心价值观”道德讲堂、“学习贯彻十八届五中全会精神”“医院西点执行力”等专题培训，增强干部职工遵纪守法自觉性。</w:t>
      </w:r>
    </w:p>
    <w:p w14:paraId="6CE779E2">
      <w:pPr>
        <w:rPr>
          <w:rFonts w:hint="eastAsia" w:hAnsi="宋体" w:cs="宋体"/>
          <w:b/>
          <w:highlight w:val="none"/>
        </w:rPr>
      </w:pPr>
      <w:r>
        <w:rPr>
          <w:rFonts w:hint="eastAsia" w:hAnsi="宋体" w:cs="宋体"/>
          <w:b/>
          <w:bCs/>
          <w:highlight w:val="none"/>
        </w:rPr>
        <w:t>综合服</w:t>
      </w:r>
      <w:r>
        <w:rPr>
          <w:rFonts w:hint="eastAsia" w:hAnsi="宋体" w:cs="宋体"/>
          <w:b/>
          <w:highlight w:val="none"/>
        </w:rPr>
        <w:t>务能力建设</w:t>
      </w:r>
      <w:r>
        <w:rPr>
          <w:rFonts w:hint="eastAsia" w:hAnsi="宋体" w:cs="宋体"/>
          <w:b/>
          <w:highlight w:val="none"/>
          <w:lang w:val="en-US" w:eastAsia="zh-CN"/>
        </w:rPr>
        <w:t xml:space="preserve">  </w:t>
      </w:r>
      <w:r>
        <w:rPr>
          <w:rFonts w:hint="eastAsia" w:hAnsi="宋体" w:cs="宋体"/>
          <w:highlight w:val="none"/>
        </w:rPr>
        <w:t>医院重视提升综合服务能力建设，抓好医疗护理质量管理，加大人才培养力度，重视智力扶持，通过技术和设备的投入，在巩固基础医疗的同时，创新开拓诊疗服务范围，努力提高诊断率与治愈率，缩短患者住院周期，减轻群众医疗负担。医院在广东省卫计委对全省58家县级公立医院2014年度的综合服务能力评比中排名第23位，位居韶关各县级公立医院第一名。</w:t>
      </w:r>
    </w:p>
    <w:p w14:paraId="4394EE9E">
      <w:pPr>
        <w:rPr>
          <w:rFonts w:hint="eastAsia" w:hAnsi="宋体" w:cs="宋体"/>
          <w:highlight w:val="none"/>
          <w:vertAlign w:val="baseline"/>
        </w:rPr>
      </w:pPr>
      <w:r>
        <w:rPr>
          <w:rFonts w:hint="eastAsia" w:hAnsi="宋体" w:cs="宋体"/>
          <w:b/>
          <w:highlight w:val="none"/>
        </w:rPr>
        <w:t>科学教研</w:t>
      </w:r>
      <w:r>
        <w:rPr>
          <w:rFonts w:hint="eastAsia" w:hAnsi="宋体" w:cs="宋体"/>
          <w:b/>
          <w:highlight w:val="none"/>
          <w:lang w:val="en-US" w:eastAsia="zh-CN"/>
        </w:rPr>
        <w:t xml:space="preserve">  </w:t>
      </w:r>
      <w:r>
        <w:rPr>
          <w:rFonts w:hint="eastAsia" w:hAnsi="宋体" w:cs="宋体"/>
          <w:highlight w:val="none"/>
        </w:rPr>
        <w:t>医院重视医务人员技术培训，积极引进、应用、开展新技术、新项目，促进全院医疗护理质量快速稳步提高。医院科研项目取得丰硕成果，在省级以上医学期刊上发表专业学术论文26篇，全院有7个新技术项目获得韶关市临床推广应用，有3个项目获得韶关市科研项目立项。其中急救中心申报的《急救J-3C型呼吸机在院前急救危重患者中的应用》、《肌红蛋白早期检测的临床应用》、《降钙素原与高美C反应蛋白联合检测对、新生儿肺炎脓毒血症的临床价值应用》，外一科申报的《经尿道钬激光在治疗浅表性膀胱癌的应用》，妇产科申报的《需氧菌性阴道炎诊治进展》，药剂科申报的《多磺酸粘多糖乳膏+神灯治疗仪治疗静脉曲张的临床研究》、《六西格玛管理法在缩短我院门诊西药房患者取药等候时间上的应用》等课题获得韶关市卫生计生类新技术新项目推广应用；心肾内科申报的《维持性血液透析患者尿酸水平、血脂水平与高血压关系的探讨》、《慢性肾衰竭患者自我管理项目的构建与应用》，内科申报的《诺和锐30笔芯联合诺和笔5治疗中老年2型糖尿病的临床研究》等课题获得韶关市卫生计生科研项目立项。</w:t>
      </w:r>
    </w:p>
    <w:p w14:paraId="4B454683">
      <w:pPr>
        <w:rPr>
          <w:rFonts w:hint="eastAsia" w:hAnsi="宋体" w:cs="宋体"/>
          <w:highlight w:val="none"/>
        </w:rPr>
      </w:pPr>
      <w:r>
        <w:rPr>
          <w:rFonts w:hint="eastAsia" w:hAnsi="宋体" w:cs="宋体"/>
          <w:b/>
          <w:bCs/>
          <w:highlight w:val="none"/>
        </w:rPr>
        <w:t>医疗</w:t>
      </w:r>
      <w:r>
        <w:rPr>
          <w:rFonts w:hint="eastAsia" w:hAnsi="宋体" w:cs="宋体"/>
          <w:b/>
          <w:highlight w:val="none"/>
        </w:rPr>
        <w:t>服务拓展</w:t>
      </w:r>
      <w:r>
        <w:rPr>
          <w:rFonts w:hint="eastAsia" w:hAnsi="宋体" w:cs="宋体"/>
          <w:b/>
          <w:highlight w:val="none"/>
          <w:lang w:val="en-US" w:eastAsia="zh-CN"/>
        </w:rPr>
        <w:t xml:space="preserve">  </w:t>
      </w:r>
      <w:r>
        <w:rPr>
          <w:rFonts w:hint="eastAsia" w:hAnsi="宋体" w:cs="宋体"/>
          <w:highlight w:val="none"/>
        </w:rPr>
        <w:t>医院拓宽诊疗范围，提高诊疗水平。2015年8月，医院成立消化内镜中心，引进进口高清内窥镜系统，中心开展无痛胃肠镜检查治疗项目，为患者提供优质高效的诊疗服务。11月，医院成立了健康管理中心，新引进一大批体检设备，升级健康档案管理系统，为体检者提供全面、专业、权威的检查结果分析、健康管理指导和便捷的后续医疗服务。11月成立临床支持中心，在各科室开展优质护理服务，把病人及家属是否满意作为衡量总体服务质量的尺度，改善医疗条件和住院环境，简化工作流程，为群众提供优质、高效的医疗服务。南方医院远程会诊平台得到充分利用，增设远程门诊会诊以来，广大患者足不出户即可在南雄本地享受到省级医疗专家教授高水平的诊疗服务。</w:t>
      </w:r>
    </w:p>
    <w:p w14:paraId="44D1F46E">
      <w:pPr>
        <w:rPr>
          <w:rFonts w:hint="eastAsia" w:hAnsi="宋体" w:eastAsia="宋体" w:cs="宋体"/>
          <w:highlight w:val="none"/>
          <w:lang w:eastAsia="zh-CN"/>
        </w:rPr>
      </w:pPr>
      <w:r>
        <w:rPr>
          <w:rFonts w:hint="eastAsia" w:hAnsi="宋体" w:cs="宋体"/>
          <w:b/>
          <w:bCs/>
          <w:highlight w:val="none"/>
        </w:rPr>
        <w:t>“十三五”</w:t>
      </w:r>
      <w:r>
        <w:rPr>
          <w:rFonts w:hint="eastAsia" w:hAnsi="宋体" w:cs="宋体"/>
          <w:b/>
          <w:highlight w:val="none"/>
        </w:rPr>
        <w:t>发展</w:t>
      </w:r>
      <w:r>
        <w:rPr>
          <w:rFonts w:hint="eastAsia" w:hAnsi="宋体" w:cs="宋体"/>
          <w:b/>
          <w:highlight w:val="none"/>
          <w:lang w:val="en-US" w:eastAsia="zh-CN"/>
        </w:rPr>
        <w:t xml:space="preserve">  </w:t>
      </w:r>
      <w:r>
        <w:rPr>
          <w:rFonts w:hint="eastAsia" w:hAnsi="宋体" w:cs="宋体"/>
          <w:highlight w:val="none"/>
        </w:rPr>
        <w:t>要务医院制定科学合理“十三五”发展规划，坚持“以人为本”和“以病人为中心”办院宗旨，树立“以专科兴院、以质量强院”的办院方向，确立以人才队伍建设为关键、以完善基础功能为支撑、以深化改革创新为动力、以强化管理服务为保障的办院思路。在现有基础上，突出重点专科建设，各科室之间技术互补，共同发展；重视人才培养和科教研技术开发应用，全面提升综合服务能力；注重人性化管理和服务品牌创建，提升和加强信息化管理，多措并举，把医院打造成为联动省、市医疗机构，辐射南雄城乡的县域医疗卫生中心。大力推进县镇村一体化医疗管理改革。（刘世洪）</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4D69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807B932">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39950"/>
                  <wp:effectExtent l="0" t="0" r="8890" b="12700"/>
                  <wp:docPr id="102" name="图片 265" descr="百顺镇义诊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65" descr="百顺镇义诊35"/>
                          <pic:cNvPicPr>
                            <a:picLocks noChangeAspect="1"/>
                          </pic:cNvPicPr>
                        </pic:nvPicPr>
                        <pic:blipFill>
                          <a:blip r:embed="rId107"/>
                          <a:stretch>
                            <a:fillRect/>
                          </a:stretch>
                        </pic:blipFill>
                        <pic:spPr>
                          <a:xfrm>
                            <a:off x="0" y="0"/>
                            <a:ext cx="3420110" cy="2139950"/>
                          </a:xfrm>
                          <a:prstGeom prst="rect">
                            <a:avLst/>
                          </a:prstGeom>
                          <a:noFill/>
                          <a:ln>
                            <a:noFill/>
                          </a:ln>
                        </pic:spPr>
                      </pic:pic>
                    </a:graphicData>
                  </a:graphic>
                </wp:inline>
              </w:drawing>
            </w:r>
          </w:p>
        </w:tc>
      </w:tr>
      <w:tr w14:paraId="1619F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29A9B9F">
            <w:pPr>
              <w:jc w:val="center"/>
              <w:rPr>
                <w:rFonts w:hint="eastAsia" w:hAnsi="宋体" w:cs="宋体"/>
                <w:highlight w:val="none"/>
                <w:vertAlign w:val="baseline"/>
              </w:rPr>
            </w:pPr>
            <w:r>
              <w:rPr>
                <w:rFonts w:hint="eastAsia" w:hAnsi="宋体" w:cs="宋体"/>
                <w:highlight w:val="none"/>
                <w:vertAlign w:val="baseline"/>
              </w:rPr>
              <w:t>人民医院赴百顺镇义诊</w:t>
            </w:r>
          </w:p>
        </w:tc>
      </w:tr>
    </w:tbl>
    <w:p w14:paraId="10A05153">
      <w:pPr>
        <w:rPr>
          <w:rFonts w:hint="eastAsia" w:hAnsi="宋体" w:eastAsia="宋体" w:cs="宋体"/>
          <w:highlight w:val="none"/>
          <w:lang w:eastAsia="zh-CN"/>
        </w:rPr>
      </w:pPr>
      <w:r>
        <w:rPr>
          <w:rFonts w:hint="eastAsia" w:hAnsi="宋体" w:cs="宋体"/>
          <w:highlight w:val="none"/>
        </w:rPr>
        <w:t>附：2015年市人民医院领导班子成员名单</w:t>
      </w:r>
    </w:p>
    <w:p w14:paraId="0735F39F">
      <w:pPr>
        <w:rPr>
          <w:rFonts w:hint="eastAsia" w:hAnsi="宋体" w:eastAsia="宋体" w:cs="宋体"/>
          <w:highlight w:val="none"/>
          <w:lang w:eastAsia="zh-CN"/>
        </w:rPr>
      </w:pPr>
      <w:r>
        <w:rPr>
          <w:rFonts w:hint="eastAsia" w:hAnsi="宋体" w:cs="宋体"/>
          <w:highlight w:val="none"/>
        </w:rPr>
        <w:t>院长：叶春福</w:t>
      </w:r>
    </w:p>
    <w:p w14:paraId="0D203A26">
      <w:pPr>
        <w:rPr>
          <w:rFonts w:hint="eastAsia" w:hAnsi="宋体" w:cs="宋体"/>
          <w:highlight w:val="none"/>
        </w:rPr>
      </w:pPr>
      <w:r>
        <w:rPr>
          <w:rFonts w:hint="eastAsia" w:hAnsi="宋体" w:cs="宋体"/>
          <w:highlight w:val="none"/>
        </w:rPr>
        <w:t>副院长：王英 刘卫忠 严松林</w:t>
      </w:r>
      <w:r>
        <w:rPr>
          <w:rFonts w:hint="eastAsia" w:hAnsi="宋体" w:cs="宋体"/>
          <w:highlight w:val="none"/>
          <w:lang w:val="en-US" w:eastAsia="zh-CN"/>
        </w:rPr>
        <w:t xml:space="preserve"> </w:t>
      </w:r>
      <w:r>
        <w:rPr>
          <w:rFonts w:hint="eastAsia" w:hAnsi="宋体" w:cs="宋体"/>
          <w:highlight w:val="none"/>
        </w:rPr>
        <w:t>何旗明 陈友方 殷圣银</w:t>
      </w:r>
      <w:r>
        <w:rPr>
          <w:rFonts w:hint="eastAsia" w:hAnsi="宋体" w:cs="宋体"/>
          <w:highlight w:val="none"/>
          <w:lang w:val="en-US" w:eastAsia="zh-CN"/>
        </w:rPr>
        <w:t xml:space="preserve"> </w:t>
      </w:r>
      <w:r>
        <w:rPr>
          <w:rFonts w:hint="eastAsia" w:hAnsi="宋体" w:cs="宋体"/>
          <w:highlight w:val="none"/>
        </w:rPr>
        <w:t>朱广庭</w:t>
      </w:r>
    </w:p>
    <w:p w14:paraId="6EE17C7A">
      <w:pPr>
        <w:rPr>
          <w:rFonts w:hint="eastAsia" w:hAnsi="宋体" w:eastAsia="宋体" w:cs="宋体"/>
          <w:highlight w:val="none"/>
          <w:lang w:eastAsia="zh-CN"/>
        </w:rPr>
      </w:pPr>
      <w:r>
        <w:rPr>
          <w:rFonts w:hint="eastAsia" w:hAnsi="宋体" w:cs="宋体"/>
          <w:highlight w:val="none"/>
        </w:rPr>
        <w:t>工会主席：谢雄生</w:t>
      </w:r>
    </w:p>
    <w:p w14:paraId="03718045">
      <w:pPr>
        <w:rPr>
          <w:rFonts w:hint="eastAsia" w:hAnsi="宋体" w:cs="宋体"/>
          <w:highlight w:val="none"/>
        </w:rPr>
      </w:pPr>
      <w:r>
        <w:rPr>
          <w:rFonts w:hint="eastAsia" w:hAnsi="宋体" w:cs="宋体"/>
          <w:highlight w:val="none"/>
        </w:rPr>
        <w:t>院办主任：刘世洪</w:t>
      </w:r>
    </w:p>
    <w:p w14:paraId="0E58FD17">
      <w:pPr>
        <w:pStyle w:val="4"/>
        <w:bidi w:val="0"/>
        <w:rPr>
          <w:rFonts w:hint="eastAsia"/>
          <w:highlight w:val="none"/>
        </w:rPr>
      </w:pPr>
      <w:r>
        <w:rPr>
          <w:rFonts w:hint="eastAsia"/>
          <w:highlight w:val="none"/>
        </w:rPr>
        <w:t>【南雄市中医院】</w:t>
      </w:r>
    </w:p>
    <w:p w14:paraId="2589900C">
      <w:pPr>
        <w:rPr>
          <w:rFonts w:hint="eastAsia" w:hAnsi="宋体" w:cs="宋体"/>
          <w:highlight w:val="none"/>
          <w:vertAlign w:val="baseline"/>
        </w:rPr>
      </w:pPr>
      <w:r>
        <w:rPr>
          <w:rFonts w:hint="eastAsia" w:hAnsi="宋体" w:cs="宋体"/>
          <w:highlight w:val="none"/>
        </w:rPr>
        <w:t>南雄市中医院地处市区雄州大道中段，是一所集医疗、教学、科研、保健、康复为一体的二级甲等中医医院，是广东药学院临床教学医院、广东药学院附属第一医院技术协作医院、东莞市中医院对口支援医院、韶关医学院教学医院、该市医疗保险机构定点医院。医院业务用房面积9546平方米，建筑面积1.2万平方米，编制床位250张；拥有在职职工319人，其中高级职称15人，中级职称54人。2015年服务住院患者1.1万人次，同比增长8.2%；服务门诊患者10.08万人次，同比增长3.4%；人均平均住院日6.69天，同比下降4.7%。</w:t>
      </w:r>
    </w:p>
    <w:p w14:paraId="061B03EE">
      <w:pPr>
        <w:rPr>
          <w:rFonts w:hint="eastAsia" w:hAnsi="宋体" w:cs="宋体"/>
          <w:highlight w:val="none"/>
        </w:rPr>
      </w:pPr>
      <w:r>
        <w:rPr>
          <w:rFonts w:hint="eastAsia" w:hAnsi="宋体" w:cs="宋体"/>
          <w:highlight w:val="none"/>
        </w:rPr>
        <w:t>医院设有急诊科、内儿科、脑病科、外科、妇产科、骨伤科、康复科、治未病科、五官科、皮肤科、口腔科、检验科、内镜室、放射科、CT室、功能检查科等20多个医学专业学科和专科门诊，其中康复科是国家农村医疗机构中医特色专科建设项目、韶关市中医重点专科，脑病科是韶关市中医重点专科，骨伤科是南雄市中医重点专科。</w:t>
      </w:r>
    </w:p>
    <w:p w14:paraId="18181493">
      <w:pPr>
        <w:rPr>
          <w:rFonts w:hint="eastAsia" w:hAnsi="宋体" w:cs="宋体"/>
          <w:highlight w:val="none"/>
        </w:rPr>
      </w:pPr>
      <w:r>
        <w:rPr>
          <w:rFonts w:hint="eastAsia" w:hAnsi="宋体" w:cs="宋体"/>
          <w:highlight w:val="none"/>
        </w:rPr>
        <w:t>医院拥有螺旋CT、彩超、数字化X线摄影（DR）、全自动生化分析仪、全自动五分类血球分析仪、腹腔镜、电子胃镜、钬激光治疗仪、中医体质辨识仪、超声骨密度仪、移动式C形臂X射线机等一批性能稳定、质量可靠的设备。</w:t>
      </w:r>
    </w:p>
    <w:p w14:paraId="626B3419">
      <w:pPr>
        <w:rPr>
          <w:rFonts w:hint="eastAsia" w:hAnsi="宋体" w:cs="宋体"/>
          <w:highlight w:val="none"/>
        </w:rPr>
      </w:pPr>
      <w:r>
        <w:rPr>
          <w:rFonts w:hint="eastAsia" w:hAnsi="宋体" w:cs="宋体"/>
          <w:highlight w:val="none"/>
        </w:rPr>
        <w:t>二级中医医院持续改进评估检查2015年11月6日，为巩固二级甲等中医医院复评成果，国家中医药管理局统一部署，广东省中医药管理局二级中医医院评审第7专家组一行5人对医院开展二级中医医院持续改进评估检查。专家组按照《二级中医医院持续改进省级检查评估实施细则》，通过听取汇报、实地考查、现场访谈、资料检查、病历抽查、理论和技术操作考核等形式，分别对医院中医诊疗水平、中医药特色及综合管理、持续改进落实情况等工作进行评估检查，医院通过该项评估检查。</w:t>
      </w:r>
    </w:p>
    <w:p w14:paraId="4CEEAA78">
      <w:pPr>
        <w:rPr>
          <w:rFonts w:hint="eastAsia" w:hAnsi="宋体" w:cs="宋体"/>
          <w:highlight w:val="none"/>
        </w:rPr>
      </w:pPr>
      <w:r>
        <w:rPr>
          <w:rFonts w:hint="eastAsia" w:hAnsi="宋体" w:cs="宋体"/>
          <w:highlight w:val="none"/>
        </w:rPr>
        <w:t>医院以二甲评审及持续改进评估检查为标准，全面落实医药卫生体制改革，坚持公益性质，秉承以中医为主办院方向，通过狠抓医疗质量、人员梯队、学科建设、科研创新以及中医药文化等内涵建设，把医院建设成为一所中医特色浓厚、学科优势明显、专科特色鲜明现代化二级甲等中医医院（刘华）</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1965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7C955F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0760"/>
                  <wp:effectExtent l="0" t="0" r="8890" b="15240"/>
                  <wp:docPr id="103" name="图片 267" descr="评估检查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67" descr="评估检查36"/>
                          <pic:cNvPicPr>
                            <a:picLocks noChangeAspect="1"/>
                          </pic:cNvPicPr>
                        </pic:nvPicPr>
                        <pic:blipFill>
                          <a:blip r:embed="rId108"/>
                          <a:stretch>
                            <a:fillRect/>
                          </a:stretch>
                        </pic:blipFill>
                        <pic:spPr>
                          <a:xfrm>
                            <a:off x="0" y="0"/>
                            <a:ext cx="3420110" cy="2270760"/>
                          </a:xfrm>
                          <a:prstGeom prst="rect">
                            <a:avLst/>
                          </a:prstGeom>
                          <a:noFill/>
                          <a:ln>
                            <a:noFill/>
                          </a:ln>
                        </pic:spPr>
                      </pic:pic>
                    </a:graphicData>
                  </a:graphic>
                </wp:inline>
              </w:drawing>
            </w:r>
          </w:p>
        </w:tc>
      </w:tr>
      <w:tr w14:paraId="63916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3FD3FC4">
            <w:pPr>
              <w:jc w:val="center"/>
              <w:rPr>
                <w:rFonts w:hint="eastAsia" w:hAnsi="宋体" w:cs="宋体"/>
                <w:highlight w:val="none"/>
                <w:vertAlign w:val="baseline"/>
              </w:rPr>
            </w:pPr>
            <w:r>
              <w:rPr>
                <w:rFonts w:hint="eastAsia" w:hAnsi="宋体" w:cs="宋体"/>
                <w:highlight w:val="none"/>
                <w:vertAlign w:val="baseline"/>
              </w:rPr>
              <w:t>中医院接受二级中医医院持续改进评估检查</w:t>
            </w:r>
          </w:p>
        </w:tc>
      </w:tr>
    </w:tbl>
    <w:p w14:paraId="2E799BA6">
      <w:pPr>
        <w:rPr>
          <w:rFonts w:hint="eastAsia" w:hAnsi="宋体" w:eastAsia="宋体" w:cs="宋体"/>
          <w:b w:val="0"/>
          <w:bCs w:val="0"/>
          <w:highlight w:val="none"/>
          <w:lang w:eastAsia="zh-CN"/>
        </w:rPr>
      </w:pPr>
      <w:r>
        <w:rPr>
          <w:rFonts w:hint="eastAsia" w:hAnsi="宋体" w:cs="宋体"/>
          <w:b w:val="0"/>
          <w:bCs w:val="0"/>
          <w:highlight w:val="none"/>
        </w:rPr>
        <w:t>附：2015年南雄市中医院领导班子成员名单</w:t>
      </w:r>
    </w:p>
    <w:p w14:paraId="133BD688">
      <w:pPr>
        <w:rPr>
          <w:rFonts w:hint="eastAsia" w:hAnsi="宋体" w:eastAsia="宋体" w:cs="宋体"/>
          <w:highlight w:val="none"/>
          <w:lang w:eastAsia="zh-CN"/>
        </w:rPr>
      </w:pPr>
      <w:r>
        <w:rPr>
          <w:rFonts w:hint="eastAsia" w:hAnsi="宋体" w:cs="宋体"/>
          <w:b w:val="0"/>
          <w:bCs w:val="0"/>
          <w:highlight w:val="none"/>
        </w:rPr>
        <w:t>院</w:t>
      </w:r>
      <w:r>
        <w:rPr>
          <w:rFonts w:hint="eastAsia" w:hAnsi="宋体" w:cs="宋体"/>
          <w:b w:val="0"/>
          <w:bCs w:val="0"/>
          <w:highlight w:val="none"/>
          <w:lang w:val="en-US" w:eastAsia="zh-CN"/>
        </w:rPr>
        <w:t xml:space="preserve">  </w:t>
      </w:r>
      <w:r>
        <w:rPr>
          <w:rFonts w:hint="eastAsia" w:hAnsi="宋体" w:cs="宋体"/>
          <w:b w:val="0"/>
          <w:bCs w:val="0"/>
          <w:highlight w:val="none"/>
        </w:rPr>
        <w:t>长：李</w:t>
      </w:r>
      <w:r>
        <w:rPr>
          <w:rFonts w:hint="eastAsia" w:hAnsi="宋体" w:cs="宋体"/>
          <w:highlight w:val="none"/>
        </w:rPr>
        <w:t>冰</w:t>
      </w:r>
    </w:p>
    <w:p w14:paraId="60189A2E">
      <w:pPr>
        <w:rPr>
          <w:rFonts w:hint="eastAsia" w:hAnsi="宋体" w:eastAsia="宋体" w:cs="宋体"/>
          <w:highlight w:val="none"/>
          <w:lang w:eastAsia="zh-CN"/>
        </w:rPr>
      </w:pPr>
      <w:r>
        <w:rPr>
          <w:rFonts w:hint="eastAsia" w:hAnsi="宋体" w:cs="宋体"/>
          <w:highlight w:val="none"/>
        </w:rPr>
        <w:t>副院长：张万峰 刘加波 郭晓日</w:t>
      </w:r>
    </w:p>
    <w:p w14:paraId="743B1076">
      <w:pPr>
        <w:rPr>
          <w:rFonts w:hint="eastAsia" w:hAnsi="宋体" w:eastAsia="宋体" w:cs="宋体"/>
          <w:highlight w:val="none"/>
          <w:lang w:eastAsia="zh-CN"/>
        </w:rPr>
      </w:pPr>
      <w:r>
        <w:rPr>
          <w:rFonts w:hint="eastAsia" w:hAnsi="宋体" w:cs="宋体"/>
          <w:highlight w:val="none"/>
        </w:rPr>
        <w:t>工会主席：王文博</w:t>
      </w:r>
    </w:p>
    <w:p w14:paraId="7DD6CFA7">
      <w:pPr>
        <w:pStyle w:val="4"/>
        <w:bidi w:val="0"/>
        <w:rPr>
          <w:rFonts w:hint="eastAsia"/>
          <w:highlight w:val="none"/>
        </w:rPr>
      </w:pPr>
      <w:r>
        <w:rPr>
          <w:rFonts w:hint="eastAsia"/>
          <w:highlight w:val="none"/>
        </w:rPr>
        <w:t>【南雄市妇幼保健计划生育服务院】</w:t>
      </w:r>
    </w:p>
    <w:p w14:paraId="71F73C3A">
      <w:pPr>
        <w:rPr>
          <w:rFonts w:hint="eastAsia" w:hAnsi="宋体" w:cs="宋体"/>
          <w:highlight w:val="none"/>
        </w:rPr>
      </w:pPr>
      <w:r>
        <w:rPr>
          <w:rFonts w:hint="eastAsia" w:hAnsi="宋体" w:cs="宋体"/>
          <w:highlight w:val="none"/>
        </w:rPr>
        <w:t>南雄市妇幼保健院成立于1953年，2014年与市计划生育服务站合并，组成南雄市妇幼保健计划生育服务院。为公益一类事业单位，医院占地面积3914.6平方米，编制床位65张，人员编制79个；全院职工127人，在职在编68人，其中高级职称1人，中级职称22人。是一所以保健为主，保健与临床相结合，集保健、临床、预防、教学、科研为一体一级甲等专科医院。承担着全市妇女、儿童保健、基层妇幼人员培训、计划生育指导及国家免费孕前优生健康检查、婚前医学检查、出生缺陷防控、地贫防控、预防艾滋病、梅毒和乙肝母婴传播等十几项公共卫生服务。院内设办公室、人事监察股、财务股、医教股、妇产科、儿科、计划生育科、检验科、功能科、保健信息科、护理部、药品及避孕药具管理科等12个股室。</w:t>
      </w:r>
    </w:p>
    <w:p w14:paraId="72A65534">
      <w:pPr>
        <w:rPr>
          <w:rFonts w:hint="eastAsia" w:hAnsi="宋体" w:cs="宋体"/>
          <w:highlight w:val="none"/>
        </w:rPr>
      </w:pPr>
      <w:r>
        <w:rPr>
          <w:rFonts w:hint="eastAsia" w:hAnsi="宋体" w:cs="宋体"/>
          <w:b/>
          <w:bCs/>
          <w:highlight w:val="none"/>
        </w:rPr>
        <w:t>“两管”</w:t>
      </w:r>
      <w:r>
        <w:rPr>
          <w:rFonts w:hint="eastAsia" w:hAnsi="宋体" w:cs="宋体"/>
          <w:b/>
          <w:highlight w:val="none"/>
        </w:rPr>
        <w:t>工作情况</w:t>
      </w:r>
      <w:r>
        <w:rPr>
          <w:rFonts w:hint="eastAsia" w:hAnsi="宋体" w:cs="宋体"/>
          <w:b/>
          <w:highlight w:val="none"/>
          <w:lang w:val="en-US" w:eastAsia="zh-CN"/>
        </w:rPr>
        <w:t xml:space="preserve">  </w:t>
      </w:r>
      <w:r>
        <w:rPr>
          <w:rFonts w:hint="eastAsia" w:hAnsi="宋体" w:cs="宋体"/>
          <w:highlight w:val="none"/>
        </w:rPr>
        <w:t>2015年门诊诊治56058人次，同比增长14.6%；住院人次2908人，同比增长32.3%；前后举办4期业务培训班，培训317人次。全市孕产妇住院分娩总数3583人，活产数3618人，住院分娩率100%；孕产妇系统管理3510人，系统管理率97.01%；高危孕产妇管理507人，无孕产妇死亡；全市7岁以下儿童37613人，保健人数36322人，覆盖率96.56%；3岁以下儿童16235人，系统管理15429人，管理率95.03%；体弱儿152人，专案管理152人，管理率100%。</w:t>
      </w:r>
    </w:p>
    <w:p w14:paraId="05978FAB">
      <w:pPr>
        <w:rPr>
          <w:rFonts w:hint="eastAsia" w:hAnsi="宋体" w:cs="宋体"/>
          <w:b/>
          <w:highlight w:val="none"/>
        </w:rPr>
      </w:pPr>
      <w:r>
        <w:rPr>
          <w:rFonts w:hint="eastAsia" w:hAnsi="宋体" w:cs="宋体"/>
          <w:b/>
          <w:bCs/>
          <w:highlight w:val="none"/>
        </w:rPr>
        <w:t>妇幼工</w:t>
      </w:r>
      <w:r>
        <w:rPr>
          <w:rFonts w:hint="eastAsia" w:hAnsi="宋体" w:cs="宋体"/>
          <w:b/>
          <w:highlight w:val="none"/>
        </w:rPr>
        <w:t>作管理</w:t>
      </w:r>
      <w:r>
        <w:rPr>
          <w:rFonts w:hint="eastAsia" w:hAnsi="宋体" w:cs="宋体"/>
          <w:b/>
          <w:highlight w:val="none"/>
          <w:lang w:val="en-US" w:eastAsia="zh-CN"/>
        </w:rPr>
        <w:t xml:space="preserve">  </w:t>
      </w:r>
      <w:r>
        <w:rPr>
          <w:rFonts w:hint="eastAsia" w:hAnsi="宋体" w:cs="宋体"/>
          <w:highlight w:val="none"/>
        </w:rPr>
        <w:t>发挥市三级妇幼保健网络作用，逐级明确工作范围和职责，通过加强基层培训和监督指导，逐项落实各项常规工作，实现真正意义上公益群体保健服务。加大对医疗卫生单位助产、妇幼人员业务技术指导和培训力度，2015年开展妇幼计生相关培训4期，参加人员317人次，内容包括母婴保健技术、卫生法律法规、地贫防控技术、预防“三病”母婴传播技术、出生缺陷防控、妇幼保健管理操作规范、重大公共卫生项目操作技术、妇幼卫生信息月报及年报表填报要求和避孕药具管理培训等，全市助产、妇幼人员通过培训后持证上岗。</w:t>
      </w:r>
    </w:p>
    <w:p w14:paraId="28D5F692">
      <w:pPr>
        <w:rPr>
          <w:rFonts w:hint="eastAsia" w:hAnsi="宋体" w:cs="宋体"/>
          <w:b/>
          <w:highlight w:val="none"/>
        </w:rPr>
      </w:pPr>
      <w:r>
        <w:rPr>
          <w:rFonts w:hint="eastAsia" w:hAnsi="宋体" w:cs="宋体"/>
          <w:b/>
          <w:highlight w:val="none"/>
        </w:rPr>
        <w:t>设施建设</w:t>
      </w:r>
      <w:r>
        <w:rPr>
          <w:rFonts w:hint="eastAsia" w:hAnsi="宋体" w:cs="宋体"/>
          <w:b/>
          <w:highlight w:val="none"/>
          <w:lang w:val="en-US" w:eastAsia="zh-CN"/>
        </w:rPr>
        <w:t xml:space="preserve">  </w:t>
      </w:r>
      <w:r>
        <w:rPr>
          <w:rFonts w:hint="eastAsia" w:hAnsi="宋体" w:cs="宋体"/>
          <w:highlight w:val="none"/>
        </w:rPr>
        <w:t>对计生院区门诊诊室及候诊大厅重新设置、改造、装修等；同时购置一批仪器设备，如全自动血液分析仪、全自动血红蛋白仪、进口心电图仪、排痰仪、数码电子阴道镜、LED显示屏、更换全院住院病房电视机等，硬件添置及环境的改善大大提升医院形象，为医院发展奠定良好基础。</w:t>
      </w:r>
    </w:p>
    <w:p w14:paraId="1A858FA8">
      <w:pPr>
        <w:rPr>
          <w:rFonts w:hint="eastAsia" w:hAnsi="宋体" w:eastAsia="宋体" w:cs="宋体"/>
          <w:highlight w:val="none"/>
          <w:lang w:eastAsia="zh-CN"/>
        </w:rPr>
      </w:pPr>
      <w:r>
        <w:rPr>
          <w:rFonts w:hint="eastAsia" w:hAnsi="宋体" w:cs="宋体"/>
          <w:b/>
          <w:highlight w:val="none"/>
        </w:rPr>
        <w:t>业务培训</w:t>
      </w:r>
      <w:r>
        <w:rPr>
          <w:rFonts w:hint="eastAsia" w:hAnsi="宋体" w:cs="宋体"/>
          <w:b/>
          <w:highlight w:val="none"/>
          <w:lang w:val="en-US" w:eastAsia="zh-CN"/>
        </w:rPr>
        <w:t xml:space="preserve">  </w:t>
      </w:r>
      <w:r>
        <w:rPr>
          <w:rFonts w:hint="eastAsia" w:hAnsi="宋体" w:cs="宋体"/>
          <w:highlight w:val="none"/>
        </w:rPr>
        <w:t>选送优秀骨干人员到省妇幼、广州市妇女儿童医疗中心、韶关市粤北人民医院、韶关妇幼进修学习，参加省、市各项专科及公共卫生项目培训班。2015年派出76人次外出学习，内容包括地贫防控项目、出生缺陷防控、早产儿感染与呼吸疾病、预防艾滋病、梅毒和乙肝母婴传播项目培训、手足口病规范诊疗班等，同时要求外出学习者回院后1周内对全院或科室医务人员进行授课，年度开展业务学习12期，提高全院医务人员服务技能。</w:t>
      </w:r>
    </w:p>
    <w:p w14:paraId="31F03F8F">
      <w:pPr>
        <w:jc w:val="right"/>
        <w:rPr>
          <w:rFonts w:hint="eastAsia" w:hAnsi="宋体" w:cs="宋体"/>
          <w:highlight w:val="none"/>
        </w:rPr>
      </w:pPr>
      <w:r>
        <w:rPr>
          <w:rFonts w:hint="eastAsia" w:hAnsi="宋体" w:cs="宋体"/>
          <w:highlight w:val="none"/>
        </w:rPr>
        <w:t>（何青竹）</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32F5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5E58A16">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0760"/>
                  <wp:effectExtent l="0" t="0" r="8890" b="15240"/>
                  <wp:docPr id="104" name="图片 269" descr="主题晚会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69" descr="主题晚会37"/>
                          <pic:cNvPicPr>
                            <a:picLocks noChangeAspect="1"/>
                          </pic:cNvPicPr>
                        </pic:nvPicPr>
                        <pic:blipFill>
                          <a:blip r:embed="rId109"/>
                          <a:stretch>
                            <a:fillRect/>
                          </a:stretch>
                        </pic:blipFill>
                        <pic:spPr>
                          <a:xfrm>
                            <a:off x="0" y="0"/>
                            <a:ext cx="3420110" cy="2270760"/>
                          </a:xfrm>
                          <a:prstGeom prst="rect">
                            <a:avLst/>
                          </a:prstGeom>
                          <a:noFill/>
                          <a:ln>
                            <a:noFill/>
                          </a:ln>
                        </pic:spPr>
                      </pic:pic>
                    </a:graphicData>
                  </a:graphic>
                </wp:inline>
              </w:drawing>
            </w:r>
          </w:p>
        </w:tc>
      </w:tr>
      <w:tr w14:paraId="66BE9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1C89CA6">
            <w:pPr>
              <w:jc w:val="center"/>
              <w:rPr>
                <w:rFonts w:hint="eastAsia" w:hAnsi="宋体" w:cs="宋体"/>
                <w:highlight w:val="none"/>
                <w:vertAlign w:val="baseline"/>
              </w:rPr>
            </w:pPr>
            <w:r>
              <w:rPr>
                <w:rFonts w:hint="eastAsia" w:hAnsi="宋体" w:cs="宋体"/>
                <w:highlight w:val="none"/>
                <w:vertAlign w:val="baseline"/>
              </w:rPr>
              <w:t>市妇幼保健院“双学双比”主题晚会</w:t>
            </w:r>
          </w:p>
        </w:tc>
      </w:tr>
    </w:tbl>
    <w:p w14:paraId="6681E5E0">
      <w:pPr>
        <w:rPr>
          <w:rFonts w:hint="eastAsia" w:hAnsi="宋体" w:eastAsia="宋体" w:cs="宋体"/>
          <w:highlight w:val="none"/>
          <w:lang w:eastAsia="zh-CN"/>
        </w:rPr>
      </w:pPr>
      <w:r>
        <w:rPr>
          <w:rFonts w:hint="eastAsia" w:hAnsi="宋体" w:cs="宋体"/>
          <w:highlight w:val="none"/>
        </w:rPr>
        <w:t>附：2015年市妇幼保健计划生育服务院领导班子成员名单</w:t>
      </w:r>
    </w:p>
    <w:p w14:paraId="2EEC8133">
      <w:pPr>
        <w:rPr>
          <w:rFonts w:hint="eastAsia" w:hAnsi="宋体" w:eastAsia="宋体" w:cs="宋体"/>
          <w:highlight w:val="none"/>
          <w:lang w:eastAsia="zh-CN"/>
        </w:rPr>
      </w:pPr>
      <w:r>
        <w:rPr>
          <w:rFonts w:hint="eastAsia" w:hAnsi="宋体" w:cs="宋体"/>
          <w:highlight w:val="none"/>
        </w:rPr>
        <w:t>党支部书记、院长：徐永宁</w:t>
      </w:r>
    </w:p>
    <w:p w14:paraId="18F15207">
      <w:pPr>
        <w:rPr>
          <w:rFonts w:hint="eastAsia" w:hAnsi="宋体" w:cs="宋体"/>
          <w:highlight w:val="none"/>
        </w:rPr>
      </w:pPr>
      <w:r>
        <w:rPr>
          <w:rFonts w:hint="eastAsia" w:hAnsi="宋体" w:cs="宋体"/>
          <w:highlight w:val="none"/>
        </w:rPr>
        <w:t>副院长：汪忠权 何海芳 龙晓萍张春亮</w:t>
      </w:r>
    </w:p>
    <w:p w14:paraId="08325357">
      <w:pPr>
        <w:pStyle w:val="4"/>
        <w:bidi w:val="0"/>
        <w:rPr>
          <w:rFonts w:hint="eastAsia"/>
          <w:highlight w:val="none"/>
        </w:rPr>
      </w:pPr>
      <w:r>
        <w:rPr>
          <w:rFonts w:hint="eastAsia"/>
          <w:highlight w:val="none"/>
        </w:rPr>
        <w:t>【南雄市疾病预防控制中心】</w:t>
      </w:r>
    </w:p>
    <w:p w14:paraId="1D6DFCED">
      <w:pPr>
        <w:rPr>
          <w:rFonts w:hint="eastAsia" w:hAnsi="宋体" w:cs="宋体"/>
          <w:highlight w:val="none"/>
        </w:rPr>
      </w:pPr>
      <w:r>
        <w:rPr>
          <w:rFonts w:hint="eastAsia" w:hAnsi="宋体" w:cs="宋体"/>
          <w:highlight w:val="none"/>
        </w:rPr>
        <w:t>南雄市疾病预防控制中心是政府实施疾病预防控制、公共卫生技术管理与服务的副科级公益一类事业单位。主要负责全市传染病、慢性非传染性疾病、寄生虫病、地方病等疾病预防与控制，免疫规划实施，突发公共卫生事件应急处置，疫情报告及健康危害因素监测与干预，健康教育与健康促进，实验室检测等技术管理与应用研究指导。同时承担着全市基本公共卫生服务疾控项目以及重大公共卫生服务项目和国家、省指令性监测任务。</w:t>
      </w:r>
    </w:p>
    <w:p w14:paraId="68FB38BB">
      <w:pPr>
        <w:rPr>
          <w:rFonts w:hint="eastAsia" w:hAnsi="宋体" w:cs="宋体"/>
          <w:highlight w:val="none"/>
        </w:rPr>
      </w:pPr>
      <w:r>
        <w:rPr>
          <w:rFonts w:hint="eastAsia" w:hAnsi="宋体" w:cs="宋体"/>
          <w:highlight w:val="none"/>
        </w:rPr>
        <w:t>中心地处雄州街道环城东路80号，占地面积1010平方米，建筑面积4280平方米。设办公室、行政管理科、财务科、传染病防治科、慢性非传染性疾病防治科、免疫规划管理科、健康教育所、公共卫生科、检验科、质量管理科、体检科、接种门诊等12个科（所）。2015年末在职在编49人，其中专业技术人员42人（副高职称1人，中级职称19人，初级22人）。</w:t>
      </w:r>
    </w:p>
    <w:p w14:paraId="73790F41">
      <w:pPr>
        <w:rPr>
          <w:rFonts w:hint="eastAsia" w:hAnsi="宋体" w:cs="宋体"/>
          <w:highlight w:val="none"/>
        </w:rPr>
      </w:pPr>
      <w:r>
        <w:rPr>
          <w:rFonts w:hint="eastAsia" w:hAnsi="宋体" w:cs="宋体"/>
          <w:highlight w:val="none"/>
        </w:rPr>
        <w:t>2015年，按国家、省、市部署做好生活饮用水、碘盐、食品安全风险监测，乙肝流行病学、慢病与营养监测流行病学、居民健康素养与烟草流行等专项监测和调查；参与南雄市巩固省卫生城市复审迎检工作，开展控烟、“四害”密度监测和健康教育技术指导，做好传染病防控、地方病防治、生活饮用水监测等资料收集整理；购置安装高千伏X射线摄片机，规范X光室防辐射建设，提高劳动者尘肺病诊查能力；深入推进健康教育进校园活动，向师生倡导健康生活方式，开展控烟、安全教育、青少年艾滋病防治、合理膳食等宣传；指导基层基本公共卫生服务疾控项目的实施，开展季度督导检查和举办项目培训。2015年，中心顺利通过省实验室资质认定和食品检验机构资质认定复查/扩项现场评审、省级消除疟疾工作考核和市级碘缺乏病防治“十二五”规划终期考评，荣获“全国疾病预防控制工作先进集体”“全国脑血管病流行病学专项调查先进集体”和“韶关市2015年度疾病预防控制工作先进单位”等称号。（王海涛）</w:t>
      </w:r>
    </w:p>
    <w:p w14:paraId="05D482DE">
      <w:pPr>
        <w:rPr>
          <w:rFonts w:hint="eastAsia" w:hAnsi="宋体" w:eastAsia="宋体" w:cs="宋体"/>
          <w:b w:val="0"/>
          <w:bCs w:val="0"/>
          <w:highlight w:val="none"/>
          <w:lang w:eastAsia="zh-CN"/>
        </w:rPr>
      </w:pPr>
      <w:r>
        <w:rPr>
          <w:rFonts w:hint="eastAsia" w:hAnsi="宋体" w:cs="宋体"/>
          <w:b w:val="0"/>
          <w:bCs w:val="0"/>
          <w:highlight w:val="none"/>
        </w:rPr>
        <w:t>附：2015年市疾病预防控制中心领导班子成员名单</w:t>
      </w:r>
    </w:p>
    <w:p w14:paraId="5F645F91">
      <w:pPr>
        <w:rPr>
          <w:rFonts w:hint="eastAsia" w:hAnsi="宋体" w:eastAsia="宋体" w:cs="宋体"/>
          <w:highlight w:val="none"/>
          <w:lang w:eastAsia="zh-CN"/>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任：易</w:t>
      </w:r>
      <w:r>
        <w:rPr>
          <w:rFonts w:hint="eastAsia" w:hAnsi="宋体" w:cs="宋体"/>
          <w:highlight w:val="none"/>
        </w:rPr>
        <w:t>艳辉</w:t>
      </w:r>
    </w:p>
    <w:p w14:paraId="268AC452">
      <w:pPr>
        <w:rPr>
          <w:rFonts w:hint="eastAsia" w:hAnsi="宋体" w:eastAsia="宋体" w:cs="宋体"/>
          <w:highlight w:val="none"/>
          <w:lang w:eastAsia="zh-CN"/>
        </w:rPr>
      </w:pPr>
      <w:r>
        <w:rPr>
          <w:rFonts w:hint="eastAsia" w:hAnsi="宋体" w:cs="宋体"/>
          <w:highlight w:val="none"/>
        </w:rPr>
        <w:t>副主任：陈日新 邬香华 王海涛</w:t>
      </w:r>
    </w:p>
    <w:p w14:paraId="46EBE320">
      <w:pPr>
        <w:rPr>
          <w:rFonts w:hint="eastAsia" w:hAnsi="宋体" w:cs="宋体"/>
          <w:highlight w:val="none"/>
        </w:rPr>
      </w:pPr>
      <w:r>
        <w:rPr>
          <w:rFonts w:hint="eastAsia" w:hAnsi="宋体" w:cs="宋体"/>
          <w:highlight w:val="none"/>
        </w:rPr>
        <w:t>工会主席：彭庆育</w:t>
      </w:r>
    </w:p>
    <w:p w14:paraId="1A6AECDB">
      <w:pPr>
        <w:pStyle w:val="4"/>
        <w:bidi w:val="0"/>
        <w:rPr>
          <w:rFonts w:hint="eastAsia"/>
          <w:highlight w:val="none"/>
        </w:rPr>
      </w:pPr>
      <w:r>
        <w:rPr>
          <w:rFonts w:hint="eastAsia"/>
          <w:highlight w:val="none"/>
        </w:rPr>
        <w:t>【南雄市慢性病防治站】</w:t>
      </w:r>
    </w:p>
    <w:p w14:paraId="37E85B96">
      <w:pPr>
        <w:rPr>
          <w:rFonts w:hint="eastAsia" w:hAnsi="宋体" w:cs="宋体"/>
          <w:highlight w:val="none"/>
        </w:rPr>
      </w:pPr>
      <w:r>
        <w:rPr>
          <w:rFonts w:hint="eastAsia" w:hAnsi="宋体" w:cs="宋体"/>
          <w:highlight w:val="none"/>
        </w:rPr>
        <w:t>南雄市慢性病防治站于1976年6月成立，当时办公室设在县防疫站，主要从事麻风病防治工作。1978年1月站址迁至雄东路119号。1981年增设皮肤病专科门诊部。1993年8月，结核病防控由该站负责运作和管理，同年原小岭医院合并到市慢病站，2000年按照上级要求，将原小岭医院治愈后残老麻风病人全部迁移到韶关枫湾医院。2008年开设住院部。2009年承担国家九大公共卫生服务项目之重性精神疾病防治工作。2010年5月16日，市慢病站升格为副科级事业单位。</w:t>
      </w:r>
    </w:p>
    <w:p w14:paraId="2D28F70B">
      <w:pPr>
        <w:rPr>
          <w:rFonts w:hint="eastAsia" w:hAnsi="宋体" w:cs="宋体"/>
          <w:highlight w:val="none"/>
        </w:rPr>
      </w:pPr>
      <w:r>
        <w:rPr>
          <w:rFonts w:hint="eastAsia" w:hAnsi="宋体" w:cs="宋体"/>
          <w:highlight w:val="none"/>
        </w:rPr>
        <w:t>单位业务用房近2500平方米，设有门诊部、住院部、化验室、功能科和防治科等业务科室，全站在职正式工29人、其中专业技术人员有25人，（其中：中级职称7人，初级职称18人）。</w:t>
      </w:r>
    </w:p>
    <w:p w14:paraId="4B2F4F8E">
      <w:pPr>
        <w:rPr>
          <w:rFonts w:hint="eastAsia" w:hAnsi="宋体" w:cs="宋体"/>
          <w:highlight w:val="none"/>
        </w:rPr>
      </w:pPr>
      <w:r>
        <w:rPr>
          <w:rFonts w:hint="eastAsia" w:hAnsi="宋体" w:cs="宋体"/>
          <w:highlight w:val="none"/>
        </w:rPr>
        <w:t>南雄市慢性病防治站主要承担全市结核病防控、麻风病防治、重性精神疾病防治以及皮肤性病等慢性病的防治工作。2015年接诊门诊病人17634人次，收治住院病人1129人次。</w:t>
      </w:r>
    </w:p>
    <w:p w14:paraId="3037772C">
      <w:pPr>
        <w:rPr>
          <w:rFonts w:hint="eastAsia" w:hAnsi="宋体" w:cs="宋体"/>
          <w:highlight w:val="none"/>
        </w:rPr>
      </w:pPr>
      <w:r>
        <w:rPr>
          <w:rFonts w:hint="eastAsia" w:hAnsi="宋体" w:cs="宋体"/>
          <w:highlight w:val="none"/>
        </w:rPr>
        <w:t>2015年南雄市慢性病防治站荣获全国麻风病防治管理信息系统工作先进集体、广东省麻风病防治先进单位、广东省严重精神管理治疗工作优秀县、韶关市慢性病防治工作先进单位、结核病防治规划工作先进单位、性病麻风病防治工作先进单位、严重精神障碍疾病管治工作优秀单位等荣誉称号。2015年南雄市慢性病防治站举办6期分别以院长、分管副院长、防保组长、临床医生，慢病防治人员、精防人员和乡村医生共同参加的培训学习班，443人次。</w:t>
      </w:r>
    </w:p>
    <w:p w14:paraId="1E9E7BD1">
      <w:pPr>
        <w:jc w:val="right"/>
        <w:rPr>
          <w:rFonts w:hint="eastAsia" w:hAnsi="宋体" w:eastAsia="宋体" w:cs="宋体"/>
          <w:highlight w:val="none"/>
          <w:lang w:eastAsia="zh-CN"/>
        </w:rPr>
      </w:pPr>
      <w:r>
        <w:rPr>
          <w:rFonts w:hint="eastAsia" w:hAnsi="宋体" w:cs="宋体"/>
          <w:highlight w:val="none"/>
          <w:lang w:eastAsia="zh-CN"/>
        </w:rPr>
        <w:t>（</w:t>
      </w:r>
      <w:r>
        <w:rPr>
          <w:rFonts w:hint="eastAsia" w:hAnsi="宋体" w:cs="宋体"/>
          <w:highlight w:val="none"/>
        </w:rPr>
        <w:t>王建宇）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716B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FC95FE6">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13305"/>
                  <wp:effectExtent l="0" t="0" r="8890" b="10795"/>
                  <wp:docPr id="105" name="图片 272" descr="先进集体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72" descr="先进集体38"/>
                          <pic:cNvPicPr>
                            <a:picLocks noChangeAspect="1"/>
                          </pic:cNvPicPr>
                        </pic:nvPicPr>
                        <pic:blipFill>
                          <a:blip r:embed="rId110"/>
                          <a:stretch>
                            <a:fillRect/>
                          </a:stretch>
                        </pic:blipFill>
                        <pic:spPr>
                          <a:xfrm>
                            <a:off x="0" y="0"/>
                            <a:ext cx="3420110" cy="2313305"/>
                          </a:xfrm>
                          <a:prstGeom prst="rect">
                            <a:avLst/>
                          </a:prstGeom>
                          <a:noFill/>
                          <a:ln>
                            <a:noFill/>
                          </a:ln>
                        </pic:spPr>
                      </pic:pic>
                    </a:graphicData>
                  </a:graphic>
                </wp:inline>
              </w:drawing>
            </w:r>
          </w:p>
        </w:tc>
      </w:tr>
      <w:tr w14:paraId="7AC5C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646710A">
            <w:pPr>
              <w:jc w:val="center"/>
              <w:rPr>
                <w:rFonts w:hint="eastAsia" w:hAnsi="宋体" w:cs="宋体"/>
                <w:highlight w:val="none"/>
                <w:vertAlign w:val="baseline"/>
              </w:rPr>
            </w:pPr>
            <w:r>
              <w:rPr>
                <w:rFonts w:hint="eastAsia" w:hAnsi="宋体" w:cs="宋体"/>
                <w:highlight w:val="none"/>
                <w:vertAlign w:val="baseline"/>
              </w:rPr>
              <w:t>慢性病防治站被授予“先进集体”奖牌</w:t>
            </w:r>
          </w:p>
        </w:tc>
      </w:tr>
    </w:tbl>
    <w:p w14:paraId="0902D914">
      <w:pPr>
        <w:rPr>
          <w:rFonts w:hint="eastAsia" w:hAnsi="宋体" w:eastAsia="宋体" w:cs="宋体"/>
          <w:b w:val="0"/>
          <w:bCs w:val="0"/>
          <w:highlight w:val="none"/>
          <w:lang w:eastAsia="zh-CN"/>
        </w:rPr>
      </w:pPr>
      <w:r>
        <w:rPr>
          <w:rFonts w:hint="eastAsia" w:hAnsi="宋体" w:cs="宋体"/>
          <w:b w:val="0"/>
          <w:bCs w:val="0"/>
          <w:highlight w:val="none"/>
        </w:rPr>
        <w:t>附：2015年市慢性病防治站领导班子成员名单</w:t>
      </w:r>
    </w:p>
    <w:p w14:paraId="6EA07591">
      <w:pPr>
        <w:rPr>
          <w:rFonts w:hint="eastAsia" w:hAnsi="宋体" w:eastAsia="宋体" w:cs="宋体"/>
          <w:b w:val="0"/>
          <w:bCs w:val="0"/>
          <w:highlight w:val="none"/>
          <w:lang w:eastAsia="zh-CN"/>
        </w:rPr>
      </w:pPr>
      <w:r>
        <w:rPr>
          <w:rFonts w:hint="eastAsia" w:hAnsi="宋体" w:cs="宋体"/>
          <w:b w:val="0"/>
          <w:bCs w:val="0"/>
          <w:highlight w:val="none"/>
        </w:rPr>
        <w:t>站</w:t>
      </w:r>
      <w:r>
        <w:rPr>
          <w:rFonts w:hint="eastAsia" w:hAnsi="宋体" w:cs="宋体"/>
          <w:b w:val="0"/>
          <w:bCs w:val="0"/>
          <w:highlight w:val="none"/>
          <w:lang w:val="en-US" w:eastAsia="zh-CN"/>
        </w:rPr>
        <w:t xml:space="preserve">  </w:t>
      </w:r>
      <w:r>
        <w:rPr>
          <w:rFonts w:hint="eastAsia" w:hAnsi="宋体" w:cs="宋体"/>
          <w:b w:val="0"/>
          <w:bCs w:val="0"/>
          <w:highlight w:val="none"/>
        </w:rPr>
        <w:t>长：张明峰</w:t>
      </w:r>
    </w:p>
    <w:p w14:paraId="75BD89CA">
      <w:pPr>
        <w:rPr>
          <w:rFonts w:hint="eastAsia" w:hAnsi="宋体" w:cs="宋体"/>
          <w:b w:val="0"/>
          <w:bCs w:val="0"/>
          <w:highlight w:val="none"/>
        </w:rPr>
      </w:pPr>
      <w:r>
        <w:rPr>
          <w:rFonts w:hint="eastAsia" w:hAnsi="宋体" w:cs="宋体"/>
          <w:b w:val="0"/>
          <w:bCs w:val="0"/>
          <w:highlight w:val="none"/>
        </w:rPr>
        <w:t>副站长：王拨雄 傅赣明 谢</w:t>
      </w:r>
      <w:r>
        <w:rPr>
          <w:rFonts w:hint="eastAsia" w:hAnsi="宋体" w:cs="宋体"/>
          <w:b w:val="0"/>
          <w:bCs w:val="0"/>
          <w:highlight w:val="none"/>
          <w:lang w:val="en-US" w:eastAsia="zh-CN"/>
        </w:rPr>
        <w:t xml:space="preserve">  </w:t>
      </w:r>
      <w:r>
        <w:rPr>
          <w:rFonts w:hint="eastAsia" w:hAnsi="宋体" w:cs="宋体"/>
          <w:b w:val="0"/>
          <w:bCs w:val="0"/>
          <w:highlight w:val="none"/>
        </w:rPr>
        <w:t>飞</w:t>
      </w:r>
    </w:p>
    <w:p w14:paraId="0F66299D">
      <w:pPr>
        <w:pStyle w:val="4"/>
        <w:bidi w:val="0"/>
        <w:rPr>
          <w:rFonts w:hint="eastAsia"/>
          <w:highlight w:val="none"/>
        </w:rPr>
      </w:pPr>
      <w:r>
        <w:rPr>
          <w:rFonts w:hint="eastAsia"/>
          <w:highlight w:val="none"/>
        </w:rPr>
        <w:t>【南雄市卫生监督所】</w:t>
      </w:r>
    </w:p>
    <w:p w14:paraId="32F02292">
      <w:pPr>
        <w:rPr>
          <w:rFonts w:hint="eastAsia" w:hAnsi="宋体" w:cs="宋体"/>
          <w:highlight w:val="none"/>
        </w:rPr>
      </w:pPr>
      <w:r>
        <w:rPr>
          <w:rFonts w:hint="eastAsia" w:hAnsi="宋体" w:cs="宋体"/>
          <w:highlight w:val="none"/>
        </w:rPr>
        <w:t>南雄市卫生监督所是经市编委批准，是在撤销原南雄市卫生防疫站的基础上新组建而成的依照公务员管理事业单位，是南雄市卫生和计划生育局下属的执法机构。于2002年12月28日挂牌成立</w:t>
      </w:r>
      <w:r>
        <w:rPr>
          <w:rFonts w:hint="eastAsia" w:hAnsi="宋体" w:cs="宋体"/>
          <w:highlight w:val="none"/>
          <w:lang w:eastAsia="zh-CN"/>
        </w:rPr>
        <w:t>，</w:t>
      </w:r>
      <w:r>
        <w:rPr>
          <w:rFonts w:hint="eastAsia" w:hAnsi="宋体" w:cs="宋体"/>
          <w:highlight w:val="none"/>
        </w:rPr>
        <w:t>2003年7月1日独立办公。现办公地址在新城浈江路68号。主要工作职责：公共场所卫生、学校卫生、生活饮用水卫生、医疗机构、采供血机构监督和传染病防治、职业卫生和放射诊疗机构监督，实施卫生行政许可、预防性卫生监督工作、重大活动公共卫生保障等涉及人民群众公众健康安全各项卫生监督工作。现有在编人员16人（编制30人），其中卫生监督员11人；车辆2辆。下设办公室、受理办证科、医疗机构监督科、公共卫生监督科、稽查科5个科室。</w:t>
      </w:r>
    </w:p>
    <w:p w14:paraId="773DF16F">
      <w:pPr>
        <w:rPr>
          <w:rFonts w:hint="eastAsia" w:hAnsi="宋体" w:cs="宋体"/>
          <w:highlight w:val="none"/>
        </w:rPr>
      </w:pPr>
      <w:r>
        <w:rPr>
          <w:rFonts w:hint="eastAsia" w:hAnsi="宋体" w:cs="宋体"/>
          <w:highlight w:val="none"/>
        </w:rPr>
        <w:t>2015年，市卫生监督所以强化能力建设为基础，以“文明执法，诚实服务，为民办事”为卫生监督工作出发点和落脚点，以“管理上层次，服务上水平，工作创一流”为目标。2015年，市卫生监督所出动卫生监督员1726人次，检查各类监管对象687户次，查处无证经营单位8户，新办理各类许可证户数92户，做出行政处罚14宗，结案罚款2.15万元。</w:t>
      </w:r>
    </w:p>
    <w:p w14:paraId="627B8096">
      <w:pPr>
        <w:rPr>
          <w:rFonts w:hint="eastAsia" w:hAnsi="宋体" w:cs="宋体"/>
          <w:highlight w:val="none"/>
        </w:rPr>
      </w:pPr>
      <w:r>
        <w:rPr>
          <w:rFonts w:hint="eastAsia" w:hAnsi="宋体" w:cs="宋体"/>
          <w:b/>
          <w:bCs/>
          <w:highlight w:val="none"/>
        </w:rPr>
        <w:t>巩固省级卫</w:t>
      </w:r>
      <w:r>
        <w:rPr>
          <w:rFonts w:hint="eastAsia" w:hAnsi="宋体" w:cs="宋体"/>
          <w:b/>
          <w:highlight w:val="none"/>
        </w:rPr>
        <w:t>生城市</w:t>
      </w:r>
      <w:r>
        <w:rPr>
          <w:rFonts w:hint="eastAsia" w:hAnsi="宋体" w:cs="宋体"/>
          <w:b/>
          <w:highlight w:val="none"/>
          <w:lang w:val="en-US" w:eastAsia="zh-CN"/>
        </w:rPr>
        <w:t xml:space="preserve">  </w:t>
      </w:r>
      <w:r>
        <w:rPr>
          <w:rFonts w:hint="eastAsia" w:hAnsi="宋体" w:cs="宋体"/>
          <w:highlight w:val="none"/>
        </w:rPr>
        <w:t>2015年，卫生监督所对小街小巷的小旅业、小发廊进行卫生整治。要求小旅业洗消间、布草间必须配备完善。出动监督员330人次，监督车辆93车次，办理许可证23间，顺利通过省卫生城市复检。</w:t>
      </w:r>
    </w:p>
    <w:p w14:paraId="7CDB05D1">
      <w:pPr>
        <w:rPr>
          <w:rFonts w:hint="eastAsia" w:hAnsi="宋体" w:cs="宋体"/>
          <w:highlight w:val="none"/>
        </w:rPr>
      </w:pPr>
      <w:r>
        <w:rPr>
          <w:rFonts w:hint="eastAsia" w:hAnsi="宋体" w:cs="宋体"/>
          <w:b/>
          <w:bCs/>
          <w:highlight w:val="none"/>
        </w:rPr>
        <w:t>公共场所卫生监</w:t>
      </w:r>
      <w:r>
        <w:rPr>
          <w:rFonts w:hint="eastAsia" w:hAnsi="宋体" w:cs="宋体"/>
          <w:b/>
          <w:highlight w:val="none"/>
        </w:rPr>
        <w:t>督管理</w:t>
      </w:r>
      <w:r>
        <w:rPr>
          <w:rFonts w:hint="eastAsia" w:hAnsi="宋体" w:cs="宋体"/>
          <w:b/>
          <w:highlight w:val="none"/>
          <w:lang w:val="en-US" w:eastAsia="zh-CN"/>
        </w:rPr>
        <w:t xml:space="preserve">  </w:t>
      </w:r>
      <w:r>
        <w:rPr>
          <w:rFonts w:hint="eastAsia" w:hAnsi="宋体" w:cs="宋体"/>
          <w:highlight w:val="none"/>
        </w:rPr>
        <w:t>2015年，卫生监督所办理“公共场所卫生许可证”（含新办、延续）99户；继续推行公共场所卫生监督量化分级管理。对纳入卫生监督量化分级管理的单位，进行一次复核，实行动态管理。监督检查公共场所经营户220户次，其中住宿场所70户次，游泳场所4户次，美容美发场所133户次，洗浴场所11户次，大型商场2户次。出动卫生监督员330人次。制作“现场笔录”205份，下达“卫生监督意见书”205份，并对5家公共场所进行处罚。</w:t>
      </w:r>
    </w:p>
    <w:p w14:paraId="5EA0A868">
      <w:pPr>
        <w:rPr>
          <w:rFonts w:hint="eastAsia" w:hAnsi="宋体" w:cs="宋体"/>
          <w:highlight w:val="none"/>
        </w:rPr>
      </w:pPr>
      <w:r>
        <w:rPr>
          <w:rFonts w:hint="eastAsia" w:hAnsi="宋体" w:cs="宋体"/>
          <w:b/>
          <w:bCs/>
          <w:highlight w:val="none"/>
        </w:rPr>
        <w:t>学校卫生</w:t>
      </w:r>
      <w:r>
        <w:rPr>
          <w:rFonts w:hint="eastAsia" w:hAnsi="宋体" w:cs="宋体"/>
          <w:b/>
          <w:highlight w:val="none"/>
        </w:rPr>
        <w:t>监督管理</w:t>
      </w:r>
      <w:r>
        <w:rPr>
          <w:rFonts w:hint="eastAsia" w:hAnsi="宋体" w:cs="宋体"/>
          <w:b/>
          <w:highlight w:val="none"/>
          <w:lang w:val="en-US" w:eastAsia="zh-CN"/>
        </w:rPr>
        <w:t xml:space="preserve">  </w:t>
      </w:r>
      <w:r>
        <w:rPr>
          <w:rFonts w:hint="eastAsia" w:hAnsi="宋体" w:cs="宋体"/>
          <w:highlight w:val="none"/>
        </w:rPr>
        <w:t>2015年组织开展以传染病防控、生活饮用水卫生等为重点的监督检查。检查学校35所，含市区9所学校及镇所有初级中学、中心小学。制作“现场笔录”70份，下达“卫生监督意见书”70份。已对36所学校建立与完善案档。</w:t>
      </w:r>
    </w:p>
    <w:p w14:paraId="69D4B1F0">
      <w:pPr>
        <w:rPr>
          <w:rFonts w:hint="eastAsia" w:hAnsi="宋体" w:cs="宋体"/>
          <w:highlight w:val="none"/>
        </w:rPr>
      </w:pPr>
      <w:r>
        <w:rPr>
          <w:rFonts w:hint="eastAsia" w:hAnsi="宋体" w:cs="宋体"/>
          <w:b/>
          <w:bCs/>
          <w:highlight w:val="none"/>
        </w:rPr>
        <w:t>医疗机构</w:t>
      </w:r>
      <w:r>
        <w:rPr>
          <w:rFonts w:hint="eastAsia" w:hAnsi="宋体" w:cs="宋体"/>
          <w:b/>
          <w:highlight w:val="none"/>
        </w:rPr>
        <w:t>监督管理</w:t>
      </w:r>
      <w:r>
        <w:rPr>
          <w:rFonts w:hint="eastAsia" w:hAnsi="宋体" w:cs="宋体"/>
          <w:b/>
          <w:highlight w:val="none"/>
          <w:lang w:val="en-US" w:eastAsia="zh-CN"/>
        </w:rPr>
        <w:t xml:space="preserve">  </w:t>
      </w:r>
      <w:r>
        <w:rPr>
          <w:rFonts w:hint="eastAsia" w:hAnsi="宋体" w:cs="宋体"/>
          <w:highlight w:val="none"/>
        </w:rPr>
        <w:t>2015年对违反相关规定超出执业许可登记范围6家村卫生站进行行政处罚，罚款人民币8500元。对新增2间村卫生站及4间私人诊所按相关规定予以受理。</w:t>
      </w:r>
    </w:p>
    <w:p w14:paraId="11C98DCE">
      <w:pPr>
        <w:rPr>
          <w:rFonts w:hint="eastAsia" w:hAnsi="宋体" w:cs="宋体"/>
          <w:highlight w:val="none"/>
        </w:rPr>
      </w:pPr>
      <w:r>
        <w:rPr>
          <w:rFonts w:hint="eastAsia" w:hAnsi="宋体" w:cs="宋体"/>
          <w:b/>
          <w:bCs/>
          <w:highlight w:val="none"/>
        </w:rPr>
        <w:t>放射卫生监</w:t>
      </w:r>
      <w:r>
        <w:rPr>
          <w:rFonts w:hint="eastAsia" w:hAnsi="宋体" w:cs="宋体"/>
          <w:b/>
          <w:highlight w:val="none"/>
        </w:rPr>
        <w:t>督管理</w:t>
      </w:r>
      <w:r>
        <w:rPr>
          <w:rFonts w:hint="eastAsia" w:hAnsi="宋体" w:cs="宋体"/>
          <w:b/>
          <w:highlight w:val="none"/>
          <w:lang w:val="en-US" w:eastAsia="zh-CN"/>
        </w:rPr>
        <w:t xml:space="preserve">  </w:t>
      </w:r>
      <w:r>
        <w:rPr>
          <w:rFonts w:hint="eastAsia" w:hAnsi="宋体" w:cs="宋体"/>
          <w:highlight w:val="none"/>
        </w:rPr>
        <w:t>2015年，检测19家（市人民医院另请检测机构进行检测；2家乡镇卫生院的机器故障；3家乡镇卫生院机房、疾病预防控制中心机房正在装修中）。对检查中发现存在机房警示标志设置不规范、防护用品配备不齐全、机房辐射屏蔽防护指标及性能指标不达标等问题的放射诊断机构，所卫生监督员下发整改意见书。</w:t>
      </w:r>
    </w:p>
    <w:p w14:paraId="188844F3">
      <w:pPr>
        <w:rPr>
          <w:rFonts w:hint="eastAsia" w:hAnsi="宋体" w:cs="宋体"/>
          <w:highlight w:val="none"/>
        </w:rPr>
      </w:pPr>
      <w:r>
        <w:rPr>
          <w:rFonts w:hint="eastAsia" w:hAnsi="宋体" w:cs="宋体"/>
          <w:b/>
          <w:bCs/>
          <w:highlight w:val="none"/>
        </w:rPr>
        <w:t>母婴保健技术服务监</w:t>
      </w:r>
      <w:r>
        <w:rPr>
          <w:rFonts w:hint="eastAsia" w:hAnsi="宋体" w:cs="宋体"/>
          <w:b/>
          <w:highlight w:val="none"/>
        </w:rPr>
        <w:t>督管理</w:t>
      </w:r>
      <w:r>
        <w:rPr>
          <w:rFonts w:hint="eastAsia" w:hAnsi="宋体" w:cs="宋体"/>
          <w:b/>
          <w:highlight w:val="none"/>
          <w:lang w:val="en-US" w:eastAsia="zh-CN"/>
        </w:rPr>
        <w:t xml:space="preserve">  </w:t>
      </w:r>
      <w:r>
        <w:rPr>
          <w:rFonts w:hint="eastAsia" w:hAnsi="宋体" w:cs="宋体"/>
          <w:highlight w:val="none"/>
        </w:rPr>
        <w:t>2015年对22间医疗机构开展母婴保健技术服务，现已全部取得“母婴保健技术服务执业许可证”；从事母婴保健技术服务的人员180人，全都取得母婴保健技术考核合格证书（其中临床70人、护理110人），新发证9人。</w:t>
      </w:r>
    </w:p>
    <w:p w14:paraId="0AF68EBA">
      <w:pPr>
        <w:rPr>
          <w:rFonts w:hint="eastAsia" w:hAnsi="宋体" w:cs="宋体"/>
          <w:b w:val="0"/>
          <w:bCs w:val="0"/>
          <w:highlight w:val="none"/>
        </w:rPr>
      </w:pPr>
      <w:r>
        <w:rPr>
          <w:rFonts w:hint="eastAsia" w:hAnsi="宋体" w:cs="宋体"/>
          <w:b/>
          <w:bCs/>
          <w:highlight w:val="none"/>
        </w:rPr>
        <w:t>医疗服务市场</w:t>
      </w:r>
      <w:r>
        <w:rPr>
          <w:rFonts w:hint="eastAsia" w:hAnsi="宋体" w:cs="宋体"/>
          <w:b/>
          <w:highlight w:val="none"/>
        </w:rPr>
        <w:t>监管</w:t>
      </w:r>
      <w:r>
        <w:rPr>
          <w:rFonts w:hint="eastAsia" w:hAnsi="宋体" w:cs="宋体"/>
          <w:b/>
          <w:highlight w:val="none"/>
          <w:lang w:val="en-US" w:eastAsia="zh-CN"/>
        </w:rPr>
        <w:t xml:space="preserve">  </w:t>
      </w:r>
      <w:r>
        <w:rPr>
          <w:rFonts w:hint="eastAsia" w:hAnsi="宋体" w:cs="宋体"/>
          <w:highlight w:val="none"/>
        </w:rPr>
        <w:t>打击“黑诊所”、游医、假医、借助虚假宣传误导和欺骗患者、危害群众身体健康和生命安全非法行医活动。2015年，对3家牙科诊所作出罚款等行政处罚，罚</w:t>
      </w:r>
      <w:r>
        <w:rPr>
          <w:rFonts w:hint="eastAsia" w:hAnsi="宋体" w:cs="宋体"/>
          <w:b w:val="0"/>
          <w:bCs w:val="0"/>
          <w:highlight w:val="none"/>
        </w:rPr>
        <w:t>款人民币1.3万元。（彭志玲）</w:t>
      </w:r>
    </w:p>
    <w:p w14:paraId="6AFD0739">
      <w:pPr>
        <w:rPr>
          <w:rFonts w:hint="eastAsia" w:hAnsi="宋体" w:eastAsia="宋体" w:cs="宋体"/>
          <w:b w:val="0"/>
          <w:bCs w:val="0"/>
          <w:highlight w:val="none"/>
          <w:lang w:eastAsia="zh-CN"/>
        </w:rPr>
      </w:pPr>
      <w:r>
        <w:rPr>
          <w:rFonts w:hint="eastAsia" w:hAnsi="宋体" w:cs="宋体"/>
          <w:b w:val="0"/>
          <w:bCs w:val="0"/>
          <w:highlight w:val="none"/>
        </w:rPr>
        <w:t>附：2015年市卫生监督所领导班子成员名单</w:t>
      </w:r>
    </w:p>
    <w:p w14:paraId="1A8C05D8">
      <w:pPr>
        <w:rPr>
          <w:rFonts w:hint="eastAsia" w:hAnsi="宋体" w:eastAsia="宋体" w:cs="宋体"/>
          <w:b w:val="0"/>
          <w:bCs w:val="0"/>
          <w:highlight w:val="none"/>
          <w:lang w:eastAsia="zh-CN"/>
        </w:rPr>
      </w:pPr>
      <w:r>
        <w:rPr>
          <w:rFonts w:hint="eastAsia" w:hAnsi="宋体" w:cs="宋体"/>
          <w:b w:val="0"/>
          <w:bCs w:val="0"/>
          <w:highlight w:val="none"/>
        </w:rPr>
        <w:t>所</w:t>
      </w:r>
      <w:r>
        <w:rPr>
          <w:rFonts w:hint="eastAsia" w:hAnsi="宋体" w:cs="宋体"/>
          <w:b w:val="0"/>
          <w:bCs w:val="0"/>
          <w:highlight w:val="none"/>
          <w:lang w:val="en-US" w:eastAsia="zh-CN"/>
        </w:rPr>
        <w:t xml:space="preserve">  </w:t>
      </w:r>
      <w:r>
        <w:rPr>
          <w:rFonts w:hint="eastAsia" w:hAnsi="宋体" w:cs="宋体"/>
          <w:b w:val="0"/>
          <w:bCs w:val="0"/>
          <w:highlight w:val="none"/>
        </w:rPr>
        <w:t>长：黄承煌</w:t>
      </w:r>
    </w:p>
    <w:p w14:paraId="7F65001A">
      <w:pPr>
        <w:rPr>
          <w:rFonts w:hint="eastAsia" w:hAnsi="宋体" w:eastAsia="宋体" w:cs="宋体"/>
          <w:highlight w:val="none"/>
          <w:lang w:eastAsia="zh-CN"/>
        </w:rPr>
      </w:pPr>
      <w:r>
        <w:rPr>
          <w:rFonts w:hint="eastAsia" w:hAnsi="宋体" w:cs="宋体"/>
          <w:highlight w:val="none"/>
        </w:rPr>
        <w:t>副所长：潘志明 孔亚军 胡金明</w:t>
      </w:r>
    </w:p>
    <w:p w14:paraId="0186BCE1">
      <w:pPr>
        <w:pStyle w:val="3"/>
        <w:bidi w:val="0"/>
        <w:rPr>
          <w:rFonts w:hint="eastAsia" w:eastAsia="宋体"/>
          <w:highlight w:val="none"/>
          <w:lang w:eastAsia="zh-CN"/>
        </w:rPr>
      </w:pPr>
      <w:r>
        <w:rPr>
          <w:rFonts w:hint="eastAsia"/>
          <w:highlight w:val="none"/>
        </w:rPr>
        <w:t>红十字会工作</w:t>
      </w:r>
    </w:p>
    <w:p w14:paraId="0890FF57">
      <w:pPr>
        <w:pStyle w:val="4"/>
        <w:bidi w:val="0"/>
        <w:rPr>
          <w:rFonts w:hint="eastAsia"/>
          <w:highlight w:val="none"/>
        </w:rPr>
      </w:pPr>
      <w:r>
        <w:rPr>
          <w:rFonts w:hint="eastAsia"/>
          <w:highlight w:val="none"/>
        </w:rPr>
        <w:t>【概况】</w:t>
      </w:r>
    </w:p>
    <w:p w14:paraId="7983E4B9">
      <w:pPr>
        <w:rPr>
          <w:rFonts w:hint="eastAsia" w:hAnsi="宋体" w:cs="宋体"/>
          <w:highlight w:val="none"/>
        </w:rPr>
      </w:pPr>
      <w:r>
        <w:rPr>
          <w:rFonts w:hint="eastAsia" w:hAnsi="宋体" w:cs="宋体"/>
          <w:highlight w:val="none"/>
        </w:rPr>
        <w:t>南雄市红十字会于1992年8月设立机构，2006年3月，南雄市编办核定事业编制2名，由南雄市卫生和局代管。市红十字会秉承人道、博爱、奉献的精神，履行红十字会职责，宣传红十字会精神，加强组织建设，发展红十字会会员，成立志愿者队伍，抓好红十字青少年工作；强化初级卫生救护培训，深入开展救灾、救助、救护工作和推进遗体捐献工作。</w:t>
      </w:r>
    </w:p>
    <w:p w14:paraId="4667F5FD">
      <w:pPr>
        <w:pStyle w:val="4"/>
        <w:bidi w:val="0"/>
        <w:rPr>
          <w:rFonts w:hint="eastAsia"/>
          <w:highlight w:val="none"/>
        </w:rPr>
      </w:pPr>
      <w:r>
        <w:rPr>
          <w:rFonts w:hint="eastAsia"/>
          <w:highlight w:val="none"/>
        </w:rPr>
        <w:t>【开展“春节送温暖”活动】</w:t>
      </w:r>
    </w:p>
    <w:p w14:paraId="5384B4D7">
      <w:pPr>
        <w:rPr>
          <w:rFonts w:hint="eastAsia" w:hAnsi="宋体" w:cs="宋体"/>
          <w:highlight w:val="none"/>
        </w:rPr>
      </w:pPr>
      <w:r>
        <w:rPr>
          <w:rFonts w:hint="eastAsia" w:hAnsi="宋体" w:cs="宋体"/>
          <w:highlight w:val="none"/>
        </w:rPr>
        <w:t>2015年1月29日，省红会党组成员、副巡视员陈泽池，省妇联副主席罗敏一行到南雄市水口、珠玑、江头等镇慰问特困、低保户，对95户家庭发放慰问品。解决特困户实际困难。</w:t>
      </w:r>
    </w:p>
    <w:p w14:paraId="50CF871F">
      <w:pPr>
        <w:pStyle w:val="4"/>
        <w:bidi w:val="0"/>
        <w:rPr>
          <w:rFonts w:hint="eastAsia"/>
          <w:highlight w:val="none"/>
        </w:rPr>
      </w:pPr>
      <w:r>
        <w:rPr>
          <w:rFonts w:hint="eastAsia"/>
          <w:highlight w:val="none"/>
        </w:rPr>
        <w:t>【开展红十字日宣传】</w:t>
      </w:r>
    </w:p>
    <w:p w14:paraId="4DBF6CEA">
      <w:pPr>
        <w:rPr>
          <w:rFonts w:hint="eastAsia" w:hAnsi="宋体" w:cs="宋体"/>
          <w:highlight w:val="none"/>
        </w:rPr>
      </w:pPr>
      <w:r>
        <w:rPr>
          <w:rFonts w:hint="eastAsia" w:hAnsi="宋体" w:cs="宋体"/>
          <w:highlight w:val="none"/>
        </w:rPr>
        <w:t>2015年5月8日，南雄市红十字会在三影塔广场开展世界红十字日宣传咨询活动。活动开展使“人道、博爱、奉献”的红十字精神得到升华，扩大红十字会社会影响。活动发放宣传资料200多份。</w:t>
      </w:r>
    </w:p>
    <w:p w14:paraId="37C4A202">
      <w:pPr>
        <w:pStyle w:val="4"/>
        <w:bidi w:val="0"/>
        <w:rPr>
          <w:rFonts w:hint="eastAsia"/>
          <w:highlight w:val="none"/>
        </w:rPr>
      </w:pPr>
      <w:r>
        <w:rPr>
          <w:rFonts w:hint="eastAsia"/>
          <w:highlight w:val="none"/>
        </w:rPr>
        <w:t>【开展扶贫助医助教工作】</w:t>
      </w:r>
    </w:p>
    <w:p w14:paraId="4727C9DF">
      <w:pPr>
        <w:rPr>
          <w:rFonts w:hint="eastAsia" w:hAnsi="宋体" w:cs="宋体"/>
          <w:highlight w:val="none"/>
        </w:rPr>
      </w:pPr>
      <w:r>
        <w:rPr>
          <w:rFonts w:hint="eastAsia" w:hAnsi="宋体" w:cs="宋体"/>
          <w:highlight w:val="none"/>
        </w:rPr>
        <w:t>援建珠玑镇“红十字博爱卫生站”。改变老少边穷缺医少药、交通不变、看病难困境。省红会投入资金20万元援建珠玑镇“红十字博爱卫生站”（下坋村卫生站）。2015年5月28日珠玑镇下坋村卫生站正式投入使用。（谢红兵）</w:t>
      </w:r>
    </w:p>
    <w:p w14:paraId="736E0DB0">
      <w:pPr>
        <w:rPr>
          <w:rFonts w:hint="eastAsia" w:hAnsi="宋体" w:eastAsia="宋体" w:cs="宋体"/>
          <w:b w:val="0"/>
          <w:bCs w:val="0"/>
          <w:highlight w:val="none"/>
          <w:lang w:eastAsia="zh-CN"/>
        </w:rPr>
      </w:pPr>
      <w:r>
        <w:rPr>
          <w:rFonts w:hint="eastAsia" w:hAnsi="宋体" w:cs="宋体"/>
          <w:highlight w:val="none"/>
        </w:rPr>
        <w:t>附</w:t>
      </w:r>
      <w:r>
        <w:rPr>
          <w:rFonts w:hint="eastAsia" w:hAnsi="宋体" w:cs="宋体"/>
          <w:b w:val="0"/>
          <w:bCs w:val="0"/>
          <w:highlight w:val="none"/>
        </w:rPr>
        <w:t>：2015年市红十字会领导班子成员名单</w:t>
      </w:r>
    </w:p>
    <w:p w14:paraId="48158AC2">
      <w:pPr>
        <w:rPr>
          <w:rFonts w:hint="eastAsia" w:hAnsi="宋体" w:eastAsia="宋体" w:cs="宋体"/>
          <w:b w:val="0"/>
          <w:bCs w:val="0"/>
          <w:highlight w:val="none"/>
          <w:lang w:eastAsia="zh-CN"/>
        </w:rPr>
      </w:pPr>
      <w:r>
        <w:rPr>
          <w:rFonts w:hint="eastAsia" w:hAnsi="宋体" w:cs="宋体"/>
          <w:b w:val="0"/>
          <w:bCs w:val="0"/>
          <w:highlight w:val="none"/>
        </w:rPr>
        <w:t>会</w:t>
      </w:r>
      <w:r>
        <w:rPr>
          <w:rFonts w:hint="eastAsia" w:hAnsi="宋体" w:cs="宋体"/>
          <w:b w:val="0"/>
          <w:bCs w:val="0"/>
          <w:highlight w:val="none"/>
          <w:lang w:val="en-US" w:eastAsia="zh-CN"/>
        </w:rPr>
        <w:t xml:space="preserve">  </w:t>
      </w:r>
      <w:r>
        <w:rPr>
          <w:rFonts w:hint="eastAsia" w:hAnsi="宋体" w:cs="宋体"/>
          <w:b w:val="0"/>
          <w:bCs w:val="0"/>
          <w:highlight w:val="none"/>
        </w:rPr>
        <w:t>长：朱海兵（兼）</w:t>
      </w:r>
    </w:p>
    <w:p w14:paraId="496CCF64">
      <w:pPr>
        <w:rPr>
          <w:rFonts w:hint="eastAsia" w:hAnsi="宋体" w:eastAsia="宋体" w:cs="宋体"/>
          <w:highlight w:val="none"/>
          <w:lang w:eastAsia="zh-CN"/>
        </w:rPr>
      </w:pPr>
      <w:r>
        <w:rPr>
          <w:rFonts w:hint="eastAsia" w:hAnsi="宋体" w:cs="宋体"/>
          <w:b w:val="0"/>
          <w:bCs w:val="0"/>
          <w:highlight w:val="none"/>
        </w:rPr>
        <w:t>常务副会长：邱万茹（</w:t>
      </w:r>
      <w:r>
        <w:rPr>
          <w:rFonts w:hint="eastAsia" w:hAnsi="宋体" w:cs="宋体"/>
          <w:highlight w:val="none"/>
        </w:rPr>
        <w:t>兼）</w:t>
      </w:r>
    </w:p>
    <w:p w14:paraId="09800822">
      <w:pPr>
        <w:rPr>
          <w:rFonts w:hint="eastAsia" w:hAnsi="宋体" w:eastAsia="宋体" w:cs="宋体"/>
          <w:highlight w:val="none"/>
          <w:lang w:eastAsia="zh-CN"/>
        </w:rPr>
      </w:pPr>
      <w:r>
        <w:rPr>
          <w:rFonts w:hint="eastAsia" w:hAnsi="宋体" w:cs="宋体"/>
          <w:highlight w:val="none"/>
        </w:rPr>
        <w:t>办公室主任：谢红兵</w:t>
      </w:r>
    </w:p>
    <w:p w14:paraId="6D63EE53">
      <w:pPr>
        <w:pStyle w:val="3"/>
        <w:bidi w:val="0"/>
        <w:rPr>
          <w:rFonts w:hint="eastAsia" w:eastAsia="宋体"/>
          <w:highlight w:val="none"/>
          <w:lang w:eastAsia="zh-CN"/>
        </w:rPr>
      </w:pPr>
      <w:r>
        <w:rPr>
          <w:rFonts w:hint="eastAsia"/>
          <w:highlight w:val="none"/>
        </w:rPr>
        <w:t>体育</w:t>
      </w:r>
    </w:p>
    <w:p w14:paraId="710C17AB">
      <w:pPr>
        <w:pStyle w:val="4"/>
        <w:bidi w:val="0"/>
        <w:rPr>
          <w:rFonts w:hint="eastAsia"/>
          <w:highlight w:val="none"/>
        </w:rPr>
      </w:pPr>
      <w:r>
        <w:rPr>
          <w:rFonts w:hint="eastAsia"/>
          <w:highlight w:val="none"/>
        </w:rPr>
        <w:t>【概况】</w:t>
      </w:r>
    </w:p>
    <w:p w14:paraId="0AD1BDC6">
      <w:pPr>
        <w:rPr>
          <w:rFonts w:hint="eastAsia" w:hAnsi="宋体" w:cs="宋体"/>
          <w:highlight w:val="none"/>
        </w:rPr>
      </w:pPr>
      <w:r>
        <w:rPr>
          <w:rFonts w:hint="eastAsia" w:hAnsi="宋体" w:cs="宋体"/>
          <w:highlight w:val="none"/>
        </w:rPr>
        <w:t>南雄市体育局，属市人民政府赋予行政管理职能的市政府直属事业单位。局内设办公室、群体股、竞训股；编制6人，在职人员6人。下辖南雄市青少年业余体育学校，编制6人，在职人员12人。体校有国家一级教练1名、二级教练6名，设有田径、举重、武术3个韶关市重点训练项目训练班，并在部分学校设立训练网点。2015年，市体育局开展群众体育、竞技体育和体育产业三项重点工作，取得明显成效。普及开展全民健身运动，全市体育人口48.6%；组队参加广东省第十四届运动会，取得优异成绩；体育产业稳步发展，年销售体育彩票2300万元。</w:t>
      </w:r>
    </w:p>
    <w:p w14:paraId="366EDB2F">
      <w:pPr>
        <w:pStyle w:val="4"/>
        <w:bidi w:val="0"/>
        <w:rPr>
          <w:rFonts w:hint="eastAsia"/>
          <w:highlight w:val="none"/>
        </w:rPr>
      </w:pPr>
      <w:r>
        <w:rPr>
          <w:rFonts w:hint="eastAsia"/>
          <w:highlight w:val="none"/>
        </w:rPr>
        <w:t>【开展群众体育】</w:t>
      </w:r>
    </w:p>
    <w:p w14:paraId="687AF202">
      <w:pPr>
        <w:rPr>
          <w:rFonts w:hint="eastAsia" w:hAnsi="宋体" w:cs="宋体"/>
          <w:highlight w:val="none"/>
        </w:rPr>
      </w:pPr>
      <w:r>
        <w:rPr>
          <w:rFonts w:hint="eastAsia" w:hAnsi="宋体" w:cs="宋体"/>
          <w:highlight w:val="none"/>
        </w:rPr>
        <w:t>2015年，群众体育蓬勃发展，实现“月月有竞赛活动”。4月，举办2015年南雄市“华林杯”乒乓球邀请赛；5月举办2015年南雄和雅羽毛球对抗赛；6月，组织1支队伍参加韶关市龙舟赛；8月，举办体彩大乐透2015年“篮协杯”男子篮球赛以及群众性体育活动；9月，举办南雄市体彩大乐透“中泰华府杯”男子篮球赛和羽毛球赛。着重抓好户外体育运动，打造南雄户外钓鱼品牌。6月至11月举办2015“体彩大乐透”清景时代广场杯钓鱼系列赛（七场赛制），全市百名钓鱼爱好者参加比赛。11月中下旬举办广东省钓鱼联赛和名人堂全国百场赛。各单项体育协会活动普及，群众健身氛围高涨，全市体育人口达到48.6%。</w:t>
      </w:r>
    </w:p>
    <w:p w14:paraId="2A25AACE">
      <w:pPr>
        <w:pStyle w:val="4"/>
        <w:bidi w:val="0"/>
        <w:rPr>
          <w:rFonts w:hint="eastAsia"/>
          <w:highlight w:val="none"/>
        </w:rPr>
      </w:pPr>
      <w:r>
        <w:rPr>
          <w:rFonts w:hint="eastAsia"/>
          <w:highlight w:val="none"/>
        </w:rPr>
        <w:t>【镇级农民体育健身工程】</w:t>
      </w:r>
    </w:p>
    <w:p w14:paraId="78052221">
      <w:pPr>
        <w:rPr>
          <w:rFonts w:hint="eastAsia" w:hAnsi="宋体" w:cs="宋体"/>
          <w:highlight w:val="none"/>
        </w:rPr>
      </w:pPr>
      <w:r>
        <w:rPr>
          <w:rFonts w:hint="eastAsia" w:hAnsi="宋体" w:cs="宋体"/>
          <w:highlight w:val="none"/>
        </w:rPr>
        <w:t>2015年，镇级农民体育健身工程持续进行，在水口、油山、古市和坪田等4个镇开展镇级农民体育健身工程建设，“十二五”期间全面完成17个镇镇级农民体育健身工程建设。</w:t>
      </w:r>
    </w:p>
    <w:p w14:paraId="08EE2827">
      <w:pPr>
        <w:pStyle w:val="4"/>
        <w:bidi w:val="0"/>
        <w:rPr>
          <w:rFonts w:hint="eastAsia"/>
          <w:highlight w:val="none"/>
        </w:rPr>
      </w:pPr>
      <w:r>
        <w:rPr>
          <w:rFonts w:hint="eastAsia"/>
          <w:highlight w:val="none"/>
        </w:rPr>
        <w:t>【体育设施建设】</w:t>
      </w:r>
    </w:p>
    <w:p w14:paraId="5BC37E11">
      <w:pPr>
        <w:rPr>
          <w:rFonts w:hint="eastAsia" w:hAnsi="宋体" w:cs="宋体"/>
          <w:highlight w:val="none"/>
        </w:rPr>
      </w:pPr>
      <w:r>
        <w:rPr>
          <w:rFonts w:hint="eastAsia" w:hAnsi="宋体" w:cs="宋体"/>
          <w:highlight w:val="none"/>
        </w:rPr>
        <w:t>2015年，在全安镇陂头村东江岭建设国家标准钓鱼场“鱼梦钓鱼场”。“鱼梦钓鱼场”建有15米×120米钓混养鱼水池1个，建有12米×80米、12米×100米钓对象鱼水池各1个。</w:t>
      </w:r>
    </w:p>
    <w:p w14:paraId="45640470">
      <w:pPr>
        <w:pStyle w:val="4"/>
        <w:bidi w:val="0"/>
        <w:rPr>
          <w:rFonts w:hint="eastAsia"/>
          <w:highlight w:val="none"/>
        </w:rPr>
      </w:pPr>
      <w:r>
        <w:rPr>
          <w:rFonts w:hint="eastAsia"/>
          <w:highlight w:val="none"/>
        </w:rPr>
        <w:t>【参加广东省第十四届运动会】</w:t>
      </w:r>
    </w:p>
    <w:p w14:paraId="4A1B3871">
      <w:pPr>
        <w:rPr>
          <w:rFonts w:hint="eastAsia" w:hAnsi="宋体" w:cs="宋体"/>
          <w:highlight w:val="none"/>
        </w:rPr>
      </w:pPr>
      <w:r>
        <w:rPr>
          <w:rFonts w:hint="eastAsia" w:hAnsi="宋体" w:cs="宋体"/>
          <w:highlight w:val="none"/>
        </w:rPr>
        <w:t>体育局组织30名运动员参加广东省第十四届运动会，取得优异成绩，获1银、3铜、19个第四至第八名。由南雄市体校输送到广州自行车队运动员，在十四届省运会中，获5枚金牌。其中李嘉成20公里公路自行车第一名；李其莲10公里公路自行车第一名；李嘉成、张腾龙、肖健清团体30公里公路自行车第一名。</w:t>
      </w:r>
    </w:p>
    <w:p w14:paraId="6887AD62">
      <w:pPr>
        <w:pStyle w:val="4"/>
        <w:bidi w:val="0"/>
        <w:rPr>
          <w:rFonts w:hint="eastAsia"/>
          <w:highlight w:val="none"/>
        </w:rPr>
      </w:pPr>
      <w:r>
        <w:rPr>
          <w:rFonts w:hint="eastAsia"/>
          <w:highlight w:val="none"/>
        </w:rPr>
        <w:t>【体育经济持续发展】</w:t>
      </w:r>
    </w:p>
    <w:p w14:paraId="176F8EC5">
      <w:pPr>
        <w:rPr>
          <w:rFonts w:hint="eastAsia" w:hAnsi="宋体" w:cs="宋体"/>
          <w:highlight w:val="none"/>
        </w:rPr>
      </w:pPr>
      <w:r>
        <w:rPr>
          <w:rFonts w:hint="eastAsia" w:hAnsi="宋体" w:cs="宋体"/>
          <w:highlight w:val="none"/>
        </w:rPr>
        <w:t>2015年，体育局开拓市场，增设体彩销售网点，加强网点管理，加大宣传力度，南雄市体育彩票年销售量2300万元。（马平）</w:t>
      </w:r>
    </w:p>
    <w:p w14:paraId="59CDBA2B">
      <w:pPr>
        <w:rPr>
          <w:rFonts w:hint="eastAsia" w:hAnsi="宋体" w:eastAsia="宋体" w:cs="宋体"/>
          <w:b w:val="0"/>
          <w:bCs w:val="0"/>
          <w:highlight w:val="none"/>
          <w:lang w:eastAsia="zh-CN"/>
        </w:rPr>
      </w:pPr>
      <w:r>
        <w:rPr>
          <w:rFonts w:hint="eastAsia" w:hAnsi="宋体" w:cs="宋体"/>
          <w:b w:val="0"/>
          <w:bCs w:val="0"/>
          <w:highlight w:val="none"/>
        </w:rPr>
        <w:t>附：2015年市体育局领导班子成员名单</w:t>
      </w:r>
    </w:p>
    <w:p w14:paraId="5340EA16">
      <w:pPr>
        <w:rPr>
          <w:rFonts w:hint="eastAsia" w:hAnsi="宋体" w:eastAsia="宋体" w:cs="宋体"/>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w:t>
      </w:r>
      <w:r>
        <w:rPr>
          <w:rFonts w:hint="eastAsia" w:hAnsi="宋体" w:cs="宋体"/>
          <w:b w:val="0"/>
          <w:bCs w:val="0"/>
          <w:highlight w:val="none"/>
          <w:lang w:eastAsia="zh-CN"/>
        </w:rPr>
        <w:t>：</w:t>
      </w:r>
      <w:r>
        <w:rPr>
          <w:rFonts w:hint="eastAsia" w:hAnsi="宋体" w:cs="宋体"/>
          <w:b w:val="0"/>
          <w:bCs w:val="0"/>
          <w:highlight w:val="none"/>
        </w:rPr>
        <w:t>吴林</w:t>
      </w:r>
      <w:r>
        <w:rPr>
          <w:rFonts w:hint="eastAsia" w:hAnsi="宋体" w:cs="宋体"/>
          <w:highlight w:val="none"/>
        </w:rPr>
        <w:t>山</w:t>
      </w:r>
    </w:p>
    <w:p w14:paraId="514CAE4B">
      <w:pPr>
        <w:rPr>
          <w:rFonts w:hint="eastAsia" w:hAnsi="宋体" w:eastAsia="宋体" w:cs="宋体"/>
          <w:highlight w:val="none"/>
          <w:lang w:eastAsia="zh-CN"/>
        </w:rPr>
      </w:pPr>
      <w:r>
        <w:rPr>
          <w:rFonts w:hint="eastAsia" w:hAnsi="宋体" w:cs="宋体"/>
          <w:highlight w:val="none"/>
        </w:rPr>
        <w:t>副局长</w:t>
      </w:r>
      <w:r>
        <w:rPr>
          <w:rFonts w:hint="eastAsia" w:hAnsi="宋体" w:cs="宋体"/>
          <w:highlight w:val="none"/>
          <w:lang w:eastAsia="zh-CN"/>
        </w:rPr>
        <w:t>：</w:t>
      </w:r>
      <w:r>
        <w:rPr>
          <w:rFonts w:hint="eastAsia" w:hAnsi="宋体" w:cs="宋体"/>
          <w:highlight w:val="none"/>
        </w:rPr>
        <w:t>陈志高 曾智君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D36C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8F887FB">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77440"/>
                  <wp:effectExtent l="0" t="0" r="8890" b="3810"/>
                  <wp:docPr id="106" name="图片 273" descr="垂钓比赛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73" descr="垂钓比赛39"/>
                          <pic:cNvPicPr>
                            <a:picLocks noChangeAspect="1"/>
                          </pic:cNvPicPr>
                        </pic:nvPicPr>
                        <pic:blipFill>
                          <a:blip r:embed="rId111"/>
                          <a:stretch>
                            <a:fillRect/>
                          </a:stretch>
                        </pic:blipFill>
                        <pic:spPr>
                          <a:xfrm>
                            <a:off x="0" y="0"/>
                            <a:ext cx="3420110" cy="2377440"/>
                          </a:xfrm>
                          <a:prstGeom prst="rect">
                            <a:avLst/>
                          </a:prstGeom>
                          <a:noFill/>
                          <a:ln>
                            <a:noFill/>
                          </a:ln>
                        </pic:spPr>
                      </pic:pic>
                    </a:graphicData>
                  </a:graphic>
                </wp:inline>
              </w:drawing>
            </w:r>
          </w:p>
        </w:tc>
      </w:tr>
      <w:tr w14:paraId="006BD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5C073E1">
            <w:pPr>
              <w:jc w:val="center"/>
              <w:rPr>
                <w:rFonts w:hint="eastAsia" w:hAnsi="宋体" w:cs="宋体"/>
                <w:highlight w:val="none"/>
                <w:vertAlign w:val="baseline"/>
              </w:rPr>
            </w:pPr>
            <w:r>
              <w:rPr>
                <w:rFonts w:hint="eastAsia" w:hAnsi="宋体" w:cs="宋体"/>
                <w:highlight w:val="none"/>
                <w:vertAlign w:val="baseline"/>
              </w:rPr>
              <w:t>垂钓比赛</w:t>
            </w:r>
          </w:p>
        </w:tc>
      </w:tr>
    </w:tbl>
    <w:p w14:paraId="6E9CC584">
      <w:pPr>
        <w:pStyle w:val="2"/>
        <w:rPr>
          <w:rFonts w:hint="eastAsia"/>
          <w:highlight w:val="none"/>
        </w:rPr>
      </w:pPr>
      <w:r>
        <w:rPr>
          <w:highlight w:val="none"/>
        </w:rPr>
        <w:br w:type="page"/>
      </w:r>
      <w:r>
        <w:rPr>
          <w:rFonts w:hint="eastAsia"/>
          <w:highlight w:val="none"/>
        </w:rPr>
        <w:t>文化广电·社会事业</w:t>
      </w:r>
    </w:p>
    <w:p w14:paraId="68834A3D">
      <w:pPr>
        <w:pStyle w:val="3"/>
        <w:bidi w:val="0"/>
        <w:rPr>
          <w:rFonts w:hint="eastAsia"/>
          <w:highlight w:val="none"/>
        </w:rPr>
      </w:pPr>
      <w:r>
        <w:rPr>
          <w:rFonts w:hint="eastAsia"/>
          <w:highlight w:val="none"/>
        </w:rPr>
        <w:t>文化综述</w:t>
      </w:r>
    </w:p>
    <w:p w14:paraId="0BBA7B6E">
      <w:pPr>
        <w:pStyle w:val="4"/>
        <w:bidi w:val="0"/>
        <w:rPr>
          <w:rFonts w:hint="eastAsia"/>
          <w:highlight w:val="none"/>
        </w:rPr>
      </w:pPr>
      <w:r>
        <w:rPr>
          <w:rFonts w:hint="eastAsia"/>
          <w:highlight w:val="none"/>
        </w:rPr>
        <w:t>【概况】</w:t>
      </w:r>
    </w:p>
    <w:p w14:paraId="6700972F">
      <w:pPr>
        <w:rPr>
          <w:rFonts w:hint="eastAsia" w:hAnsi="宋体" w:cs="宋体"/>
          <w:highlight w:val="none"/>
        </w:rPr>
      </w:pPr>
      <w:r>
        <w:rPr>
          <w:rFonts w:hint="eastAsia" w:hAnsi="宋体" w:cs="宋体"/>
          <w:highlight w:val="none"/>
        </w:rPr>
        <w:t>南雄市文化广电新闻出版局（简称“文广新局”），担负着宣传贯彻、执行党和国家的各项路线、方针、政策，制定该地区内的文化政策，指导和管理该地区的文化工作，执行国家的各项文化法规，依法行政、依法治文、繁荣文学艺术创作，加强自身队伍的建设，培养高素质的文化人才，承办市委、市政府和上级文化部门交办的其他事项。</w:t>
      </w:r>
    </w:p>
    <w:p w14:paraId="0C3652D0">
      <w:pPr>
        <w:rPr>
          <w:rFonts w:hint="eastAsia" w:hAnsi="宋体" w:cs="宋体"/>
          <w:highlight w:val="none"/>
        </w:rPr>
      </w:pPr>
      <w:r>
        <w:rPr>
          <w:rFonts w:hint="eastAsia" w:hAnsi="宋体" w:cs="宋体"/>
          <w:highlight w:val="none"/>
        </w:rPr>
        <w:t>南雄市文化广电新闻出版局属正科级单位，内设人秘股、社会文化股、广电管理股、文化市场管理股、新闻出版管理股、非物质文化遗产管理股。其直属单位有南雄市文化市场综合执法队，下属事业单位有图书馆、文化馆、博物馆、影剧院。</w:t>
      </w:r>
    </w:p>
    <w:p w14:paraId="6F3F9A55">
      <w:pPr>
        <w:pStyle w:val="4"/>
        <w:bidi w:val="0"/>
        <w:rPr>
          <w:rFonts w:hint="eastAsia"/>
          <w:highlight w:val="none"/>
        </w:rPr>
      </w:pPr>
      <w:r>
        <w:rPr>
          <w:rFonts w:hint="eastAsia"/>
          <w:highlight w:val="none"/>
        </w:rPr>
        <w:t>【文化重点工作顺利开展】</w:t>
      </w:r>
    </w:p>
    <w:p w14:paraId="1F4DD6FF">
      <w:pPr>
        <w:rPr>
          <w:rFonts w:hint="eastAsia" w:hAnsi="宋体" w:cs="宋体"/>
          <w:highlight w:val="none"/>
        </w:rPr>
      </w:pPr>
      <w:r>
        <w:rPr>
          <w:rFonts w:hint="eastAsia" w:hAnsi="宋体" w:cs="宋体"/>
          <w:highlight w:val="none"/>
        </w:rPr>
        <w:t>文化广场交付使用。文化广场位于南雄市城区林荫西路，面积约2万平方米，于2013年6月动工，2015年7月6日正式交付使用。广场配有园林景观，在中心建设的下沉式舞台可以举办大型文艺活动（同时容纳2000人），文化广场为南雄市民提供文化休闲的好去处。</w:t>
      </w:r>
    </w:p>
    <w:p w14:paraId="4820816A">
      <w:pPr>
        <w:rPr>
          <w:rFonts w:hint="eastAsia" w:hAnsi="宋体" w:cs="宋体"/>
          <w:highlight w:val="none"/>
        </w:rPr>
      </w:pPr>
      <w:r>
        <w:rPr>
          <w:rFonts w:hint="eastAsia" w:hAnsi="宋体" w:cs="宋体"/>
          <w:highlight w:val="none"/>
        </w:rPr>
        <w:t>图书馆新馆建设启动。图书馆项目占地面积3004.8平方米，地上建筑面积8437.4平方米，地下室建筑面积4128平方米，建筑总面积12565.4平方米，总停车位约154个，估算投资3814万元，按国家一级公共图书馆标准设计，四层，位于北城区迎宾大道东、黎灿小学北侧，12月8日进行开工奠基仪式。</w:t>
      </w:r>
    </w:p>
    <w:p w14:paraId="2778A532">
      <w:pPr>
        <w:rPr>
          <w:rFonts w:hint="eastAsia" w:hAnsi="宋体" w:eastAsia="宋体" w:cs="宋体"/>
          <w:highlight w:val="none"/>
          <w:lang w:eastAsia="zh-CN"/>
        </w:rPr>
      </w:pPr>
      <w:r>
        <w:rPr>
          <w:rFonts w:hint="eastAsia" w:hAnsi="宋体" w:cs="宋体"/>
          <w:highlight w:val="none"/>
        </w:rPr>
        <w:t>项目资金争取到位。文广新局向上级文化部门争取到专项资金2528万元，其中图书馆建设资金1500万元；为图书馆、文化馆、18个文化站申请专项补助资金136万元；图书馆、文化馆申请建设公共电子阅览室60万元；99个村级电子阅览室申报奖补资金198万元；广州会馆保护规划编制专项资金20万元；“南粤雄关”与古道保护规划编制专项资金85万；采茶戏《阿三戏公爷》创作专项资金10万元等。</w:t>
      </w:r>
    </w:p>
    <w:p w14:paraId="0D7E9457">
      <w:pPr>
        <w:pStyle w:val="4"/>
        <w:bidi w:val="0"/>
        <w:rPr>
          <w:rFonts w:hint="eastAsia"/>
          <w:highlight w:val="none"/>
        </w:rPr>
      </w:pPr>
      <w:r>
        <w:rPr>
          <w:rFonts w:hint="eastAsia"/>
          <w:highlight w:val="none"/>
        </w:rPr>
        <w:t>【文化惠民活动】</w:t>
      </w:r>
    </w:p>
    <w:p w14:paraId="093BCC78">
      <w:pPr>
        <w:rPr>
          <w:rFonts w:hint="eastAsia" w:hAnsi="宋体" w:cs="宋体"/>
          <w:highlight w:val="none"/>
        </w:rPr>
      </w:pPr>
      <w:r>
        <w:rPr>
          <w:rFonts w:hint="eastAsia" w:hAnsi="宋体" w:cs="宋体"/>
          <w:highlight w:val="none"/>
        </w:rPr>
        <w:t>“文化惠民月”活动。1月在广州会馆开展为期1个月文化惠民月活动。活动期间，广州会馆每天免费开放，群众表演团队的300多名文化志愿者踊跃参与文化惠民月演出，为南雄业余文艺爱好者们提供一个展现自己平台。</w:t>
      </w:r>
    </w:p>
    <w:p w14:paraId="3BC1D172">
      <w:pPr>
        <w:rPr>
          <w:rFonts w:hint="eastAsia" w:hAnsi="宋体" w:cs="宋体"/>
          <w:highlight w:val="none"/>
        </w:rPr>
      </w:pPr>
      <w:r>
        <w:rPr>
          <w:rFonts w:hint="eastAsia" w:hAnsi="宋体" w:cs="宋体"/>
          <w:highlight w:val="none"/>
        </w:rPr>
        <w:t>“姓氏名都风雅颂——百家姓氏、百姓民俗”文化惠民活动。以广州会馆为活动主阵地，整合南雄市委宣传部、文明办、文广新局、文联、团市委等各方力量，开展系列文化活动，周二至周六晚上向群众免费开放。活动分为群星荟萃、文明讲坛、采茶神韵、青春风采、墨香琴韵五个版块组成，群众可欣赏到文艺节目、非遗展演、才艺展示，也可参与道德讲座、书法美术交流等，为群众提供精神文化需求消遣好去处，使群众在家门口就享受到丰富的精神文化食粮，同时让前来观光游客感受到南雄城市文化魅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E743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C5A6B89">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95855"/>
                  <wp:effectExtent l="0" t="0" r="8890" b="4445"/>
                  <wp:docPr id="107" name="图片 275" descr="采风活动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75" descr="采风活动41"/>
                          <pic:cNvPicPr>
                            <a:picLocks noChangeAspect="1"/>
                          </pic:cNvPicPr>
                        </pic:nvPicPr>
                        <pic:blipFill>
                          <a:blip r:embed="rId112"/>
                          <a:stretch>
                            <a:fillRect/>
                          </a:stretch>
                        </pic:blipFill>
                        <pic:spPr>
                          <a:xfrm>
                            <a:off x="0" y="0"/>
                            <a:ext cx="3420110" cy="2395855"/>
                          </a:xfrm>
                          <a:prstGeom prst="rect">
                            <a:avLst/>
                          </a:prstGeom>
                          <a:noFill/>
                          <a:ln>
                            <a:noFill/>
                          </a:ln>
                        </pic:spPr>
                      </pic:pic>
                    </a:graphicData>
                  </a:graphic>
                </wp:inline>
              </w:drawing>
            </w:r>
          </w:p>
        </w:tc>
      </w:tr>
      <w:tr w14:paraId="69C82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DE5839D">
            <w:pPr>
              <w:jc w:val="center"/>
              <w:rPr>
                <w:rFonts w:hint="eastAsia" w:hAnsi="宋体" w:cs="宋体"/>
                <w:highlight w:val="none"/>
                <w:vertAlign w:val="baseline"/>
              </w:rPr>
            </w:pPr>
            <w:r>
              <w:rPr>
                <w:rFonts w:hint="eastAsia" w:hAnsi="宋体" w:cs="宋体"/>
                <w:highlight w:val="none"/>
              </w:rPr>
              <w:t>全国百名作家走进中央苏区南雄采风活动</w:t>
            </w:r>
          </w:p>
        </w:tc>
      </w:tr>
    </w:tbl>
    <w:p w14:paraId="6CEA6B0F">
      <w:pPr>
        <w:rPr>
          <w:rFonts w:hint="eastAsia" w:hAnsi="宋体" w:cs="宋体"/>
          <w:highlight w:val="none"/>
        </w:rPr>
      </w:pPr>
      <w:r>
        <w:rPr>
          <w:rFonts w:hint="eastAsia" w:hAnsi="宋体" w:cs="宋体"/>
          <w:highlight w:val="none"/>
        </w:rPr>
        <w:t>群众文艺活动。开展文化活动进园区、进社区、进镇村活动。在春节、元宵、六一期间开展丰富多彩群众文艺活动：春节期间在大会堂举办主题为“美丽南雄我的家”迎春文艺晚会；举办迎新春广场群众才艺汇演；在三影塔广场举办六一文艺演出活动；举办粤北采茶戏表演艺术讲座、“新闻摄影基本要素及拍摄技巧”摄影讲座、文化进校园“书家发余热、进校授书艺”书法传授交流活动等，丰富群众文化生活。</w:t>
      </w:r>
    </w:p>
    <w:p w14:paraId="2ADCBFBD">
      <w:pPr>
        <w:rPr>
          <w:rFonts w:hint="eastAsia" w:hAnsi="宋体" w:cs="宋体"/>
          <w:highlight w:val="none"/>
        </w:rPr>
      </w:pPr>
      <w:r>
        <w:rPr>
          <w:rFonts w:hint="eastAsia" w:hAnsi="宋体" w:cs="宋体"/>
          <w:highlight w:val="none"/>
        </w:rPr>
        <w:t>专题文艺表演活动。文化馆结合市委、市政府中心工作，组织参加多项专题文艺演出。参加韶关市首届民间艺术花会之“情系珠玑”歌舞专场。采茶传统节目《阿三戏公爷》入选粤戏越精彩——粤剧与省内其他地方戏曲剧种交流演出剧目。参加第二届姓氏文化旅游节开幕式，大型歌舞情景剧《永远的乡愁》深受珠玑后裔喜爱。参加“走在阳光路上”南雄市扶贫“双到”文艺晚会。参加南雄市庆祝建军88周年暨争创“双拥”模范市文艺晚会。组织“树规矩强法治，抓落实比贡献，增活力共圆梦”群众文艺汇演。采茶小戏《请客》、小品《县长来了》参加广东省第八届群众戏剧曲艺花会荣获铜奖。</w:t>
      </w:r>
    </w:p>
    <w:p w14:paraId="4E4BD988">
      <w:pPr>
        <w:rPr>
          <w:rFonts w:hint="eastAsia" w:hAnsi="宋体" w:cs="宋体"/>
          <w:highlight w:val="none"/>
        </w:rPr>
      </w:pPr>
      <w:r>
        <w:rPr>
          <w:rFonts w:hint="eastAsia" w:hAnsi="宋体" w:cs="宋体"/>
          <w:highlight w:val="none"/>
        </w:rPr>
        <w:t>系列读书活动。结合读书猜谜、知识竞答、流动书香车、设立图书室等开展系列读书活动。开展“世界读书日”系列活动，引导群众阅读。开展“关爱留守儿童”活动，给孩子送去书的温暖。开展“图书馆服务宣传周”活动，为群众送去精神食粮。开展知识讲座、电影展播活动。其中“电影展播”和“莎莎姐姐讲故事”版块深受群众喜爱。2015年设立4间“基层图书室”，送书879册；新办理图书证680个，拥有持证读者6040人，接待各类读者约18.7万人次，外借图书达9.3万册次。图书馆在全民阅读推广活动中表现突出，被省委宣传部、省新闻出版广电局评为2015“书香岭南”全民阅读活动示范单位。</w:t>
      </w:r>
    </w:p>
    <w:p w14:paraId="19353C48">
      <w:pPr>
        <w:pStyle w:val="4"/>
        <w:bidi w:val="0"/>
        <w:rPr>
          <w:rFonts w:hint="eastAsia"/>
          <w:highlight w:val="none"/>
        </w:rPr>
      </w:pPr>
      <w:r>
        <w:rPr>
          <w:rFonts w:hint="eastAsia"/>
          <w:highlight w:val="none"/>
        </w:rPr>
        <w:t>【文化遗产】</w:t>
      </w:r>
    </w:p>
    <w:p w14:paraId="58095CD2">
      <w:pPr>
        <w:rPr>
          <w:rFonts w:hint="eastAsia" w:hAnsi="宋体" w:cs="宋体"/>
          <w:highlight w:val="none"/>
        </w:rPr>
      </w:pPr>
      <w:r>
        <w:rPr>
          <w:rFonts w:hint="eastAsia" w:hAnsi="宋体" w:cs="宋体"/>
          <w:highlight w:val="none"/>
        </w:rPr>
        <w:t>创新保护文化遗产模式。活化利用广州会馆这一省级文物保护单位开展文化惠民活动，展示南雄丰富非物质文化遗产，弘扬优秀历史文化传统。文化遗产以新形式得以保护传承，探索出将静态物质文化遗产和动态的非物质文化遗产保护有机结合新路子，创新保护文化遗产工作模式。</w:t>
      </w:r>
    </w:p>
    <w:p w14:paraId="32C77C70">
      <w:pPr>
        <w:rPr>
          <w:rFonts w:hint="eastAsia" w:hAnsi="宋体" w:cs="宋体"/>
          <w:highlight w:val="none"/>
        </w:rPr>
      </w:pPr>
      <w:r>
        <w:rPr>
          <w:rFonts w:hint="eastAsia" w:hAnsi="宋体" w:cs="宋体"/>
          <w:highlight w:val="none"/>
        </w:rPr>
        <w:t>加强文化遗产知识宣传。5月16日开展国际博物馆日和中国文化遗产日文艺晚会活动。6月12日开展文化遗产日咨询活动和文艺晚会。通过发放宣传册、现场咨询、非遗展示和知识问答等系列宣传活动，让文化遗产来到市民身边，加强对文化遗产保护知识宣传。9月15—16日在乌迳镇、南亩镇、坪田镇举行文化进乡镇——专业人员下乡辅导板灯龙、茶花灯、纸马舞。</w:t>
      </w:r>
    </w:p>
    <w:p w14:paraId="5D0AD100">
      <w:pPr>
        <w:rPr>
          <w:rFonts w:hint="eastAsia" w:hAnsi="宋体" w:cs="宋体"/>
          <w:highlight w:val="none"/>
        </w:rPr>
      </w:pPr>
      <w:r>
        <w:rPr>
          <w:rFonts w:hint="eastAsia" w:hAnsi="宋体" w:cs="宋体"/>
          <w:highlight w:val="none"/>
        </w:rPr>
        <w:t>申报文化遗产项目。成功申报新龙塔、小竹塔、平林村惜字塔、水西桥等4处文物为第八批广东省文物保护单。成功申报传统舞蹈“茶花灯”，传统舞蹈“火龙、火狮、火凤、火虾”和传统技艺“扎稻草龙”为韶关市第五批市级非物质文化遗产项目。完成里东戏台、南雄府城正南门、南雄府学宫大成殿保护规划编制、葛坪塔修复工程、红军题壁标语揭取件保护、水西桥修复工程2015年省级重点文物保护专项资金申报工作。公布南雄市第五批文物保护单位。完成南雄市全国第一次可移动文物普查2432件文物信息采集、文物摄影和数据上传工作。</w:t>
      </w:r>
    </w:p>
    <w:p w14:paraId="653AE12E">
      <w:pPr>
        <w:pStyle w:val="4"/>
        <w:bidi w:val="0"/>
        <w:rPr>
          <w:rFonts w:hint="eastAsia"/>
          <w:highlight w:val="none"/>
        </w:rPr>
      </w:pPr>
      <w:r>
        <w:rPr>
          <w:rFonts w:hint="eastAsia"/>
          <w:highlight w:val="none"/>
        </w:rPr>
        <w:t>【文化市场健康有序发展】</w:t>
      </w:r>
    </w:p>
    <w:p w14:paraId="2474D7BD">
      <w:pPr>
        <w:rPr>
          <w:rFonts w:hint="eastAsia" w:hAnsi="宋体" w:eastAsia="宋体" w:cs="宋体"/>
          <w:highlight w:val="none"/>
          <w:lang w:eastAsia="zh-CN"/>
        </w:rPr>
      </w:pPr>
      <w:r>
        <w:rPr>
          <w:rFonts w:hint="eastAsia" w:hAnsi="宋体" w:cs="宋体"/>
          <w:highlight w:val="none"/>
        </w:rPr>
        <w:t>文化广电新闻出版局加强文化市场监管，开展“扫黄打非”工作，落实日常巡查制度，组织净化校园周边环境，打击盗版教辅资料行动。结合“文化市场安全生产大检查”、“安全生产月”活动、“文化市场经营场所消防安全大排查大整治”和“创建平安文化市场”等专项整治，并与元旦、春节、劳动节等重大节假日安全生产检查相结合，抓好文化市场安全生产整治工作。</w:t>
      </w:r>
    </w:p>
    <w:p w14:paraId="0EAC92FA">
      <w:pPr>
        <w:pStyle w:val="3"/>
        <w:bidi w:val="0"/>
        <w:rPr>
          <w:rFonts w:hint="eastAsia"/>
          <w:highlight w:val="none"/>
        </w:rPr>
      </w:pPr>
      <w:r>
        <w:rPr>
          <w:rFonts w:hint="eastAsia"/>
          <w:highlight w:val="none"/>
        </w:rPr>
        <w:t>图书管理</w:t>
      </w:r>
    </w:p>
    <w:p w14:paraId="3A3D6677">
      <w:pPr>
        <w:pStyle w:val="4"/>
        <w:bidi w:val="0"/>
        <w:rPr>
          <w:rFonts w:hint="eastAsia"/>
          <w:highlight w:val="none"/>
        </w:rPr>
      </w:pPr>
      <w:r>
        <w:rPr>
          <w:rFonts w:hint="eastAsia"/>
          <w:highlight w:val="none"/>
        </w:rPr>
        <w:t>【南雄市图书馆】</w:t>
      </w:r>
    </w:p>
    <w:p w14:paraId="6F959008">
      <w:pPr>
        <w:rPr>
          <w:rFonts w:hint="eastAsia" w:hAnsi="宋体" w:cs="宋体"/>
          <w:highlight w:val="none"/>
        </w:rPr>
      </w:pPr>
      <w:r>
        <w:rPr>
          <w:rFonts w:hint="eastAsia" w:hAnsi="宋体" w:cs="宋体"/>
          <w:highlight w:val="none"/>
        </w:rPr>
        <w:t>南雄市图书馆是正股级公益一类事业单位，全馆核定事业编制11名（其中馆长1名，副馆长2名）。至2015年底有干部职工8人，其中大专学历以上7人，具备中级馆员职称4人。馆长陈丽娟，副馆长廖南城、廖莎。图书馆以“读者第一、服务至上”为宗旨，本着人性化服务的理念，坚持优质服务、便民服务、惠民服务，处处为读者着想，事事以读者为先，不断提升图书馆在读者心中的认知度和美誉度。馆藏文献8万余册，订阅报刊100余种。2015年，新办理图书证680余张，拥有持证读者6040余人，外借图书达9.3册次以上，接待各类读者约18.7万人次。</w:t>
      </w:r>
    </w:p>
    <w:p w14:paraId="3241A0E3">
      <w:pPr>
        <w:rPr>
          <w:rFonts w:hint="eastAsia" w:hAnsi="宋体" w:cs="宋体"/>
          <w:highlight w:val="none"/>
        </w:rPr>
      </w:pPr>
      <w:r>
        <w:rPr>
          <w:rFonts w:hint="eastAsia" w:hAnsi="宋体" w:cs="宋体"/>
          <w:highlight w:val="none"/>
        </w:rPr>
        <w:t>南雄市图书馆采用开放灵活的藏、借、阅、查一体的服务模式，实行全年免费开放、开架自助借阅、电话续借图书、免费上网、取消办证工本费等便民服务。创新图书馆导读和服务的方式，利用网络开展图书推介和宣传，定期推荐好书、新碟以及专题书目。向读者推荐新书并做好预借、续借、导读工作。为广大人民群众提供多渠道、多层次的读书服务，推动学习型社会的建设，是知识信息的集散地，市民终身教育的学校。</w:t>
      </w:r>
    </w:p>
    <w:p w14:paraId="5058B976">
      <w:pPr>
        <w:rPr>
          <w:rFonts w:hint="eastAsia" w:hAnsi="宋体" w:cs="宋体"/>
          <w:highlight w:val="none"/>
        </w:rPr>
      </w:pPr>
      <w:r>
        <w:rPr>
          <w:rFonts w:hint="eastAsia" w:hAnsi="宋体" w:cs="宋体"/>
          <w:highlight w:val="none"/>
        </w:rPr>
        <w:t>2015年8月图书馆在全民阅读推广活动中表现突出，被省委宣传部、省新闻出版广电局评为2015“书香岭南”全民阅读活动示范单位。</w:t>
      </w:r>
    </w:p>
    <w:p w14:paraId="384A948D">
      <w:pPr>
        <w:pStyle w:val="4"/>
        <w:bidi w:val="0"/>
        <w:rPr>
          <w:rFonts w:hint="eastAsia"/>
          <w:highlight w:val="none"/>
        </w:rPr>
      </w:pPr>
      <w:r>
        <w:rPr>
          <w:rFonts w:hint="eastAsia"/>
          <w:highlight w:val="none"/>
        </w:rPr>
        <w:t>【举行迎新春灯谜竞猜活动】</w:t>
      </w:r>
    </w:p>
    <w:p w14:paraId="55BC3E65">
      <w:pPr>
        <w:rPr>
          <w:rFonts w:hint="eastAsia" w:hAnsi="宋体" w:cs="宋体"/>
          <w:highlight w:val="none"/>
        </w:rPr>
      </w:pPr>
      <w:r>
        <w:rPr>
          <w:rFonts w:hint="eastAsia" w:hAnsi="宋体" w:cs="宋体"/>
          <w:highlight w:val="none"/>
        </w:rPr>
        <w:t>2月22日（正月初四），由南雄市文化广电新闻出版局主办、市图书馆承办的“2015年‘喜气洋洋贺新春’有奖灯谜竞猜暨流动书香车进社区活动”在三影塔广场举行。</w:t>
      </w:r>
    </w:p>
    <w:p w14:paraId="2DE927B9">
      <w:pPr>
        <w:pStyle w:val="4"/>
        <w:bidi w:val="0"/>
        <w:rPr>
          <w:rFonts w:hint="eastAsia"/>
          <w:highlight w:val="none"/>
        </w:rPr>
      </w:pPr>
      <w:r>
        <w:rPr>
          <w:rFonts w:hint="eastAsia"/>
          <w:highlight w:val="none"/>
        </w:rPr>
        <w:t>【世界读书日，服务宣传周活动】</w:t>
      </w:r>
    </w:p>
    <w:p w14:paraId="4B75D874">
      <w:pPr>
        <w:rPr>
          <w:rFonts w:hint="eastAsia" w:hAnsi="宋体" w:cs="宋体"/>
          <w:highlight w:val="none"/>
        </w:rPr>
      </w:pPr>
      <w:r>
        <w:rPr>
          <w:rFonts w:hint="eastAsia" w:hAnsi="宋体" w:cs="宋体"/>
          <w:highlight w:val="none"/>
        </w:rPr>
        <w:t>4月23日，是第20个“世界读书日”。南雄市文广新局、图书馆以2014年“4·23”世界读书日为契机，开展系列读书活动。此次活动的主题是：“倡导全民阅读，共建书香南雄”。活动时间从4月18日到4月26日，主要是：4月18日上午，在图书馆借阅大厅举行电影展播，播放一部精彩的影片《超能陆战队》，影片展播受到小读者及家长欢迎。4月18日下午，在图书馆借阅大厅举办“莎莎姐姐讲故事共同分享悦读时光”第七期读书活动，还进行游园活动环节，让孩子和家长参与游戏，深受读者好评。从4月20日至4月26日，在图书馆借阅大厅举行“让图书回家”还书免责活动，读者归还逾期图书将免收滞纳金。从4月23日至5月31日，在图书馆借阅大厅举行“让图书回家”还书免责活动，读者归还逾期图书将免收滞纳金。4月24日上午，南雄市文广新局到乌迳墟镇开展有奖谜语竞猜活动。为乌迳镇市民准备230题趣味谜语，参与猜谜的群众近1000人次，场面活跃热烈。流动书香车的到来吸引上百名市民前来阅览，小小书香车刚到不够半小时便被前来阅书的群众层层包围，人群里散发着浓郁的书香气息。5月25日，市文广新局组织图书馆相关人员在界址镇黄坑小学开展2015年“图书馆服务宣传周”送书下乡活动。</w:t>
      </w:r>
    </w:p>
    <w:p w14:paraId="6B0333A1">
      <w:pPr>
        <w:pStyle w:val="4"/>
        <w:bidi w:val="0"/>
        <w:rPr>
          <w:rFonts w:hint="eastAsia"/>
          <w:highlight w:val="none"/>
        </w:rPr>
      </w:pPr>
      <w:r>
        <w:rPr>
          <w:rFonts w:hint="eastAsia"/>
          <w:highlight w:val="none"/>
        </w:rPr>
        <w:t>【馆办活动形式多样，群众文娱生活丰富】</w:t>
      </w:r>
    </w:p>
    <w:p w14:paraId="102E2BDB">
      <w:pPr>
        <w:rPr>
          <w:rFonts w:hint="eastAsia" w:hAnsi="宋体" w:cs="宋体"/>
          <w:highlight w:val="none"/>
        </w:rPr>
      </w:pPr>
      <w:r>
        <w:rPr>
          <w:rFonts w:hint="eastAsia" w:hAnsi="宋体" w:cs="宋体"/>
          <w:highlight w:val="none"/>
        </w:rPr>
        <w:t>2月23日（年初五）在南雄市图书馆借阅大厅举办“莎莎姐姐讲故事共同分享悦读时光”第四期读书活动。通过该次讲故事活动，引导孩子们融入到绘本故事情节之中，一起猜测情节发展，一起扮演故事中的角色，充分调用各种感官来丰富故事的内涵。图书馆还安排了电影展播系列活动，活动当天的上午在借阅大厅播放一部精彩的影片《亲爱的》，影片展播受到小读者及家长欢迎。2月24日在图书馆借阅大厅还举办“书香伴我成长”亲子阅读活动，并向来馆阅读的家庭赠送精美小礼品。2月18—28日，在图书馆举行“让图书回家”还书免责活动（归还逾期图书免收滞纳金）。</w:t>
      </w:r>
    </w:p>
    <w:p w14:paraId="22116234">
      <w:pPr>
        <w:rPr>
          <w:rFonts w:hint="eastAsia" w:hAnsi="宋体" w:cs="宋体"/>
          <w:highlight w:val="none"/>
        </w:rPr>
      </w:pPr>
      <w:r>
        <w:rPr>
          <w:rFonts w:hint="eastAsia" w:hAnsi="宋体" w:cs="宋体"/>
          <w:highlight w:val="none"/>
        </w:rPr>
        <w:t>6月29日，图书馆到南雄市财贸幼儿园开展“快乐阅读，快乐成长阅读推广活动之走进幼儿园”活动，并为财贸幼儿园的小朋友送上154册少儿图书。活动中，图书馆馆员给小朋友和家长们带来亲子共读绘本的示范解读，并与小朋友及家长互动，让小朋友和家长通过共读一本图画书，激发儿童阅读兴趣，营造亲子读书氛围。</w:t>
      </w:r>
    </w:p>
    <w:p w14:paraId="4C6AC83A">
      <w:pPr>
        <w:rPr>
          <w:rFonts w:hint="eastAsia" w:hAnsi="宋体" w:cs="宋体"/>
          <w:highlight w:val="none"/>
        </w:rPr>
      </w:pPr>
      <w:r>
        <w:rPr>
          <w:rFonts w:hint="eastAsia" w:hAnsi="宋体" w:cs="宋体"/>
          <w:highlight w:val="none"/>
        </w:rPr>
        <w:t>暑假期间，为助力阅读、启迪智慧，图书馆举办知识讲座3次、电影展播5次、《保护濒危动物》立体图像展等系列寓教于乐的活动。</w:t>
      </w:r>
    </w:p>
    <w:p w14:paraId="55B6544E">
      <w:pPr>
        <w:rPr>
          <w:rFonts w:hint="eastAsia" w:hAnsi="宋体" w:cs="宋体"/>
          <w:highlight w:val="none"/>
        </w:rPr>
      </w:pPr>
      <w:r>
        <w:rPr>
          <w:rFonts w:hint="eastAsia" w:hAnsi="宋体" w:cs="宋体"/>
          <w:highlight w:val="none"/>
        </w:rPr>
        <w:t>南雄市文广新局、图书馆开展国庆系列读书活动，丰富市民业余生活，宣传读书，鼓励读书，感受传统文化的熏陶，在全市范围内掀起一股读书的高潮，营造良好的读书氛围。活动有：10月1日，图书馆在借阅大厅开展“阅读悦快乐”游园活动，吸引了上百名小朋友和家长的参与，活动项目包括踢毽子，夹玻璃珠，抢凳子，吹乒乓球等。10月1日，为增加读者学习传统文化的兴趣，了解节日的渊源，营造欢度国庆的喜庆气氛，激发读者的爱国热情，感受中华传统与诗文魅力。图书馆在借阅大厅举行“贺中秋迎国庆”诗歌朗诵比赛的初赛。10月11日进行诗歌朗诵比赛的复赛，10月31日举行决赛。10月2日，由图书馆组织在图书馆借阅大厅举行的“莎莎姐姐讲故事，共同分享悦读时光”活动，其目的是为了让更多孩子走进多姿多彩的绘本世界，感受绘本的魅力，进一步丰富孩子的阅读生活，激发他们的阅读兴趣。为充分发挥共享工程丰富的数字资源优势，满足广大读者的文化需求，让大家度过一个孩子开心、家长放心的假日。图书馆从9月27日至10月7日在借阅大厅开展电影展播活动。影片展播受到了小读者及家长的热烈欢迎。配合全市开展廉政读书月活动。</w:t>
      </w:r>
    </w:p>
    <w:p w14:paraId="0F352BEC">
      <w:pPr>
        <w:rPr>
          <w:rFonts w:hint="eastAsia" w:hAnsi="宋体" w:cs="宋体"/>
          <w:highlight w:val="none"/>
        </w:rPr>
      </w:pPr>
      <w:r>
        <w:rPr>
          <w:rFonts w:hint="eastAsia" w:hAnsi="宋体" w:cs="宋体"/>
          <w:highlight w:val="none"/>
        </w:rPr>
        <w:t>11月，南雄市图书馆在图书馆借阅大厅举办“2015年‘我与中华古籍’摄影大赛优秀摄影作品巡展”“在记忆中盛开——中国濒危野生动植物图片展”等两场专题图片展。</w:t>
      </w:r>
    </w:p>
    <w:p w14:paraId="19E308DF">
      <w:pPr>
        <w:rPr>
          <w:rFonts w:hint="eastAsia" w:hAnsi="宋体" w:cs="宋体"/>
          <w:highlight w:val="none"/>
        </w:rPr>
      </w:pPr>
      <w:r>
        <w:rPr>
          <w:rFonts w:hint="eastAsia" w:hAnsi="宋体" w:cs="宋体"/>
          <w:highlight w:val="none"/>
        </w:rPr>
        <w:t>为了提高少儿的语言表达能力，倡导全民阅读、营造积极向上的阅读氛围，激发少儿的阅读热情，丰富少儿的文化娱乐生活，吸引更多的少儿走进南雄市图书馆，让图书馆成为少儿的第二课堂。12月12日，南雄市图书馆举办第一届“故事大王”比赛活动的初赛。共有75组参赛选手参赛。第一届“故事大王”比赛将在12月19日举行复赛，2016年1月1日举行总决赛。</w:t>
      </w:r>
    </w:p>
    <w:p w14:paraId="2B020505">
      <w:pPr>
        <w:pStyle w:val="4"/>
        <w:bidi w:val="0"/>
        <w:rPr>
          <w:rFonts w:hint="eastAsia"/>
          <w:highlight w:val="none"/>
        </w:rPr>
      </w:pPr>
      <w:r>
        <w:rPr>
          <w:rFonts w:hint="eastAsia"/>
          <w:highlight w:val="none"/>
        </w:rPr>
        <w:t>【送书下乡，设立“关爱留守儿童图书室”】</w:t>
      </w:r>
    </w:p>
    <w:p w14:paraId="1D3B8342">
      <w:pPr>
        <w:rPr>
          <w:rFonts w:hint="eastAsia" w:hAnsi="宋体" w:cs="宋体"/>
          <w:highlight w:val="none"/>
        </w:rPr>
      </w:pPr>
      <w:r>
        <w:rPr>
          <w:rFonts w:hint="eastAsia" w:hAnsi="宋体" w:cs="宋体"/>
          <w:highlight w:val="none"/>
        </w:rPr>
        <w:t>4月24日，流动书香车“快乐阅读快乐成长”读书活动进入校园。图书馆为乌迳镇鱼塘小学110个孩子，送上精心挑选少儿图书200册，设立“关爱留守儿童图书室”。此次活动增加馆员与读者互动“快乐阅读快乐成长”趣味知识问答环节，图书馆为此准备精美小礼品，让孩子们在阅读乐趣中收获到别样惊喜。</w:t>
      </w:r>
    </w:p>
    <w:p w14:paraId="7EA7EDC8">
      <w:pPr>
        <w:rPr>
          <w:rFonts w:hint="eastAsia" w:hAnsi="宋体" w:cs="宋体"/>
          <w:highlight w:val="none"/>
        </w:rPr>
      </w:pPr>
      <w:r>
        <w:rPr>
          <w:rFonts w:hint="eastAsia" w:hAnsi="宋体" w:cs="宋体"/>
          <w:highlight w:val="none"/>
        </w:rPr>
        <w:t>5月25日，南雄市文广新局组织图书馆相关人员在界址镇黄坑小学开展2015年“图书馆服务宣传周”送书下乡活动。图书馆为196个孩子送上精心挑选的少儿图书和期刊206册，设立“关爱留守儿童图书室”。</w:t>
      </w:r>
    </w:p>
    <w:p w14:paraId="16F9B93A">
      <w:pPr>
        <w:rPr>
          <w:rFonts w:hint="eastAsia" w:hAnsi="宋体" w:cs="宋体"/>
          <w:highlight w:val="none"/>
        </w:rPr>
      </w:pPr>
      <w:r>
        <w:rPr>
          <w:rFonts w:hint="eastAsia" w:hAnsi="宋体" w:cs="宋体"/>
          <w:highlight w:val="none"/>
        </w:rPr>
        <w:t>9月14日，图书馆为珠玑镇梅岭中站小学的22个孩子，送上精心挑选少儿图书和期刊102册，设立“关爱留守儿童图书室”。</w:t>
      </w:r>
    </w:p>
    <w:p w14:paraId="40680A42">
      <w:pPr>
        <w:rPr>
          <w:rFonts w:hint="eastAsia" w:hAnsi="宋体" w:cs="宋体"/>
          <w:highlight w:val="none"/>
        </w:rPr>
      </w:pPr>
      <w:r>
        <w:rPr>
          <w:rFonts w:hint="eastAsia" w:hAnsi="宋体" w:cs="宋体"/>
          <w:highlight w:val="none"/>
        </w:rPr>
        <w:t>9月，图书馆在南雄市人民武装部设立“南雄市图书馆人民武装部流动图书室”，赠送图书、杂志一批，计300册。</w:t>
      </w:r>
    </w:p>
    <w:p w14:paraId="4722E942">
      <w:pPr>
        <w:pStyle w:val="4"/>
        <w:bidi w:val="0"/>
        <w:rPr>
          <w:rFonts w:hint="eastAsia"/>
          <w:highlight w:val="none"/>
        </w:rPr>
      </w:pPr>
      <w:r>
        <w:rPr>
          <w:rFonts w:hint="eastAsia"/>
          <w:highlight w:val="none"/>
        </w:rPr>
        <w:t>【流动书香车进社区进乡镇进校园】</w:t>
      </w:r>
    </w:p>
    <w:p w14:paraId="560170C2">
      <w:pPr>
        <w:rPr>
          <w:rFonts w:hint="eastAsia" w:hAnsi="宋体" w:cs="宋体"/>
          <w:highlight w:val="none"/>
        </w:rPr>
      </w:pPr>
      <w:r>
        <w:rPr>
          <w:rFonts w:hint="eastAsia" w:hAnsi="宋体" w:cs="宋体"/>
          <w:highlight w:val="none"/>
        </w:rPr>
        <w:t>1月，利用“廉政文化书香车”，新年给社区送知识送文化，助力廉政文化进家入户，进一步营造“读廉政书籍，扬清风正气”的社会氛围。</w:t>
      </w:r>
    </w:p>
    <w:p w14:paraId="1536DBF7">
      <w:pPr>
        <w:rPr>
          <w:rFonts w:hint="eastAsia" w:hAnsi="宋体" w:cs="宋体"/>
          <w:highlight w:val="none"/>
        </w:rPr>
      </w:pPr>
      <w:r>
        <w:rPr>
          <w:rFonts w:hint="eastAsia" w:hAnsi="宋体" w:cs="宋体"/>
          <w:highlight w:val="none"/>
        </w:rPr>
        <w:t>4月24日，南雄市文广新局到乌迳墟镇开展流动书香车进乡镇活动，书香车到来吸引上百名市民前来阅览，小小书香车被前来阅书群众层层包围，人群里散发着浓郁的书香气息。</w:t>
      </w:r>
    </w:p>
    <w:p w14:paraId="68428FEB">
      <w:pPr>
        <w:rPr>
          <w:rFonts w:hint="eastAsia" w:hAnsi="宋体" w:cs="宋体"/>
          <w:highlight w:val="none"/>
        </w:rPr>
      </w:pPr>
      <w:r>
        <w:rPr>
          <w:rFonts w:hint="eastAsia" w:hAnsi="宋体" w:cs="宋体"/>
          <w:highlight w:val="none"/>
        </w:rPr>
        <w:t>5月25日，南雄市文广新局组织图书馆相关人员在界址镇黄坑小学举行流动书香车“倡导全民阅读，共建书香南雄——2015年南雄市‘图书馆服务宣传周’活动”同步进入校园活动。</w:t>
      </w:r>
    </w:p>
    <w:p w14:paraId="4804C242">
      <w:pPr>
        <w:rPr>
          <w:rFonts w:hint="eastAsia" w:hAnsi="宋体" w:eastAsia="宋体" w:cs="宋体"/>
          <w:highlight w:val="none"/>
          <w:lang w:eastAsia="zh-CN"/>
        </w:rPr>
      </w:pPr>
      <w:r>
        <w:rPr>
          <w:rFonts w:hint="eastAsia" w:hAnsi="宋体" w:cs="宋体"/>
          <w:highlight w:val="none"/>
        </w:rPr>
        <w:t>9月26日，由南雄市文广新局主办、南雄市图书馆承办的“‘贺中秋迎国庆——书香南雄全民阅读’有奖谜语竞猜暨廉政文化书香车进社区活动”在三影塔广场举行。</w:t>
      </w:r>
    </w:p>
    <w:p w14:paraId="6F91D1F7">
      <w:pPr>
        <w:pStyle w:val="3"/>
        <w:bidi w:val="0"/>
        <w:rPr>
          <w:rFonts w:hint="eastAsia"/>
          <w:highlight w:val="none"/>
        </w:rPr>
      </w:pPr>
      <w:r>
        <w:rPr>
          <w:rFonts w:hint="eastAsia"/>
          <w:highlight w:val="none"/>
        </w:rPr>
        <w:t>文化艺术</w:t>
      </w:r>
    </w:p>
    <w:p w14:paraId="7AF62D99">
      <w:pPr>
        <w:pStyle w:val="4"/>
        <w:bidi w:val="0"/>
        <w:rPr>
          <w:rFonts w:hint="eastAsia"/>
          <w:highlight w:val="none"/>
        </w:rPr>
      </w:pPr>
      <w:r>
        <w:rPr>
          <w:rFonts w:hint="eastAsia"/>
          <w:highlight w:val="none"/>
        </w:rPr>
        <w:t>【南雄市文化馆】</w:t>
      </w:r>
    </w:p>
    <w:p w14:paraId="585F09D9">
      <w:pPr>
        <w:rPr>
          <w:rFonts w:hint="eastAsia" w:hAnsi="宋体" w:cs="宋体"/>
          <w:highlight w:val="none"/>
        </w:rPr>
      </w:pPr>
      <w:r>
        <w:rPr>
          <w:rFonts w:hint="eastAsia" w:hAnsi="宋体" w:cs="宋体"/>
          <w:highlight w:val="none"/>
        </w:rPr>
        <w:t>南雄市文化馆是政府设立专门从事群众文化的一类公益性事业单位。内设办公室、文艺创作组、文艺培训组、文艺演出队、非遗保护中心等，现有在编人员27人，其中副高级职称资格2人，中级资格11人，初级职称资格9人。文化馆始终坚持“繁荣群众文化服务人民大众”文化宗旨，参加与组织南雄市大型文艺活动，负责对外宣传南雄市珠玑文化，开展群众文化艺术活动和辅导，培训群文干部，少儿艺术幼苗，编发群文刊物，开展业余文艺创作，搜集、整理、申报、保护非物质文化遗产工作。</w:t>
      </w:r>
    </w:p>
    <w:p w14:paraId="136F7067">
      <w:pPr>
        <w:pStyle w:val="4"/>
        <w:bidi w:val="0"/>
        <w:rPr>
          <w:rFonts w:hint="eastAsia"/>
          <w:highlight w:val="none"/>
        </w:rPr>
      </w:pPr>
      <w:r>
        <w:rPr>
          <w:rFonts w:hint="eastAsia"/>
          <w:highlight w:val="none"/>
        </w:rPr>
        <w:t>【馆办活动丰富多彩】</w:t>
      </w:r>
    </w:p>
    <w:p w14:paraId="4D15A1B0">
      <w:pPr>
        <w:rPr>
          <w:rFonts w:hint="eastAsia" w:hAnsi="宋体" w:cs="宋体"/>
          <w:highlight w:val="none"/>
        </w:rPr>
      </w:pPr>
      <w:r>
        <w:rPr>
          <w:rFonts w:hint="eastAsia" w:hAnsi="宋体" w:cs="宋体"/>
          <w:highlight w:val="none"/>
        </w:rPr>
        <w:t>为营造浓郁的节目文化氛围，更快更好地发展群众文化活动事业，2015年在南雄市广州会馆举办南雄市文化惠民月演出活动（30场）；2月在南雄市三影塔广场举行迎新春广场群众才艺展演；5月在南雄市邓坊镇举办南雄市泉水谷漂流度假村开业暨广东省“康绿宝杯·醉美南雄”摄影大赛开镜仪式文艺演出；6月在南雄市迎宾馆举行南雄市珠玑巷后裔联谊会成立文艺演出。</w:t>
      </w:r>
    </w:p>
    <w:p w14:paraId="3D0D744B">
      <w:pPr>
        <w:pStyle w:val="4"/>
        <w:bidi w:val="0"/>
        <w:rPr>
          <w:rFonts w:hint="eastAsia"/>
          <w:highlight w:val="none"/>
        </w:rPr>
      </w:pPr>
      <w:r>
        <w:rPr>
          <w:rFonts w:hint="eastAsia"/>
          <w:highlight w:val="none"/>
        </w:rPr>
        <w:t>【开展文化惠民活动】</w:t>
      </w:r>
    </w:p>
    <w:p w14:paraId="4F9B657A">
      <w:pPr>
        <w:rPr>
          <w:rFonts w:hint="eastAsia" w:hAnsi="宋体" w:cs="宋体"/>
          <w:highlight w:val="none"/>
        </w:rPr>
      </w:pPr>
      <w:r>
        <w:rPr>
          <w:rFonts w:hint="eastAsia" w:hAnsi="宋体" w:cs="宋体"/>
          <w:highlight w:val="none"/>
        </w:rPr>
        <w:t>2015年1月7日在南雄市大会堂举办“情系桑梓、共谋发展”南雄市欢迎外出乡贤专题文艺晚会；1月23日在南雄市大会堂举办了文化活动进企业——康绿宝公司迎春文艺晚会；2月7日在南雄市三影塔广场举办文化活动进社区——南雄、韶关广电台新春联欢文艺演出；2月8日在南雄市三影塔广场举办践行社会主义核心价值观春联送万家活动；2月10日，为丰富群众文化生活，由市委宣传部、市文广新局主办，文化馆协办，在南雄市大会堂举办“美丽南雄我的家”南雄市2015年迎春文艺晚会，文化馆编排一台丰富多彩文艺节目，受到群众喜爱和好评；2月11日在水口沙头村敬老院举行“情系乡村”送文化活动——敬老院慰问演出；2月26日在珠玑镇灵潭村举行文化进乡村——组织群众业余团队参加珠玑镇灵潭村迎春文艺演出；5月15日在南雄市邓坊镇举办南雄市泉水谷漂流度假村开业暨广东省“康绿宝杯醉美南雄”摄影大赛开镜仪式文艺演出；6月29日在南雄市大会堂举行“走在阳光路上”南雄市扶贫“双到”文艺晚会；7月30日在南雄市三影塔广场举行南雄市庆祝建军88周年暨争创“双拥”模范市文艺晚会；8月文化馆协助宣传部和文广新局举办南雄市“唱响中国梦，百歌颂中华”群众歌咏比赛，此次歌咏比赛报名歌手200多人，观众3万多人。使南雄的歌唱水平有了进一步的提高，促进社区文化、机关文化、企业文化、校园文化、军营文化相互交流，丰富人民群众文化生活，得到全市人民群众的高度认可和积极参与，在很大程度上提升南雄文化馆免费公共文化服务水平；9月8—11日在南雄市广州会馆、南雄市珠玑镇文化广场举行“幸福南雄，和谐家园”广东文化志愿服务者进社区文艺演出活动；8月21日在南雄市黄坑镇文化广场举办文化进乡镇——“树规矩强法治，抓落实比贡献，增活力共圆梦”群众文艺汇演。</w:t>
      </w:r>
    </w:p>
    <w:p w14:paraId="14091187">
      <w:pPr>
        <w:pStyle w:val="4"/>
        <w:bidi w:val="0"/>
        <w:rPr>
          <w:rFonts w:hint="eastAsia"/>
          <w:highlight w:val="none"/>
        </w:rPr>
      </w:pPr>
      <w:r>
        <w:rPr>
          <w:rFonts w:hint="eastAsia"/>
          <w:highlight w:val="none"/>
        </w:rPr>
        <w:t>【文艺创作与交流】</w:t>
      </w:r>
    </w:p>
    <w:p w14:paraId="1BB21B01">
      <w:pPr>
        <w:rPr>
          <w:rFonts w:hint="eastAsia" w:hAnsi="宋体" w:cs="宋体"/>
          <w:highlight w:val="none"/>
        </w:rPr>
      </w:pPr>
      <w:r>
        <w:rPr>
          <w:rFonts w:hint="eastAsia" w:hAnsi="宋体" w:cs="宋体"/>
          <w:highlight w:val="none"/>
        </w:rPr>
        <w:t>文化馆历来重视文艺创作，积极组织业务干部参加各种比赛活动和展览，提升业务素质；排练的采茶小戏《请客》参加广东省第八届群众戏剧花会（曲艺类），获铜奖。小品《县长来了》参加广东省第八届群众戏剧花会（戏剧类），获铜奖。2015年韶关市群众文艺作品获奖情况中，赖昀创作的小品《月饼风波》获一等奖，和小品《回家》获三等奖。陈至明创作的小品《宋大礼》获鼓励奖。张帆获得“我的强国梦”韶关市演讲比赛三等奖、韶关市“践行价值观，共圆中国梦”演讲比赛二等奖和南雄市“双学双比”演讲比赛二等奖。为提高南雄市业余文学作者创作水平，5月文化馆召开业余文艺作品创作座会和讲座，邀请广东省小品编剧秦川授课；做好文化与企业交流工作。2月在南雄市广州会馆与南雄市美术协会联合举办“饶又铭、孔德生、杨博、胡元安”迎春美术作品展；2月在南雄市迎宾会议厅举行摄影艺术座谈会暨“美丽南雄我的家”摄影大赛颁奖仪式；4月22日在南雄市文化馆培训室举办粤北采茶戏表演艺术讲座；5月在南雄市政府宣传橱窗展示“美丽南雄我的梦”胡元安个人书画作品展；5月30日在南雄市迎宾馆二号会议室举办“新闻摄影基本要素及拍摄技巧”摄影讲座；5月23日在南雄市广州会馆举办韶关——南雄演讲与口才文化艺术交流活动。</w:t>
      </w:r>
    </w:p>
    <w:p w14:paraId="0A1E9B93">
      <w:pPr>
        <w:pStyle w:val="4"/>
        <w:bidi w:val="0"/>
        <w:rPr>
          <w:rFonts w:hint="eastAsia"/>
          <w:highlight w:val="none"/>
        </w:rPr>
      </w:pPr>
      <w:r>
        <w:rPr>
          <w:rFonts w:hint="eastAsia"/>
          <w:highlight w:val="none"/>
        </w:rPr>
        <w:t>【非物质文化遗产保护】</w:t>
      </w:r>
    </w:p>
    <w:p w14:paraId="1EA477C9">
      <w:pPr>
        <w:rPr>
          <w:rFonts w:hint="eastAsia" w:hAnsi="宋体" w:cs="宋体"/>
          <w:highlight w:val="none"/>
        </w:rPr>
      </w:pPr>
      <w:r>
        <w:rPr>
          <w:rFonts w:hint="eastAsia" w:hAnsi="宋体" w:cs="宋体"/>
          <w:highlight w:val="none"/>
        </w:rPr>
        <w:t>为做好全面非物质文化遗产的传承和保护工作，2015年1月11—13日在广州市粤剧院，粤北采茶戏《阿三戏公爷》参加广东省珍稀剧种汇演；2月22日在广州会馆举办粤北采茶戏专场演出；3月4日在南雄市水口镇组织举办“龙狮凤虾闹元宵”民间展游活动；3月5日在南雄市时代广场举办元宵民间艺术表演及猜灯谜活动；5月28日在南雄市一小举办庆“六一”第二届三红文化艺术节暨非物质文化进校园活动；6月12日在南雄市青云东路举办2015年“保护成果、全民共享”文化遗产日宣传咨询活动；6月12日在广州会馆举办2015年“保护成果、全民共享”文化遗产日文艺演出；6月16日在珠玑镇珠玑小学举办非遗进校园——2015年举办传统音乐《龙船歌》培训班；6月20日在南雄市珠玑镇举办珠玑镇洋湖村和珠玑巷村闹端午民间艺术巡游活动；4月进行韶关市级第四批非物质文化遗产项目申报工作，并成功申报成功3个非遗项目，分别为传统舞蹈“茶花灯”、传统技艺“扎稻草龙技艺”和传统舞蹈“火龙、火狮、火虾、火凤”。</w:t>
      </w:r>
    </w:p>
    <w:p w14:paraId="486F9C39">
      <w:pPr>
        <w:pStyle w:val="4"/>
        <w:bidi w:val="0"/>
        <w:rPr>
          <w:rFonts w:hint="eastAsia"/>
          <w:highlight w:val="none"/>
        </w:rPr>
      </w:pPr>
      <w:r>
        <w:rPr>
          <w:rFonts w:hint="eastAsia"/>
          <w:highlight w:val="none"/>
        </w:rPr>
        <w:t>【撰写文艺宣传稿】</w:t>
      </w:r>
    </w:p>
    <w:p w14:paraId="3A90B1DD">
      <w:pPr>
        <w:rPr>
          <w:rFonts w:hint="eastAsia" w:hAnsi="宋体" w:eastAsia="宋体" w:cs="宋体"/>
          <w:highlight w:val="none"/>
          <w:lang w:eastAsia="zh-CN"/>
        </w:rPr>
      </w:pPr>
      <w:r>
        <w:rPr>
          <w:rFonts w:hint="eastAsia" w:hAnsi="宋体" w:cs="宋体"/>
          <w:highlight w:val="none"/>
        </w:rPr>
        <w:t>2015年被省、市采用新闻稿件20多件；撰写40多篇文艺活动、民间艺术等资料并被录入“大美南雄”。</w:t>
      </w:r>
    </w:p>
    <w:p w14:paraId="35693DB6">
      <w:pPr>
        <w:pStyle w:val="3"/>
        <w:bidi w:val="0"/>
        <w:rPr>
          <w:rFonts w:hint="eastAsia"/>
          <w:highlight w:val="none"/>
        </w:rPr>
      </w:pPr>
      <w:r>
        <w:rPr>
          <w:rFonts w:hint="eastAsia"/>
          <w:highlight w:val="none"/>
        </w:rPr>
        <w:t>文物古迹</w:t>
      </w:r>
    </w:p>
    <w:p w14:paraId="155C7FCD">
      <w:pPr>
        <w:pStyle w:val="4"/>
        <w:bidi w:val="0"/>
        <w:rPr>
          <w:rFonts w:hint="eastAsia"/>
          <w:highlight w:val="none"/>
        </w:rPr>
      </w:pPr>
      <w:r>
        <w:rPr>
          <w:rFonts w:hint="eastAsia"/>
          <w:highlight w:val="none"/>
        </w:rPr>
        <w:t>【南雄市博物馆】</w:t>
      </w:r>
    </w:p>
    <w:p w14:paraId="7D9F9664">
      <w:pPr>
        <w:rPr>
          <w:rFonts w:hint="eastAsia" w:hAnsi="宋体" w:cs="宋体"/>
          <w:highlight w:val="none"/>
        </w:rPr>
      </w:pPr>
      <w:r>
        <w:rPr>
          <w:rFonts w:hint="eastAsia" w:hAnsi="宋体" w:cs="宋体"/>
          <w:highlight w:val="none"/>
        </w:rPr>
        <w:t>南雄博物馆2015年底有干部职工7人，临时工2人。馆长庄子圣，副馆长李德炎、杨志丽。馆内设有南雄革命历史陈列、古生物化石展览、民俗历史文物陈列3个基本陈列厅，展出大量实物、图片、模型、复制品及文字资料。馆藏文物有2440件，其中一级文物5件，二级文物15件，三级文物125件。</w:t>
      </w:r>
    </w:p>
    <w:p w14:paraId="49E5ADF8">
      <w:pPr>
        <w:rPr>
          <w:rFonts w:hint="eastAsia" w:hAnsi="宋体" w:cs="宋体"/>
          <w:highlight w:val="none"/>
        </w:rPr>
      </w:pPr>
      <w:r>
        <w:rPr>
          <w:rFonts w:hint="eastAsia" w:hAnsi="宋体" w:cs="宋体"/>
          <w:highlight w:val="none"/>
        </w:rPr>
        <w:t>南雄市博物馆是国家三级博物馆、广东省中共党史教育基地和韶关市爱国主义教育基地，还负责管理全国重点文物保护单位三影塔、省级文物保护单位广州会馆、南雄府城正南门、瑶坑广东省委机关旧址。</w:t>
      </w:r>
    </w:p>
    <w:p w14:paraId="222D83CD">
      <w:pPr>
        <w:pStyle w:val="4"/>
        <w:bidi w:val="0"/>
        <w:rPr>
          <w:rFonts w:hint="eastAsia"/>
          <w:highlight w:val="none"/>
        </w:rPr>
      </w:pPr>
      <w:r>
        <w:rPr>
          <w:rFonts w:hint="eastAsia"/>
          <w:highlight w:val="none"/>
        </w:rPr>
        <w:t>【完成第一次全国可移动文物普查工作】</w:t>
      </w:r>
    </w:p>
    <w:p w14:paraId="75077A50">
      <w:pPr>
        <w:rPr>
          <w:rFonts w:hint="eastAsia" w:hAnsi="宋体" w:cs="宋体"/>
          <w:highlight w:val="none"/>
        </w:rPr>
      </w:pPr>
      <w:r>
        <w:rPr>
          <w:rFonts w:hint="eastAsia" w:hAnsi="宋体" w:cs="宋体"/>
          <w:highlight w:val="none"/>
        </w:rPr>
        <w:t>经过2014年南雄市国有文物收藏单位情况调查和普查统计，南雄市有2家国有文物收藏单位，分别是南雄市博物馆和南雄市档案馆。南雄市博物馆有可移动文物和化石标本2440件；南雄市档案馆有古籍和档案文书24件可移动文物。</w:t>
      </w:r>
    </w:p>
    <w:p w14:paraId="19BDBCE6">
      <w:pPr>
        <w:rPr>
          <w:rFonts w:hint="eastAsia" w:hAnsi="宋体" w:cs="宋体"/>
          <w:highlight w:val="none"/>
        </w:rPr>
      </w:pPr>
      <w:r>
        <w:rPr>
          <w:rFonts w:hint="eastAsia" w:hAnsi="宋体" w:cs="宋体"/>
          <w:highlight w:val="none"/>
        </w:rPr>
        <w:t>2015年2月完成全部可移动文物信息摄影、登录和数据上传工作，5月开展数据审核工作，对每件文物信息数据进行仔细审核，查漏补缺，在10月全部完成可移动文物数据审核工作和上报工作。</w:t>
      </w:r>
    </w:p>
    <w:p w14:paraId="5DF214F5">
      <w:pPr>
        <w:pStyle w:val="4"/>
        <w:bidi w:val="0"/>
        <w:rPr>
          <w:rFonts w:hint="eastAsia"/>
          <w:highlight w:val="none"/>
        </w:rPr>
      </w:pPr>
      <w:r>
        <w:rPr>
          <w:rFonts w:hint="eastAsia"/>
          <w:highlight w:val="none"/>
        </w:rPr>
        <w:t>【举办各种文化展览】</w:t>
      </w:r>
    </w:p>
    <w:p w14:paraId="1E30AB56">
      <w:pPr>
        <w:rPr>
          <w:rFonts w:hint="eastAsia" w:hAnsi="宋体" w:cs="宋体"/>
          <w:highlight w:val="none"/>
        </w:rPr>
      </w:pPr>
      <w:r>
        <w:rPr>
          <w:rFonts w:hint="eastAsia" w:hAnsi="宋体" w:cs="宋体"/>
          <w:highlight w:val="none"/>
        </w:rPr>
        <w:t>“南雄革命历史陈列”“南雄历史、民俗文物陈列”“恐龙古生化展”是3个基本展览。同时，博物馆拓宽渠道，充分利用资源，主动联系广东省流动博物馆、韶关市博物馆、广东东江纵队史实纪念馆和南雄市文联等相关单位，先后联办7个临时展览，包括：省、市的流动展览，“佛山木版年画展”，“我们只有一个地球·保护濒危动物立体图像展”；韶关市博物馆流动展览“抗日战争在广东——纪念抗日战争胜利70周年图片展”；合作举办展览：与广东东江纵队史实纪念馆合作举办“东江纵队史实主体陈列展”，由中共南雄市委主办，中共南雄市纪委、中共南雄市委宣传部协办“南雄市勤廉书法作品展”，南雄市文联主办的“中共广东省委机关旧址书法作品展”和“南雄市（中国梦·苏区情）书法艺术创作大赛作品展”。</w:t>
      </w:r>
    </w:p>
    <w:p w14:paraId="4837656D">
      <w:pPr>
        <w:rPr>
          <w:rFonts w:hint="eastAsia" w:hAnsi="宋体" w:cs="宋体"/>
          <w:highlight w:val="none"/>
        </w:rPr>
      </w:pPr>
      <w:r>
        <w:rPr>
          <w:rFonts w:hint="eastAsia" w:hAnsi="宋体" w:cs="宋体"/>
          <w:highlight w:val="none"/>
        </w:rPr>
        <w:t>2015年博物馆免费开放360天，节假日照常开放。参观人数计10万多人次，其中青少年观众7万多人次。实现观众零投诉。执行文物安保规章制度，馆内还更新、升级监控设施，全年未发生文物安保事故。</w:t>
      </w:r>
    </w:p>
    <w:p w14:paraId="684D2033">
      <w:pPr>
        <w:pStyle w:val="4"/>
        <w:bidi w:val="0"/>
        <w:rPr>
          <w:rFonts w:hint="eastAsia"/>
          <w:highlight w:val="none"/>
        </w:rPr>
      </w:pPr>
      <w:r>
        <w:rPr>
          <w:rFonts w:hint="eastAsia"/>
          <w:highlight w:val="none"/>
        </w:rPr>
        <w:t>【文物保护】</w:t>
      </w:r>
    </w:p>
    <w:p w14:paraId="03076808">
      <w:pPr>
        <w:rPr>
          <w:rFonts w:hint="eastAsia" w:hAnsi="宋体" w:cs="宋体"/>
          <w:highlight w:val="none"/>
        </w:rPr>
      </w:pPr>
      <w:r>
        <w:rPr>
          <w:rFonts w:hint="eastAsia" w:hAnsi="宋体" w:cs="宋体"/>
          <w:highlight w:val="none"/>
        </w:rPr>
        <w:t>博物馆除负责管理全国重点文物保护单位三影塔，广州会馆、瑶坑省委机关旧址和南雄府城正南门3个省级文物保护单位外，还定期对分布在全市各镇的各级文物保护单位进行文物安全巡查，确保文物安全。</w:t>
      </w:r>
    </w:p>
    <w:p w14:paraId="262D07B0">
      <w:pPr>
        <w:rPr>
          <w:rFonts w:hint="eastAsia" w:hAnsi="宋体" w:cs="宋体"/>
          <w:highlight w:val="none"/>
        </w:rPr>
      </w:pPr>
      <w:r>
        <w:rPr>
          <w:rFonts w:hint="eastAsia" w:hAnsi="宋体" w:cs="宋体"/>
          <w:highlight w:val="none"/>
        </w:rPr>
        <w:t>向国家、省级文物主管部门申报文物保护资金，完成2015年度国家重点文物保护、省级文物保护单位专项补助资金申报工作，提交关于南粤雄关与古道维修工程和保护规划编制、珠玑石塔保护规划编制、三影塔技防建设工程等项目的立项报告以及南雄府学宫大成殿保护规划编制、水西桥修复工程等省级重点文物保护单位的保护专项资金申报工作。</w:t>
      </w:r>
    </w:p>
    <w:p w14:paraId="565E2E7B">
      <w:pPr>
        <w:rPr>
          <w:rFonts w:hint="eastAsia" w:hAnsi="宋体" w:cs="宋体"/>
          <w:highlight w:val="none"/>
        </w:rPr>
      </w:pPr>
      <w:r>
        <w:rPr>
          <w:rFonts w:hint="eastAsia" w:hAnsi="宋体" w:cs="宋体"/>
          <w:highlight w:val="none"/>
        </w:rPr>
        <w:t>进行文物保护单位升级申报工作，有4个市级文物保护单位——坪林惜字塔、新龙塔、小竹塔、水西桥被公布为广东省第八批文物保护单位。</w:t>
      </w:r>
    </w:p>
    <w:p w14:paraId="00464886">
      <w:pPr>
        <w:rPr>
          <w:rFonts w:hint="eastAsia" w:hAnsi="宋体" w:cs="宋体"/>
          <w:highlight w:val="none"/>
        </w:rPr>
      </w:pPr>
      <w:r>
        <w:rPr>
          <w:rFonts w:hint="eastAsia" w:hAnsi="宋体" w:cs="宋体"/>
          <w:highlight w:val="none"/>
        </w:rPr>
        <w:t>4月，完成国保、省保“四有”档案整理工作。</w:t>
      </w:r>
    </w:p>
    <w:p w14:paraId="3439286A">
      <w:pPr>
        <w:pStyle w:val="4"/>
        <w:bidi w:val="0"/>
        <w:rPr>
          <w:rFonts w:hint="eastAsia"/>
          <w:highlight w:val="none"/>
        </w:rPr>
      </w:pPr>
      <w:r>
        <w:rPr>
          <w:rFonts w:hint="eastAsia"/>
          <w:highlight w:val="none"/>
        </w:rPr>
        <w:t>【文物修复】</w:t>
      </w:r>
    </w:p>
    <w:p w14:paraId="433B9892">
      <w:pPr>
        <w:rPr>
          <w:rFonts w:hint="eastAsia" w:hAnsi="宋体" w:cs="宋体"/>
          <w:highlight w:val="none"/>
        </w:rPr>
      </w:pPr>
      <w:r>
        <w:rPr>
          <w:rFonts w:hint="eastAsia" w:hAnsi="宋体" w:cs="宋体"/>
          <w:highlight w:val="none"/>
        </w:rPr>
        <w:t>完成三影塔主体工程修复工作和里东戏台、南雄府城正南门抢修工程和珠玑巷博物馆布展工程及结算工作；完成广州会馆保护规划编制政府采购工作和南粤雄关与古道保护规划编制项目政府采购工作；南雄市博物馆基础设施建设项目的立项、维修工程监理的邀标工作和招标工作已完成，并与华南理工大学建筑设计研究院签订许村塔维修工程设计方案合同。</w:t>
      </w:r>
    </w:p>
    <w:p w14:paraId="257C4EA2">
      <w:pPr>
        <w:rPr>
          <w:rFonts w:hint="eastAsia" w:hAnsi="宋体" w:cs="宋体"/>
          <w:highlight w:val="none"/>
        </w:rPr>
      </w:pPr>
      <w:r>
        <w:rPr>
          <w:rFonts w:hint="eastAsia" w:hAnsi="宋体" w:cs="宋体"/>
          <w:highlight w:val="none"/>
        </w:rPr>
        <w:t>完成全国重点文物保护单位三影塔、南粤雄关与古道及广东省文物保护单位珠玑石塔、里东戏台等11处文保单位标高测绘工作；完成三影塔、南粤雄关与古道和珠玑石塔等9处文物保护单位标志牌树立工作。（廖莎）</w:t>
      </w:r>
    </w:p>
    <w:p w14:paraId="0765C35F">
      <w:pPr>
        <w:rPr>
          <w:rFonts w:hint="eastAsia" w:hAnsi="宋体" w:eastAsia="宋体" w:cs="宋体"/>
          <w:b w:val="0"/>
          <w:bCs w:val="0"/>
          <w:highlight w:val="none"/>
          <w:lang w:eastAsia="zh-CN"/>
        </w:rPr>
      </w:pPr>
      <w:r>
        <w:rPr>
          <w:rFonts w:hint="eastAsia" w:hAnsi="宋体" w:cs="宋体"/>
          <w:b w:val="0"/>
          <w:bCs w:val="0"/>
          <w:highlight w:val="none"/>
        </w:rPr>
        <w:t>附：2015年市文广新局领导班子成员名单</w:t>
      </w:r>
    </w:p>
    <w:p w14:paraId="3CE05AC2">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长：李卫兰</w:t>
      </w:r>
    </w:p>
    <w:p w14:paraId="39003146">
      <w:pPr>
        <w:rPr>
          <w:rFonts w:hint="eastAsia" w:hAnsi="宋体" w:eastAsia="宋体" w:cs="宋体"/>
          <w:b w:val="0"/>
          <w:bCs w:val="0"/>
          <w:highlight w:val="none"/>
          <w:lang w:eastAsia="zh-CN"/>
        </w:rPr>
      </w:pPr>
      <w:r>
        <w:rPr>
          <w:rFonts w:hint="eastAsia" w:hAnsi="宋体" w:cs="宋体"/>
          <w:b w:val="0"/>
          <w:bCs w:val="0"/>
          <w:highlight w:val="none"/>
        </w:rPr>
        <w:t>副局长：曾昭雄 陈章林 钟筱蓉</w:t>
      </w:r>
    </w:p>
    <w:p w14:paraId="64D891FA">
      <w:pPr>
        <w:rPr>
          <w:rFonts w:hint="eastAsia" w:hAnsi="宋体" w:eastAsia="宋体" w:cs="宋体"/>
          <w:b w:val="0"/>
          <w:bCs w:val="0"/>
          <w:highlight w:val="none"/>
          <w:lang w:eastAsia="zh-CN"/>
        </w:rPr>
      </w:pPr>
      <w:r>
        <w:rPr>
          <w:rFonts w:hint="eastAsia" w:hAnsi="宋体" w:cs="宋体"/>
          <w:b w:val="0"/>
          <w:bCs w:val="0"/>
          <w:highlight w:val="none"/>
        </w:rPr>
        <w:t>执法队长：姚</w:t>
      </w:r>
      <w:r>
        <w:rPr>
          <w:rFonts w:hint="eastAsia" w:hAnsi="宋体" w:cs="宋体"/>
          <w:b w:val="0"/>
          <w:bCs w:val="0"/>
          <w:highlight w:val="none"/>
          <w:lang w:val="en-US" w:eastAsia="zh-CN"/>
        </w:rPr>
        <w:t xml:space="preserve">  </w:t>
      </w:r>
      <w:r>
        <w:rPr>
          <w:rFonts w:hint="eastAsia" w:hAnsi="宋体" w:cs="宋体"/>
          <w:b w:val="0"/>
          <w:bCs w:val="0"/>
          <w:highlight w:val="none"/>
        </w:rPr>
        <w:t>璟</w:t>
      </w:r>
    </w:p>
    <w:p w14:paraId="67295DE2">
      <w:pPr>
        <w:pStyle w:val="3"/>
        <w:bidi w:val="0"/>
        <w:rPr>
          <w:rFonts w:hint="eastAsia" w:eastAsia="宋体"/>
          <w:highlight w:val="none"/>
          <w:lang w:eastAsia="zh-CN"/>
        </w:rPr>
      </w:pPr>
      <w:r>
        <w:rPr>
          <w:rFonts w:hint="eastAsia"/>
          <w:highlight w:val="none"/>
        </w:rPr>
        <w:t>广播电视</w:t>
      </w:r>
    </w:p>
    <w:p w14:paraId="390BBACF">
      <w:pPr>
        <w:pStyle w:val="4"/>
        <w:bidi w:val="0"/>
        <w:rPr>
          <w:rFonts w:hint="eastAsia"/>
          <w:highlight w:val="none"/>
        </w:rPr>
      </w:pPr>
      <w:r>
        <w:rPr>
          <w:rFonts w:hint="eastAsia"/>
          <w:highlight w:val="none"/>
        </w:rPr>
        <w:t>【概况】</w:t>
      </w:r>
    </w:p>
    <w:p w14:paraId="4842DD37">
      <w:pPr>
        <w:rPr>
          <w:rFonts w:hint="eastAsia" w:hAnsi="宋体" w:cs="宋体"/>
          <w:highlight w:val="none"/>
        </w:rPr>
      </w:pPr>
      <w:r>
        <w:rPr>
          <w:rFonts w:hint="eastAsia" w:hAnsi="宋体" w:cs="宋体"/>
          <w:highlight w:val="none"/>
        </w:rPr>
        <w:t>南雄市广播电视台担负着宣传贯彻执行党和政府有关广播、电视方面的方针、政策和法律、法规，把握正确的舆论导向，充分发挥党和政府的喉舌作用，负责该市广播电视新闻报道宣传、专题、广告的制作播出，广播电视事业建设，负责转播全国农村中央广播电视节目无线覆盖工作，负责南雄市的广播电视安全播出工作，承办市委、市政府交办的其他事项。</w:t>
      </w:r>
    </w:p>
    <w:p w14:paraId="52C52B27">
      <w:pPr>
        <w:rPr>
          <w:rFonts w:hint="eastAsia" w:hAnsi="宋体" w:cs="宋体"/>
          <w:highlight w:val="none"/>
        </w:rPr>
      </w:pPr>
      <w:r>
        <w:rPr>
          <w:rFonts w:hint="eastAsia" w:hAnsi="宋体" w:cs="宋体"/>
          <w:highlight w:val="none"/>
        </w:rPr>
        <w:t>广播电视台内设办公室、财务部、总编室、事业技术部、电视新闻广告部、广播电台部，编制人数105人。2015年南雄市广播电视台围绕市委、市政府的中心工作，强化主流媒体的舆论引导力，加大品牌建设力度，加强对外宣传，推进机制改革创新，加快新媒体与传统媒体的融合，强化安全播出，全面完成全年各项工作目标，宣传工作取得新发展，为构建幸福南雄营造良好社会舆论氛围。</w:t>
      </w:r>
    </w:p>
    <w:p w14:paraId="3C18889B">
      <w:pPr>
        <w:pStyle w:val="4"/>
        <w:bidi w:val="0"/>
        <w:rPr>
          <w:rFonts w:hint="eastAsia"/>
          <w:highlight w:val="none"/>
        </w:rPr>
      </w:pPr>
      <w:r>
        <w:rPr>
          <w:rFonts w:hint="eastAsia"/>
          <w:highlight w:val="none"/>
        </w:rPr>
        <w:t>【广播电视宣传】</w:t>
      </w:r>
    </w:p>
    <w:p w14:paraId="2CBAD217">
      <w:pPr>
        <w:rPr>
          <w:rFonts w:hint="eastAsia" w:hAnsi="宋体" w:cs="宋体"/>
          <w:highlight w:val="none"/>
        </w:rPr>
      </w:pPr>
      <w:r>
        <w:rPr>
          <w:rFonts w:hint="eastAsia" w:hAnsi="宋体" w:cs="宋体"/>
          <w:highlight w:val="none"/>
        </w:rPr>
        <w:t>新开办《醉美南雄》《卫计前沿》《税务之窗》《环保之窗》《生态城乡》等5个栏目。广播电视台加强对“南雄电视台”微信公众号包装整合，实现公众号关注人数过万人和微信“粉丝”关注量过万两大目标。全年广播电台、电视台分别播出稿件3320篇和3152篇，制作各类专题25个。上送韶关广播电台、电视台播出稿件分别为605篇和560篇。广播电视精品创作再创佳绩。获得2015年度广东省县（市、区）广播电视新闻评析活动一等奖1件：《中国目前“最年轻”的恐龙足迹在南雄被发现》；三等奖1件：《邓坑村：举办第一届清明植树节外出乡贤返乡添新绿》。获得2015年度客家地区广播电视播音主持作品奖1件：主持人姚卫蔚获三等奖。获得2015年度韶关市广播电视节目奖的作品有9件，其中一等奖2件，二等奖3件，三等奖4件，一等奖作品为电视短消息：《中国目前“最年轻”的恐龙足迹在南雄被发现》；电视社教专题《敬礼，士兵》。</w:t>
      </w:r>
    </w:p>
    <w:p w14:paraId="7E44F2C3">
      <w:pPr>
        <w:pStyle w:val="4"/>
        <w:bidi w:val="0"/>
        <w:rPr>
          <w:rFonts w:hint="eastAsia"/>
          <w:highlight w:val="none"/>
        </w:rPr>
      </w:pPr>
      <w:r>
        <w:rPr>
          <w:rFonts w:hint="eastAsia"/>
          <w:highlight w:val="none"/>
        </w:rPr>
        <w:t>【广播电视事业发展】</w:t>
      </w:r>
    </w:p>
    <w:p w14:paraId="01EAD75D">
      <w:pPr>
        <w:rPr>
          <w:rFonts w:hint="eastAsia" w:hAnsi="宋体" w:cs="宋体"/>
          <w:highlight w:val="none"/>
        </w:rPr>
      </w:pPr>
      <w:r>
        <w:rPr>
          <w:rFonts w:hint="eastAsia" w:hAnsi="宋体" w:cs="宋体"/>
          <w:highlight w:val="none"/>
        </w:rPr>
        <w:t>数字电视双向改造及无线发射机房工程是2015年南雄市重点项目工作。通过城区光纤改造，数字电视前端双向改造，实现数字电视节目互动。经过一年的努力，广东省广播电视网络股份有限公司韶关南雄分公司目前已完成南雄市数字电视双向改造总体规划的审批程序，进入到数字电视高清互动工程的试运行阶段。争取省广电部门投入210万元在黎口无线发射台建设二层380平方米的无线发射机房及配套设备，完成了机房主体工程的建设和装修，进行设备的安装和调试。</w:t>
      </w:r>
    </w:p>
    <w:p w14:paraId="65C2F360">
      <w:pPr>
        <w:pStyle w:val="4"/>
        <w:bidi w:val="0"/>
        <w:rPr>
          <w:rFonts w:hint="eastAsia"/>
          <w:highlight w:val="none"/>
        </w:rPr>
      </w:pPr>
      <w:r>
        <w:rPr>
          <w:rFonts w:hint="eastAsia"/>
          <w:highlight w:val="none"/>
        </w:rPr>
        <w:t>【广电网络重组改革】</w:t>
      </w:r>
    </w:p>
    <w:p w14:paraId="00B50054">
      <w:pPr>
        <w:rPr>
          <w:rFonts w:hint="eastAsia" w:hAnsi="宋体" w:cs="宋体"/>
          <w:highlight w:val="none"/>
        </w:rPr>
      </w:pPr>
      <w:r>
        <w:rPr>
          <w:rFonts w:hint="eastAsia" w:hAnsi="宋体" w:cs="宋体"/>
          <w:highlight w:val="none"/>
        </w:rPr>
        <w:t>2015年南雄市广播电视台率先在韶关各县（市、区）完成广电网络改革重组工作，实现台网分离，广电网络业务由省广播电视网络股份有限公司管理。及时处理好台网财务移交工作，完成台网债务处理、房产、车辆过户等工作，确保台网分离后，广播电视台和南雄网络公司的正常有序运作。</w:t>
      </w:r>
    </w:p>
    <w:p w14:paraId="6EA3E9A6">
      <w:pPr>
        <w:pStyle w:val="4"/>
        <w:bidi w:val="0"/>
        <w:rPr>
          <w:rFonts w:hint="eastAsia"/>
          <w:highlight w:val="none"/>
        </w:rPr>
      </w:pPr>
      <w:r>
        <w:rPr>
          <w:rFonts w:hint="eastAsia"/>
          <w:highlight w:val="none"/>
        </w:rPr>
        <w:t>【广播电视队伍建设】</w:t>
      </w:r>
    </w:p>
    <w:p w14:paraId="1E73B423">
      <w:pPr>
        <w:ind w:firstLine="420"/>
        <w:rPr>
          <w:rFonts w:hint="eastAsia" w:hAnsi="宋体" w:eastAsia="宋体" w:cs="宋体"/>
          <w:highlight w:val="none"/>
          <w:lang w:eastAsia="zh-CN"/>
        </w:rPr>
      </w:pPr>
      <w:r>
        <w:rPr>
          <w:rFonts w:hint="eastAsia" w:hAnsi="宋体" w:cs="宋体"/>
          <w:highlight w:val="none"/>
        </w:rPr>
        <w:t>首次招聘引进高学历采编人员，其中1名硕士研究生和3名本科学历的新闻专业技术人员充实到新闻采编队伍中，为办好自办频道提供人才智力支持。</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5081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FD4068E">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62785"/>
                  <wp:effectExtent l="0" t="0" r="8890" b="18415"/>
                  <wp:docPr id="108" name="图片 276" descr="技能培训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76" descr="技能培训42"/>
                          <pic:cNvPicPr>
                            <a:picLocks noChangeAspect="1"/>
                          </pic:cNvPicPr>
                        </pic:nvPicPr>
                        <pic:blipFill>
                          <a:blip r:embed="rId113"/>
                          <a:stretch>
                            <a:fillRect/>
                          </a:stretch>
                        </pic:blipFill>
                        <pic:spPr>
                          <a:xfrm>
                            <a:off x="0" y="0"/>
                            <a:ext cx="3420110" cy="1962785"/>
                          </a:xfrm>
                          <a:prstGeom prst="rect">
                            <a:avLst/>
                          </a:prstGeom>
                          <a:noFill/>
                          <a:ln>
                            <a:noFill/>
                          </a:ln>
                        </pic:spPr>
                      </pic:pic>
                    </a:graphicData>
                  </a:graphic>
                </wp:inline>
              </w:drawing>
            </w:r>
          </w:p>
        </w:tc>
      </w:tr>
      <w:tr w14:paraId="644F7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73DB16B">
            <w:pPr>
              <w:jc w:val="center"/>
              <w:rPr>
                <w:rFonts w:hint="eastAsia" w:hAnsi="宋体" w:cs="宋体"/>
                <w:highlight w:val="none"/>
                <w:vertAlign w:val="baseline"/>
              </w:rPr>
            </w:pPr>
            <w:r>
              <w:rPr>
                <w:rFonts w:hint="eastAsia"/>
                <w:highlight w:val="none"/>
              </w:rPr>
              <w:t>举办劳动力技能培训</w:t>
            </w:r>
          </w:p>
        </w:tc>
      </w:tr>
    </w:tbl>
    <w:p w14:paraId="727D85A6">
      <w:pPr>
        <w:pStyle w:val="4"/>
        <w:bidi w:val="0"/>
        <w:rPr>
          <w:rFonts w:hint="eastAsia"/>
          <w:highlight w:val="none"/>
        </w:rPr>
      </w:pPr>
      <w:r>
        <w:rPr>
          <w:rFonts w:hint="eastAsia"/>
          <w:highlight w:val="none"/>
        </w:rPr>
        <w:t>【广播电视安全播出】</w:t>
      </w:r>
    </w:p>
    <w:p w14:paraId="33894291">
      <w:pPr>
        <w:rPr>
          <w:rFonts w:hint="eastAsia" w:hAnsi="宋体" w:cs="宋体"/>
          <w:highlight w:val="none"/>
        </w:rPr>
      </w:pPr>
      <w:r>
        <w:rPr>
          <w:rFonts w:hint="eastAsia" w:hAnsi="宋体" w:cs="宋体"/>
          <w:highlight w:val="none"/>
        </w:rPr>
        <w:t>不断完善安全播出制度，落实监管。加大安全监管力度，加强安全运行管理，继续完善节目审片制，机房24小时值班制及零事故报告制，梳理完善安全管理相关制度，严格落实，防患于未然，确保</w:t>
      </w:r>
      <w:r>
        <w:rPr>
          <w:rFonts w:hint="eastAsia" w:cs="宋体"/>
          <w:highlight w:val="none"/>
          <w:lang w:eastAsia="zh-CN"/>
        </w:rPr>
        <w:t>两会</w:t>
      </w:r>
      <w:r>
        <w:rPr>
          <w:rFonts w:hint="eastAsia" w:hAnsi="宋体" w:cs="宋体"/>
          <w:highlight w:val="none"/>
        </w:rPr>
        <w:t>、重大节假日等安全播出重要保障期正常播出。</w:t>
      </w:r>
    </w:p>
    <w:p w14:paraId="46A94A12">
      <w:pPr>
        <w:pStyle w:val="4"/>
        <w:bidi w:val="0"/>
        <w:rPr>
          <w:rFonts w:hint="eastAsia"/>
          <w:highlight w:val="none"/>
        </w:rPr>
      </w:pPr>
      <w:r>
        <w:rPr>
          <w:rFonts w:hint="eastAsia"/>
          <w:highlight w:val="none"/>
        </w:rPr>
        <w:t>【栏目设置】</w:t>
      </w:r>
    </w:p>
    <w:p w14:paraId="6DF66B2B">
      <w:pPr>
        <w:rPr>
          <w:rFonts w:hint="eastAsia" w:hAnsi="宋体" w:cs="宋体"/>
          <w:highlight w:val="none"/>
        </w:rPr>
      </w:pPr>
      <w:r>
        <w:rPr>
          <w:rFonts w:hint="eastAsia" w:hAnsi="宋体" w:cs="宋体"/>
          <w:highlight w:val="none"/>
        </w:rPr>
        <w:t>每天开设的固定栏目有《南雄新闻》《今日新闻提要》《美食发现》《品味南雄》《南雄警务报道》《南雄天气预报》《醉美南雄》《南雄人社》《烟叶之窗》《美丽南雄清洁城乡》《环卫聚焦》《绿色家园》《农业病虫测报》《卫计前沿》《税务之窗》《环保之窗》《生态城乡》《健康在线》等。（蓝惠娟）</w:t>
      </w:r>
    </w:p>
    <w:p w14:paraId="6B75AFD2">
      <w:pPr>
        <w:rPr>
          <w:rFonts w:hint="eastAsia" w:hAnsi="宋体" w:eastAsia="宋体" w:cs="宋体"/>
          <w:b w:val="0"/>
          <w:bCs w:val="0"/>
          <w:highlight w:val="none"/>
          <w:lang w:eastAsia="zh-CN"/>
        </w:rPr>
      </w:pPr>
      <w:r>
        <w:rPr>
          <w:rFonts w:hint="eastAsia" w:hAnsi="宋体" w:cs="宋体"/>
          <w:b w:val="0"/>
          <w:bCs w:val="0"/>
          <w:highlight w:val="none"/>
        </w:rPr>
        <w:t>附：2015年市广播电视台领导班子成员名单</w:t>
      </w:r>
    </w:p>
    <w:p w14:paraId="1E65F0D1">
      <w:pPr>
        <w:rPr>
          <w:rFonts w:hint="eastAsia" w:hAnsi="宋体" w:eastAsia="宋体" w:cs="宋体"/>
          <w:b w:val="0"/>
          <w:bCs w:val="0"/>
          <w:highlight w:val="none"/>
          <w:lang w:eastAsia="zh-CN"/>
        </w:rPr>
      </w:pPr>
      <w:r>
        <w:rPr>
          <w:rFonts w:hint="eastAsia" w:hAnsi="宋体" w:cs="宋体"/>
          <w:b w:val="0"/>
          <w:bCs w:val="0"/>
          <w:highlight w:val="none"/>
        </w:rPr>
        <w:t>台</w:t>
      </w:r>
      <w:r>
        <w:rPr>
          <w:rFonts w:hint="eastAsia" w:hAnsi="宋体" w:cs="宋体"/>
          <w:b w:val="0"/>
          <w:bCs w:val="0"/>
          <w:highlight w:val="none"/>
          <w:lang w:val="en-US" w:eastAsia="zh-CN"/>
        </w:rPr>
        <w:t xml:space="preserve">  </w:t>
      </w:r>
      <w:r>
        <w:rPr>
          <w:rFonts w:hint="eastAsia" w:hAnsi="宋体" w:cs="宋体"/>
          <w:b w:val="0"/>
          <w:bCs w:val="0"/>
          <w:highlight w:val="none"/>
        </w:rPr>
        <w:t>长：卢德政</w:t>
      </w:r>
    </w:p>
    <w:p w14:paraId="6A67C2C4">
      <w:pPr>
        <w:rPr>
          <w:rFonts w:hint="eastAsia" w:hAnsi="宋体" w:eastAsia="宋体" w:cs="宋体"/>
          <w:b w:val="0"/>
          <w:bCs w:val="0"/>
          <w:highlight w:val="none"/>
          <w:lang w:eastAsia="zh-CN"/>
        </w:rPr>
      </w:pPr>
      <w:r>
        <w:rPr>
          <w:rFonts w:hint="eastAsia" w:hAnsi="宋体" w:cs="宋体"/>
          <w:b w:val="0"/>
          <w:bCs w:val="0"/>
          <w:highlight w:val="none"/>
        </w:rPr>
        <w:t>副台长：刘</w:t>
      </w:r>
      <w:r>
        <w:rPr>
          <w:rFonts w:hint="eastAsia" w:hAnsi="宋体" w:cs="宋体"/>
          <w:b w:val="0"/>
          <w:bCs w:val="0"/>
          <w:highlight w:val="none"/>
          <w:lang w:val="en-US" w:eastAsia="zh-CN"/>
        </w:rPr>
        <w:t xml:space="preserve">  </w:t>
      </w:r>
      <w:r>
        <w:rPr>
          <w:rFonts w:hint="eastAsia" w:hAnsi="宋体" w:cs="宋体"/>
          <w:b w:val="0"/>
          <w:bCs w:val="0"/>
          <w:highlight w:val="none"/>
        </w:rPr>
        <w:t>勇 朱志军 蓝惠娟</w:t>
      </w:r>
    </w:p>
    <w:p w14:paraId="37E8B0BE">
      <w:pPr>
        <w:rPr>
          <w:rFonts w:hint="eastAsia" w:hAnsi="宋体" w:eastAsia="宋体" w:cs="宋体"/>
          <w:b w:val="0"/>
          <w:bCs w:val="0"/>
          <w:highlight w:val="none"/>
          <w:lang w:eastAsia="zh-CN"/>
        </w:rPr>
      </w:pPr>
      <w:r>
        <w:rPr>
          <w:rFonts w:hint="eastAsia" w:hAnsi="宋体" w:cs="宋体"/>
          <w:b w:val="0"/>
          <w:bCs w:val="0"/>
          <w:highlight w:val="none"/>
        </w:rPr>
        <w:t>工会主席：廖跃梅</w:t>
      </w:r>
    </w:p>
    <w:p w14:paraId="2AB62431">
      <w:pPr>
        <w:pStyle w:val="3"/>
        <w:bidi w:val="0"/>
        <w:rPr>
          <w:rFonts w:hint="eastAsia" w:eastAsia="宋体"/>
          <w:highlight w:val="none"/>
          <w:lang w:eastAsia="zh-CN"/>
        </w:rPr>
      </w:pPr>
      <w:r>
        <w:rPr>
          <w:rFonts w:hint="eastAsia"/>
          <w:highlight w:val="none"/>
        </w:rPr>
        <w:t>人力资源和社会保障</w:t>
      </w:r>
    </w:p>
    <w:p w14:paraId="33CB24B7">
      <w:pPr>
        <w:pStyle w:val="4"/>
        <w:bidi w:val="0"/>
        <w:rPr>
          <w:rFonts w:hint="eastAsia"/>
          <w:highlight w:val="none"/>
        </w:rPr>
      </w:pPr>
      <w:r>
        <w:rPr>
          <w:rFonts w:hint="eastAsia"/>
          <w:highlight w:val="none"/>
        </w:rPr>
        <w:t>【概况】</w:t>
      </w:r>
    </w:p>
    <w:p w14:paraId="43C05A9A">
      <w:pPr>
        <w:rPr>
          <w:rFonts w:hint="eastAsia" w:hAnsi="宋体" w:cs="宋体"/>
          <w:highlight w:val="none"/>
        </w:rPr>
      </w:pPr>
      <w:r>
        <w:rPr>
          <w:rFonts w:hint="eastAsia" w:hAnsi="宋体" w:cs="宋体"/>
          <w:highlight w:val="none"/>
        </w:rPr>
        <w:t>南雄市人力资源和社会保障局是正科级行政单位，为南雄市人民政府工作部门，内设8个股室：办公室、就业促进股、职业能力建设股、事业单位人事管理股、工资福利股、劳动保障监察综合执法大队、社会保障股和公务员办公室。同时下属4个事业单位：南雄市人才工作管理办公室（市人才服务中心）、南雄市劳动人事争议仲裁院、南雄市就业服务管理局、南雄市人力资源管理办公室。</w:t>
      </w:r>
    </w:p>
    <w:p w14:paraId="1C786387">
      <w:pPr>
        <w:pStyle w:val="4"/>
        <w:bidi w:val="0"/>
        <w:rPr>
          <w:rFonts w:hint="eastAsia"/>
          <w:highlight w:val="none"/>
        </w:rPr>
      </w:pPr>
      <w:r>
        <w:rPr>
          <w:rFonts w:hint="eastAsia"/>
          <w:highlight w:val="none"/>
        </w:rPr>
        <w:t>【城乡统筹就业】</w:t>
      </w:r>
    </w:p>
    <w:p w14:paraId="478C3177">
      <w:pPr>
        <w:rPr>
          <w:rFonts w:hint="eastAsia" w:hAnsi="宋体" w:cs="宋体"/>
          <w:highlight w:val="none"/>
        </w:rPr>
      </w:pPr>
      <w:r>
        <w:rPr>
          <w:rFonts w:hint="eastAsia" w:hAnsi="宋体" w:cs="宋体"/>
          <w:highlight w:val="none"/>
        </w:rPr>
        <w:t>2015年实现城镇新增就业5025人，新增转移就业劳动力6358人，城镇失业人员再就业3521人，就业困难人员实现就业439人，促进创业171人，城镇登记失业率控制在3%以内；发放各类创业就业补贴资金215.41万元，惠及3542人；帮扶创业169人，发放创业担保贷款68笔，666万元，带动就业348人；举办专场招聘会32场，成功推荐就业3596人。</w:t>
      </w:r>
    </w:p>
    <w:p w14:paraId="1AE4FEB3">
      <w:pPr>
        <w:pStyle w:val="4"/>
        <w:bidi w:val="0"/>
        <w:rPr>
          <w:rFonts w:hint="eastAsia"/>
          <w:highlight w:val="none"/>
        </w:rPr>
      </w:pPr>
      <w:r>
        <w:rPr>
          <w:rFonts w:hint="eastAsia"/>
          <w:highlight w:val="none"/>
        </w:rPr>
        <w:t>【劳动力技能晋升培训】</w:t>
      </w:r>
    </w:p>
    <w:p w14:paraId="29CB07B2">
      <w:pPr>
        <w:rPr>
          <w:rFonts w:hint="eastAsia" w:hAnsi="宋体" w:cs="宋体"/>
          <w:highlight w:val="none"/>
        </w:rPr>
      </w:pPr>
      <w:r>
        <w:rPr>
          <w:rFonts w:hint="eastAsia" w:hAnsi="宋体" w:cs="宋体"/>
          <w:highlight w:val="none"/>
        </w:rPr>
        <w:t>2015年组织开展以初级家政服务员、育婴员培训专业为主的劳动力技能培训班28期，完成培训开班的有769人，完成年度目标任务的128.2%。</w:t>
      </w:r>
    </w:p>
    <w:p w14:paraId="5C5EE58A">
      <w:pPr>
        <w:pStyle w:val="4"/>
        <w:bidi w:val="0"/>
        <w:rPr>
          <w:rFonts w:hint="eastAsia"/>
          <w:highlight w:val="none"/>
        </w:rPr>
      </w:pPr>
      <w:r>
        <w:rPr>
          <w:rFonts w:hint="eastAsia"/>
          <w:highlight w:val="none"/>
        </w:rPr>
        <w:t>【职业技能鉴定】</w:t>
      </w:r>
    </w:p>
    <w:p w14:paraId="53A261B1">
      <w:pPr>
        <w:rPr>
          <w:rFonts w:hint="eastAsia" w:hAnsi="宋体" w:cs="宋体"/>
          <w:highlight w:val="none"/>
        </w:rPr>
      </w:pPr>
      <w:r>
        <w:rPr>
          <w:rFonts w:hint="eastAsia" w:hAnsi="宋体" w:cs="宋体"/>
          <w:highlight w:val="none"/>
        </w:rPr>
        <w:t>2015年组织职业技能鉴定考试考务共13个批次，合计报考415人，参考340人，获证302人。</w:t>
      </w:r>
    </w:p>
    <w:p w14:paraId="36627F13">
      <w:pPr>
        <w:pStyle w:val="4"/>
        <w:bidi w:val="0"/>
        <w:rPr>
          <w:rFonts w:hint="eastAsia"/>
          <w:highlight w:val="none"/>
        </w:rPr>
      </w:pPr>
      <w:r>
        <w:rPr>
          <w:rFonts w:hint="eastAsia"/>
          <w:highlight w:val="none"/>
        </w:rPr>
        <w:t>【劳动监察】</w:t>
      </w:r>
    </w:p>
    <w:p w14:paraId="6BE842D1">
      <w:pPr>
        <w:rPr>
          <w:rFonts w:hint="eastAsia" w:hAnsi="宋体" w:cs="宋体"/>
          <w:highlight w:val="none"/>
        </w:rPr>
      </w:pPr>
      <w:r>
        <w:rPr>
          <w:rFonts w:hint="eastAsia" w:hAnsi="宋体" w:cs="宋体"/>
          <w:highlight w:val="none"/>
        </w:rPr>
        <w:t>推动劳动保障监察综合行政执法体制改革，落实行政执法编制10名。开展农民工工资支付、规范人力资源市场秩序、规范劳务派遣、整治非法用工、打击劳动保障违法犯罪等多项专项行动，开展“矛盾化解年”劳资纠纷隐患排查和案件集中处置，2015年巡查检查企业355户，涉及劳动者15200人。</w:t>
      </w:r>
    </w:p>
    <w:p w14:paraId="6B241C0D">
      <w:pPr>
        <w:pStyle w:val="4"/>
        <w:bidi w:val="0"/>
        <w:rPr>
          <w:rFonts w:hint="eastAsia"/>
          <w:highlight w:val="none"/>
        </w:rPr>
      </w:pPr>
      <w:r>
        <w:rPr>
          <w:rFonts w:hint="eastAsia"/>
          <w:highlight w:val="none"/>
        </w:rPr>
        <w:t>【劳动信访】</w:t>
      </w:r>
    </w:p>
    <w:p w14:paraId="5CA83CC2">
      <w:pPr>
        <w:rPr>
          <w:rFonts w:hint="eastAsia" w:hAnsi="宋体" w:cs="宋体"/>
          <w:highlight w:val="none"/>
        </w:rPr>
      </w:pPr>
      <w:r>
        <w:rPr>
          <w:rFonts w:hint="eastAsia" w:hAnsi="宋体" w:cs="宋体"/>
          <w:highlight w:val="none"/>
        </w:rPr>
        <w:t>2015年规划建设县级劳资纠纷应急处置（指挥）中心。受理劳动保障举报投诉案件172宗，结案率96.3%；受理来信、来电和来访33批次，办结率100%；为劳动者追回拖欠、克扣工资3150万元。</w:t>
      </w:r>
    </w:p>
    <w:p w14:paraId="249E50CC">
      <w:pPr>
        <w:pStyle w:val="4"/>
        <w:bidi w:val="0"/>
        <w:rPr>
          <w:rFonts w:hint="eastAsia"/>
          <w:highlight w:val="none"/>
        </w:rPr>
      </w:pPr>
      <w:r>
        <w:rPr>
          <w:rFonts w:hint="eastAsia"/>
          <w:highlight w:val="none"/>
        </w:rPr>
        <w:t>【劳动关系规范管理】</w:t>
      </w:r>
    </w:p>
    <w:p w14:paraId="543499FC">
      <w:pPr>
        <w:rPr>
          <w:rFonts w:hint="eastAsia" w:hAnsi="宋体" w:cs="宋体"/>
          <w:highlight w:val="none"/>
        </w:rPr>
      </w:pPr>
      <w:r>
        <w:rPr>
          <w:rFonts w:hint="eastAsia" w:hAnsi="宋体" w:cs="宋体"/>
          <w:highlight w:val="none"/>
        </w:rPr>
        <w:t>2015年开展和谐劳动关系示范点建设工作，落实企业用工合同签订率94.3%；办理工伤案件102件，其中受理98宗，不予受理4宗。</w:t>
      </w:r>
    </w:p>
    <w:p w14:paraId="615ADA2F">
      <w:pPr>
        <w:pStyle w:val="4"/>
        <w:bidi w:val="0"/>
        <w:rPr>
          <w:rFonts w:hint="eastAsia"/>
          <w:highlight w:val="none"/>
        </w:rPr>
      </w:pPr>
      <w:r>
        <w:rPr>
          <w:rFonts w:hint="eastAsia"/>
          <w:highlight w:val="none"/>
        </w:rPr>
        <w:t>【劳动争议处理】</w:t>
      </w:r>
    </w:p>
    <w:p w14:paraId="2A22BA10">
      <w:pPr>
        <w:rPr>
          <w:rFonts w:hint="eastAsia" w:hAnsi="宋体" w:cs="宋体"/>
          <w:highlight w:val="none"/>
        </w:rPr>
      </w:pPr>
      <w:r>
        <w:rPr>
          <w:rFonts w:hint="eastAsia" w:hAnsi="宋体" w:cs="宋体"/>
          <w:highlight w:val="none"/>
        </w:rPr>
        <w:t>2015年处理劳动人事争议仲裁案件204宗，办结204宗，结案率100%，均为法定审限内结案，涉及劳动者240人，涉及经济标的608.68万元。其中仲裁调解84宗，庭外调解51宗，仲裁裁决29宗，撤诉12宗，不予受理28宗，调解率83.5%。</w:t>
      </w:r>
    </w:p>
    <w:p w14:paraId="5C23C2FD">
      <w:pPr>
        <w:pStyle w:val="4"/>
        <w:bidi w:val="0"/>
        <w:rPr>
          <w:rFonts w:hint="eastAsia"/>
          <w:highlight w:val="none"/>
        </w:rPr>
      </w:pPr>
      <w:r>
        <w:rPr>
          <w:rFonts w:hint="eastAsia"/>
          <w:highlight w:val="none"/>
        </w:rPr>
        <w:t>【人才服务工作】</w:t>
      </w:r>
    </w:p>
    <w:p w14:paraId="2065E072">
      <w:pPr>
        <w:rPr>
          <w:rFonts w:hint="eastAsia" w:hAnsi="宋体" w:cs="宋体"/>
          <w:highlight w:val="none"/>
        </w:rPr>
      </w:pPr>
      <w:r>
        <w:rPr>
          <w:rFonts w:hint="eastAsia" w:hAnsi="宋体" w:cs="宋体"/>
          <w:highlight w:val="none"/>
        </w:rPr>
        <w:t>2015年实行高校毕业生网上报到和现场报到相结合的方式，为1544名高校毕业生办理毕业报到登记手续。跟踪2015年离校未就业高校毕业生就业情况25人次。从2015年起严格按照档案管理新规，对所有档案实行免费保管。办理人事代理183人次，档案保存188人次，办理流动人员人事调动、档案转递319人次。落实全市专业技术人员开展《新时期法治思维与法治风尚》公需科目培训，参训人员5689人，完成2015年度专业技术人员继续教育记录认定5547人3.13万项申报数据。</w:t>
      </w:r>
    </w:p>
    <w:p w14:paraId="0F4F17CD">
      <w:pPr>
        <w:pStyle w:val="4"/>
        <w:bidi w:val="0"/>
        <w:rPr>
          <w:rFonts w:hint="eastAsia"/>
          <w:highlight w:val="none"/>
        </w:rPr>
      </w:pPr>
      <w:r>
        <w:rPr>
          <w:rFonts w:hint="eastAsia"/>
          <w:highlight w:val="none"/>
        </w:rPr>
        <w:t>【干部管理】</w:t>
      </w:r>
    </w:p>
    <w:p w14:paraId="36C543B4">
      <w:pPr>
        <w:rPr>
          <w:rFonts w:hint="eastAsia" w:hAnsi="宋体" w:cs="宋体"/>
          <w:highlight w:val="none"/>
        </w:rPr>
      </w:pPr>
      <w:r>
        <w:rPr>
          <w:rFonts w:hint="eastAsia" w:hAnsi="宋体" w:cs="宋体"/>
          <w:highlight w:val="none"/>
        </w:rPr>
        <w:t>2015年录用公务员65名，其中机关录用35名，乡镇录用30名；办理公务员人事调动70人。办理提前退休3人；组织40名公务员到东莞参加对口培训；开展《依法行政与法治思维》专题内容的全员培训工作，全市参加培训公务员有2138人；按照《公务员法》规定，对153名新录用公务员（2014年90人、2015年63人）进行为期15天初任培训；组织全市83个单位1940名在职干部参加广东省干部培训网络学院在线培训学习。</w:t>
      </w:r>
    </w:p>
    <w:p w14:paraId="0515103A">
      <w:pPr>
        <w:pStyle w:val="4"/>
        <w:bidi w:val="0"/>
        <w:rPr>
          <w:rFonts w:hint="eastAsia"/>
          <w:highlight w:val="none"/>
        </w:rPr>
      </w:pPr>
      <w:r>
        <w:rPr>
          <w:rFonts w:hint="eastAsia"/>
          <w:highlight w:val="none"/>
        </w:rPr>
        <w:t>【企业军转干解困】</w:t>
      </w:r>
    </w:p>
    <w:p w14:paraId="0429BE54">
      <w:pPr>
        <w:rPr>
          <w:rFonts w:hint="eastAsia" w:hAnsi="宋体" w:cs="宋体"/>
          <w:highlight w:val="none"/>
        </w:rPr>
      </w:pPr>
      <w:r>
        <w:rPr>
          <w:rFonts w:hint="eastAsia" w:hAnsi="宋体" w:cs="宋体"/>
          <w:highlight w:val="none"/>
        </w:rPr>
        <w:t>2015年提高企业军转干部解困待遇，标准增加70元，新标准从10月起执行。</w:t>
      </w:r>
    </w:p>
    <w:p w14:paraId="5C00C178">
      <w:pPr>
        <w:pStyle w:val="4"/>
        <w:bidi w:val="0"/>
        <w:rPr>
          <w:rFonts w:hint="eastAsia"/>
          <w:highlight w:val="none"/>
        </w:rPr>
      </w:pPr>
      <w:r>
        <w:rPr>
          <w:rFonts w:hint="eastAsia"/>
          <w:highlight w:val="none"/>
        </w:rPr>
        <w:t>【职称工作】</w:t>
      </w:r>
    </w:p>
    <w:p w14:paraId="0EC0FC4D">
      <w:pPr>
        <w:rPr>
          <w:rFonts w:hint="eastAsia" w:hAnsi="宋体" w:cs="宋体"/>
          <w:highlight w:val="none"/>
        </w:rPr>
      </w:pPr>
      <w:r>
        <w:rPr>
          <w:rFonts w:hint="eastAsia" w:hAnsi="宋体" w:cs="宋体"/>
          <w:highlight w:val="none"/>
        </w:rPr>
        <w:t>2015年向省推荐申报评审高级职称26人，向韶关推荐评审中级职称46人，向南雄市推荐评审初级职称4人。办理20人的专业技术资格认定，发放南雄市初级职称资格证书共18人，中级职称资格证书2人。</w:t>
      </w:r>
    </w:p>
    <w:p w14:paraId="0ACE0C0B">
      <w:pPr>
        <w:pStyle w:val="4"/>
        <w:bidi w:val="0"/>
        <w:rPr>
          <w:rFonts w:hint="eastAsia"/>
          <w:highlight w:val="none"/>
        </w:rPr>
      </w:pPr>
      <w:r>
        <w:rPr>
          <w:rFonts w:hint="eastAsia"/>
          <w:highlight w:val="none"/>
        </w:rPr>
        <w:t>【人事考试】</w:t>
      </w:r>
    </w:p>
    <w:p w14:paraId="3FB404E0">
      <w:pPr>
        <w:rPr>
          <w:rFonts w:hint="eastAsia" w:hAnsi="宋体" w:cs="宋体"/>
          <w:highlight w:val="none"/>
        </w:rPr>
      </w:pPr>
      <w:r>
        <w:rPr>
          <w:rFonts w:hint="eastAsia" w:hAnsi="宋体" w:cs="宋体"/>
          <w:highlight w:val="none"/>
        </w:rPr>
        <w:t>2015年，组织5次事业单位公开招聘，其中省统招2次，招聘教育、卫计、财政、住建、国土、广电、文化等系统下属事业单位109人。</w:t>
      </w:r>
    </w:p>
    <w:p w14:paraId="020644F0">
      <w:pPr>
        <w:pStyle w:val="4"/>
        <w:bidi w:val="0"/>
        <w:rPr>
          <w:rFonts w:hint="eastAsia"/>
          <w:highlight w:val="none"/>
        </w:rPr>
      </w:pPr>
      <w:r>
        <w:rPr>
          <w:rFonts w:hint="eastAsia"/>
          <w:highlight w:val="none"/>
        </w:rPr>
        <w:t>【工资与福利】</w:t>
      </w:r>
    </w:p>
    <w:p w14:paraId="1FC6AC46">
      <w:pPr>
        <w:rPr>
          <w:rFonts w:hint="eastAsia" w:hAnsi="宋体" w:cs="宋体"/>
          <w:highlight w:val="none"/>
        </w:rPr>
      </w:pPr>
      <w:r>
        <w:rPr>
          <w:rFonts w:hint="eastAsia" w:hAnsi="宋体" w:cs="宋体"/>
          <w:highlight w:val="none"/>
        </w:rPr>
        <w:t>2015年建立执行县以下公务员职务与职级并行制度，703名公务员兑现高一职务层次非领导职务工资待遇；对全市各单位自行发放的津贴补贴项目和金额调整规范，进一步规范发放项目、金额上限、资金来源和发放形式；8月起兑现南雄市8763名机关事业单位工作人员新工资标准，增加南雄市4103名机关事业单位退休人员基本退休费，同时将部分津贴补贴纳入基本工资；会同组织部、编办对市直机关、乡镇公务交通补贴的发放标准和发放人员进行审批；严格执行各项工资福利政策，做好各项调研、调查工作，及时办理工作人员退休及批复抚恤金和遗属生活困难补助等。</w:t>
      </w:r>
    </w:p>
    <w:p w14:paraId="291B4345">
      <w:pPr>
        <w:pStyle w:val="4"/>
        <w:bidi w:val="0"/>
        <w:rPr>
          <w:rFonts w:hint="eastAsia"/>
          <w:highlight w:val="none"/>
        </w:rPr>
      </w:pPr>
      <w:r>
        <w:rPr>
          <w:rFonts w:hint="eastAsia"/>
          <w:highlight w:val="none"/>
        </w:rPr>
        <w:t>【城乡居民养老、医疗保险】</w:t>
      </w:r>
    </w:p>
    <w:p w14:paraId="7C189E0F">
      <w:pPr>
        <w:rPr>
          <w:rFonts w:hint="eastAsia" w:hAnsi="宋体" w:cs="宋体"/>
          <w:highlight w:val="none"/>
        </w:rPr>
      </w:pPr>
      <w:r>
        <w:rPr>
          <w:rFonts w:hint="eastAsia" w:hAnsi="宋体" w:cs="宋体"/>
          <w:highlight w:val="none"/>
        </w:rPr>
        <w:t>2015年全市17.45万人参加城乡居保，完成任务数101.42%，其中续费人数为10.76万人，完成任务数的108.12%，有6.52万人享受待遇，完成6万多人生存认证工作；38.02万人参加2016年度城乡医保；职工基本养老保险参保人员3.2万人（企业数），完成任务数的100.05%；基金征收1.69亿元。完成31个批次征地滞留资金3044.87万元的名单上报、分配工作。（陈龙吟）</w:t>
      </w:r>
    </w:p>
    <w:p w14:paraId="57D547CE">
      <w:pPr>
        <w:rPr>
          <w:rFonts w:hint="eastAsia" w:hAnsi="宋体" w:eastAsia="宋体" w:cs="宋体"/>
          <w:b w:val="0"/>
          <w:bCs w:val="0"/>
          <w:highlight w:val="none"/>
          <w:lang w:eastAsia="zh-CN"/>
        </w:rPr>
      </w:pPr>
      <w:r>
        <w:rPr>
          <w:rFonts w:hint="eastAsia" w:hAnsi="宋体" w:cs="宋体"/>
          <w:b w:val="0"/>
          <w:bCs w:val="0"/>
          <w:highlight w:val="none"/>
        </w:rPr>
        <w:t>附：2015年市人社局领导班子成员名单</w:t>
      </w:r>
    </w:p>
    <w:p w14:paraId="274C42BE">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长：王婉霞</w:t>
      </w:r>
    </w:p>
    <w:p w14:paraId="39750589">
      <w:pPr>
        <w:rPr>
          <w:rFonts w:hint="eastAsia" w:hAnsi="宋体" w:cs="宋体"/>
          <w:highlight w:val="none"/>
        </w:rPr>
      </w:pPr>
      <w:r>
        <w:rPr>
          <w:rFonts w:hint="eastAsia" w:hAnsi="宋体" w:cs="宋体"/>
          <w:b w:val="0"/>
          <w:bCs w:val="0"/>
          <w:highlight w:val="none"/>
        </w:rPr>
        <w:t>副局长：雷</w:t>
      </w:r>
      <w:r>
        <w:rPr>
          <w:rFonts w:hint="eastAsia" w:hAnsi="宋体" w:cs="宋体"/>
          <w:highlight w:val="none"/>
        </w:rPr>
        <w:t>清荣</w:t>
      </w:r>
      <w:r>
        <w:rPr>
          <w:rFonts w:hint="eastAsia" w:cs="宋体"/>
          <w:highlight w:val="none"/>
          <w:lang w:val="en-US" w:eastAsia="zh-CN"/>
        </w:rPr>
        <w:t xml:space="preserve"> </w:t>
      </w:r>
      <w:r>
        <w:rPr>
          <w:rFonts w:hint="eastAsia" w:hAnsi="宋体" w:cs="宋体"/>
          <w:highlight w:val="none"/>
        </w:rPr>
        <w:t>钟海</w:t>
      </w:r>
    </w:p>
    <w:p w14:paraId="0AC4BCAA">
      <w:pPr>
        <w:ind w:firstLine="1260" w:firstLineChars="600"/>
        <w:rPr>
          <w:rFonts w:hint="eastAsia" w:hAnsi="宋体" w:eastAsia="宋体" w:cs="宋体"/>
          <w:highlight w:val="none"/>
          <w:lang w:eastAsia="zh-CN"/>
        </w:rPr>
      </w:pPr>
      <w:r>
        <w:rPr>
          <w:rFonts w:hint="eastAsia" w:hAnsi="宋体" w:cs="宋体"/>
          <w:highlight w:val="none"/>
        </w:rPr>
        <w:t>曾文彬（12月任）</w:t>
      </w:r>
    </w:p>
    <w:p w14:paraId="603FA019">
      <w:pPr>
        <w:rPr>
          <w:rFonts w:hint="eastAsia" w:hAnsi="宋体" w:eastAsia="宋体" w:cs="宋体"/>
          <w:highlight w:val="none"/>
          <w:lang w:eastAsia="zh-CN"/>
        </w:rPr>
      </w:pPr>
      <w:r>
        <w:rPr>
          <w:rFonts w:hint="eastAsia" w:hAnsi="宋体" w:cs="宋体"/>
          <w:highlight w:val="none"/>
        </w:rPr>
        <w:t>纪检组长：吴启超</w:t>
      </w:r>
    </w:p>
    <w:p w14:paraId="699726B7">
      <w:pPr>
        <w:pStyle w:val="3"/>
        <w:bidi w:val="0"/>
        <w:rPr>
          <w:rFonts w:hint="eastAsia" w:eastAsia="宋体"/>
          <w:highlight w:val="none"/>
          <w:lang w:eastAsia="zh-CN"/>
        </w:rPr>
      </w:pPr>
      <w:r>
        <w:rPr>
          <w:rFonts w:hint="eastAsia"/>
          <w:highlight w:val="none"/>
        </w:rPr>
        <w:t>社会保险</w:t>
      </w:r>
    </w:p>
    <w:p w14:paraId="37BABD15">
      <w:pPr>
        <w:pStyle w:val="4"/>
        <w:bidi w:val="0"/>
        <w:rPr>
          <w:rFonts w:hint="eastAsia"/>
          <w:highlight w:val="none"/>
        </w:rPr>
      </w:pPr>
      <w:r>
        <w:rPr>
          <w:rFonts w:hint="eastAsia"/>
          <w:highlight w:val="none"/>
        </w:rPr>
        <w:t>【概况】</w:t>
      </w:r>
    </w:p>
    <w:p w14:paraId="6CD3C51F">
      <w:pPr>
        <w:rPr>
          <w:rFonts w:hint="eastAsia" w:hAnsi="宋体" w:cs="宋体"/>
          <w:highlight w:val="none"/>
        </w:rPr>
      </w:pPr>
      <w:r>
        <w:rPr>
          <w:rFonts w:hint="eastAsia" w:hAnsi="宋体" w:cs="宋体"/>
          <w:highlight w:val="none"/>
        </w:rPr>
        <w:t>韶关市社会保险服务管理局南雄分局位于南雄市水南路42号，参照公务员管理事业单位，公益一类，正科级，编制33人，在职人员31人，是南雄市社会保险经办机构，隶属于韶关市社会保险服务管理局，主要负责辖区内有关社会保险经办工作。</w:t>
      </w:r>
    </w:p>
    <w:p w14:paraId="2B37011E">
      <w:pPr>
        <w:pStyle w:val="4"/>
        <w:bidi w:val="0"/>
        <w:rPr>
          <w:rFonts w:hint="eastAsia"/>
          <w:highlight w:val="none"/>
        </w:rPr>
      </w:pPr>
      <w:r>
        <w:rPr>
          <w:rFonts w:hint="eastAsia"/>
          <w:highlight w:val="none"/>
        </w:rPr>
        <w:t>【社会保险基金管理】</w:t>
      </w:r>
    </w:p>
    <w:p w14:paraId="277DEFE8">
      <w:pPr>
        <w:rPr>
          <w:rFonts w:hint="eastAsia" w:hAnsi="宋体" w:cs="宋体"/>
          <w:highlight w:val="none"/>
        </w:rPr>
      </w:pPr>
      <w:r>
        <w:rPr>
          <w:rFonts w:hint="eastAsia" w:hAnsi="宋体" w:cs="宋体"/>
          <w:highlight w:val="none"/>
        </w:rPr>
        <w:t>社保基金管理严格遵守收支两条线规定，地方税务局征收，当地财政局管理、社保分局支付，必须做到同步记账及账账相符，确保社保基金安全。2015年社会保险7个险种征缴5.88亿元，支出5.09亿元。</w:t>
      </w:r>
    </w:p>
    <w:p w14:paraId="28EB7526">
      <w:pPr>
        <w:pStyle w:val="4"/>
        <w:bidi w:val="0"/>
        <w:rPr>
          <w:rFonts w:hint="eastAsia"/>
          <w:highlight w:val="none"/>
        </w:rPr>
      </w:pPr>
      <w:r>
        <w:rPr>
          <w:rFonts w:hint="eastAsia"/>
          <w:highlight w:val="none"/>
        </w:rPr>
        <w:t>【职工养老保险】</w:t>
      </w:r>
    </w:p>
    <w:p w14:paraId="5887FF60">
      <w:pPr>
        <w:rPr>
          <w:rFonts w:hint="eastAsia" w:hAnsi="宋体" w:cs="宋体"/>
          <w:highlight w:val="none"/>
        </w:rPr>
      </w:pPr>
      <w:r>
        <w:rPr>
          <w:rFonts w:hint="eastAsia" w:hAnsi="宋体" w:cs="宋体"/>
          <w:highlight w:val="none"/>
        </w:rPr>
        <w:t>2015年全市城镇职工基本养老保险参保人数52059人，完成全年计划100.1%。其中企业职工基本养老保险参保人数33768人，完成年度计划100.1%。</w:t>
      </w:r>
    </w:p>
    <w:p w14:paraId="221EC952">
      <w:pPr>
        <w:rPr>
          <w:rFonts w:hint="eastAsia" w:hAnsi="宋体" w:cs="宋体"/>
          <w:highlight w:val="none"/>
        </w:rPr>
      </w:pPr>
      <w:r>
        <w:rPr>
          <w:rFonts w:hint="eastAsia" w:hAnsi="宋体" w:cs="宋体"/>
          <w:highlight w:val="none"/>
        </w:rPr>
        <w:t>2015年全市城镇职工基本养老保险征缴收入1.92亿元，完成年度计划92.03%，其中企业职工基本养老保险缴收入1.69亿元，完成年度计划90.02%。</w:t>
      </w:r>
    </w:p>
    <w:p w14:paraId="4F63D917">
      <w:pPr>
        <w:rPr>
          <w:rFonts w:hint="eastAsia" w:hAnsi="宋体" w:cs="宋体"/>
          <w:highlight w:val="none"/>
        </w:rPr>
      </w:pPr>
      <w:r>
        <w:rPr>
          <w:rFonts w:hint="eastAsia" w:hAnsi="宋体" w:cs="宋体"/>
          <w:highlight w:val="none"/>
        </w:rPr>
        <w:t>2015年全市城镇职工基本养老保险支出2.67亿元，其中企业职工基本养老保险支出2.61亿万元，机关事业基本养老保险支出640万元。</w:t>
      </w:r>
    </w:p>
    <w:p w14:paraId="78455375">
      <w:pPr>
        <w:pStyle w:val="4"/>
        <w:bidi w:val="0"/>
        <w:rPr>
          <w:rFonts w:hint="eastAsia"/>
          <w:highlight w:val="none"/>
        </w:rPr>
      </w:pPr>
      <w:r>
        <w:rPr>
          <w:rFonts w:hint="eastAsia"/>
          <w:highlight w:val="none"/>
        </w:rPr>
        <w:t>【职工医疗保险】</w:t>
      </w:r>
    </w:p>
    <w:p w14:paraId="053D67DE">
      <w:pPr>
        <w:rPr>
          <w:rFonts w:hint="eastAsia" w:hAnsi="宋体" w:cs="宋体"/>
          <w:highlight w:val="none"/>
        </w:rPr>
      </w:pPr>
      <w:r>
        <w:rPr>
          <w:rFonts w:hint="eastAsia" w:hAnsi="宋体" w:cs="宋体"/>
          <w:highlight w:val="none"/>
        </w:rPr>
        <w:t>2015年全市城镇职工基本医疗保险参保人数31150人，征缴收入8824万元，分别完成年度计划的103.54%和113.86%；全年支付城镇职工基本医疗保险待遇5875万元。</w:t>
      </w:r>
    </w:p>
    <w:p w14:paraId="1783F3E0">
      <w:pPr>
        <w:pStyle w:val="4"/>
        <w:bidi w:val="0"/>
        <w:rPr>
          <w:rFonts w:hint="eastAsia"/>
          <w:highlight w:val="none"/>
        </w:rPr>
      </w:pPr>
      <w:r>
        <w:rPr>
          <w:rFonts w:hint="eastAsia"/>
          <w:highlight w:val="none"/>
        </w:rPr>
        <w:t>【失业保险】</w:t>
      </w:r>
    </w:p>
    <w:p w14:paraId="0DCBD664">
      <w:pPr>
        <w:rPr>
          <w:rFonts w:hint="eastAsia" w:hAnsi="宋体" w:cs="宋体"/>
          <w:highlight w:val="none"/>
        </w:rPr>
      </w:pPr>
      <w:r>
        <w:rPr>
          <w:rFonts w:hint="eastAsia" w:hAnsi="宋体" w:cs="宋体"/>
          <w:highlight w:val="none"/>
        </w:rPr>
        <w:t>2015年全市失业保险参保人数21065人，征缴收入811万元，分别完年度计划的100.07%和161.40%；全年支付失业保险待遇100万元。</w:t>
      </w:r>
    </w:p>
    <w:p w14:paraId="538B0BDB">
      <w:pPr>
        <w:pStyle w:val="4"/>
        <w:bidi w:val="0"/>
        <w:rPr>
          <w:rFonts w:hint="eastAsia"/>
          <w:highlight w:val="none"/>
        </w:rPr>
      </w:pPr>
      <w:r>
        <w:rPr>
          <w:rFonts w:hint="eastAsia"/>
          <w:highlight w:val="none"/>
        </w:rPr>
        <w:t>【生育保险】</w:t>
      </w:r>
    </w:p>
    <w:p w14:paraId="40340B55">
      <w:pPr>
        <w:rPr>
          <w:rFonts w:hint="eastAsia" w:hAnsi="宋体" w:cs="宋体"/>
          <w:highlight w:val="none"/>
        </w:rPr>
      </w:pPr>
      <w:r>
        <w:rPr>
          <w:rFonts w:hint="eastAsia" w:hAnsi="宋体" w:cs="宋体"/>
          <w:highlight w:val="none"/>
        </w:rPr>
        <w:t>2015年全市生育保险参保人数10861人，征缴收入215万元，分别完成年度计划100.10%和134.38%；全年支付生育保险待遇37.8万元。</w:t>
      </w:r>
    </w:p>
    <w:p w14:paraId="61D15759">
      <w:pPr>
        <w:pStyle w:val="4"/>
        <w:bidi w:val="0"/>
        <w:rPr>
          <w:rFonts w:hint="eastAsia"/>
          <w:highlight w:val="none"/>
        </w:rPr>
      </w:pPr>
      <w:r>
        <w:rPr>
          <w:rFonts w:hint="eastAsia"/>
          <w:highlight w:val="none"/>
        </w:rPr>
        <w:t>【工伤保险】</w:t>
      </w:r>
    </w:p>
    <w:p w14:paraId="690A5F04">
      <w:pPr>
        <w:rPr>
          <w:rFonts w:hint="eastAsia" w:hAnsi="宋体" w:cs="宋体"/>
          <w:highlight w:val="none"/>
        </w:rPr>
      </w:pPr>
      <w:r>
        <w:rPr>
          <w:rFonts w:hint="eastAsia" w:hAnsi="宋体" w:cs="宋体"/>
          <w:highlight w:val="none"/>
        </w:rPr>
        <w:t>2015年全市工伤保险参保人数21719人，征缴收入509万元，分别完年度计划的100.09%和106.04%；全年支付工伤待遇保险282万元。</w:t>
      </w:r>
    </w:p>
    <w:p w14:paraId="6FF1F50B">
      <w:pPr>
        <w:pStyle w:val="4"/>
        <w:bidi w:val="0"/>
        <w:rPr>
          <w:rFonts w:hint="eastAsia"/>
          <w:highlight w:val="none"/>
        </w:rPr>
      </w:pPr>
      <w:r>
        <w:rPr>
          <w:rFonts w:hint="eastAsia"/>
          <w:highlight w:val="none"/>
        </w:rPr>
        <w:t>【城乡居民养老保险】</w:t>
      </w:r>
    </w:p>
    <w:p w14:paraId="3656B3C9">
      <w:pPr>
        <w:rPr>
          <w:rFonts w:hint="eastAsia" w:hAnsi="宋体" w:cs="宋体"/>
          <w:highlight w:val="none"/>
        </w:rPr>
      </w:pPr>
      <w:r>
        <w:rPr>
          <w:rFonts w:hint="eastAsia" w:hAnsi="宋体" w:cs="宋体"/>
          <w:highlight w:val="none"/>
        </w:rPr>
        <w:t>2015年全市城乡居民养老保险参保人数175581人，完年度计划101.74%。全年征缴收入1.04亿元，全年支付城乡居民养老保险待遇7175万元。</w:t>
      </w:r>
    </w:p>
    <w:p w14:paraId="1198940A">
      <w:pPr>
        <w:rPr>
          <w:rFonts w:hint="eastAsia" w:hAnsi="宋体" w:cs="宋体"/>
          <w:highlight w:val="none"/>
        </w:rPr>
      </w:pPr>
      <w:r>
        <w:rPr>
          <w:rFonts w:hint="eastAsia" w:hAnsi="宋体" w:cs="宋体"/>
          <w:highlight w:val="none"/>
        </w:rPr>
        <w:t>从2015年7月，城乡</w:t>
      </w:r>
      <w:r>
        <w:rPr>
          <w:rFonts w:hint="eastAsia" w:hAnsi="宋体" w:cs="宋体"/>
          <w:highlight w:val="none"/>
          <w:lang w:eastAsia="zh-CN"/>
        </w:rPr>
        <w:t>居民</w:t>
      </w:r>
      <w:r>
        <w:rPr>
          <w:rFonts w:hint="eastAsia" w:hAnsi="宋体" w:cs="宋体"/>
          <w:highlight w:val="none"/>
        </w:rPr>
        <w:t>社会养老保险基础养老金标准从95元/人·月提高到100元/人·月。</w:t>
      </w:r>
    </w:p>
    <w:p w14:paraId="3F3234E6">
      <w:pPr>
        <w:pStyle w:val="4"/>
        <w:bidi w:val="0"/>
        <w:rPr>
          <w:rFonts w:hint="eastAsia"/>
          <w:highlight w:val="none"/>
        </w:rPr>
      </w:pPr>
      <w:r>
        <w:rPr>
          <w:rFonts w:hint="eastAsia"/>
          <w:highlight w:val="none"/>
        </w:rPr>
        <w:t>【城乡居民医疗保险】</w:t>
      </w:r>
    </w:p>
    <w:p w14:paraId="76866D24">
      <w:pPr>
        <w:rPr>
          <w:rFonts w:hint="eastAsia" w:hAnsi="宋体" w:cs="宋体"/>
          <w:highlight w:val="none"/>
        </w:rPr>
      </w:pPr>
      <w:r>
        <w:rPr>
          <w:rFonts w:hint="eastAsia" w:hAnsi="宋体" w:cs="宋体"/>
          <w:highlight w:val="none"/>
        </w:rPr>
        <w:t>2015年全市城乡居民基本医疗保险参保人数382362人，完成年度计划100.62%，征缴收入1.88亿元；全年支付城乡居民基本医疗保险待遇1.07亿元。</w:t>
      </w:r>
    </w:p>
    <w:p w14:paraId="45492C1B">
      <w:pPr>
        <w:pStyle w:val="4"/>
        <w:bidi w:val="0"/>
        <w:rPr>
          <w:rFonts w:hint="eastAsia"/>
          <w:highlight w:val="none"/>
        </w:rPr>
      </w:pPr>
      <w:r>
        <w:rPr>
          <w:rFonts w:hint="eastAsia"/>
          <w:highlight w:val="none"/>
        </w:rPr>
        <w:t>【扶贫“双到”】</w:t>
      </w:r>
    </w:p>
    <w:p w14:paraId="6DBA05FC">
      <w:pPr>
        <w:rPr>
          <w:rFonts w:hint="eastAsia" w:hAnsi="宋体" w:cs="宋体"/>
          <w:highlight w:val="none"/>
        </w:rPr>
      </w:pPr>
      <w:r>
        <w:rPr>
          <w:rFonts w:hint="eastAsia" w:hAnsi="宋体" w:cs="宋体"/>
          <w:highlight w:val="none"/>
        </w:rPr>
        <w:t>全年投入帮扶资金达110.33万元，其中到村99.84万元，到户10.49万元。通过公司＋专业社＋农户的生产模式，帮扶帽子峰镇坪山村成立坪山黄烟种植专业社、帽坪农产品种植专业合作社和峰林中药材种植3个专业合作社，实施以培养发展优质水稻为主主导产业，兼烟草、杉树育苗、仙草种等产业帮扶项目，2015年村集体经济收入超过8万元，村农户人均收入达到13623元，实现全面脱贫。</w:t>
      </w:r>
    </w:p>
    <w:p w14:paraId="77B76D0F">
      <w:pPr>
        <w:pStyle w:val="4"/>
        <w:bidi w:val="0"/>
        <w:rPr>
          <w:rFonts w:hint="eastAsia"/>
          <w:highlight w:val="none"/>
        </w:rPr>
      </w:pPr>
      <w:r>
        <w:rPr>
          <w:rFonts w:hint="eastAsia"/>
          <w:highlight w:val="none"/>
        </w:rPr>
        <w:t>【内控检查】</w:t>
      </w:r>
    </w:p>
    <w:p w14:paraId="7F46B2FB">
      <w:pPr>
        <w:rPr>
          <w:rFonts w:hint="eastAsia" w:hAnsi="宋体" w:cs="宋体"/>
          <w:highlight w:val="none"/>
        </w:rPr>
      </w:pPr>
      <w:r>
        <w:rPr>
          <w:rFonts w:hint="eastAsia" w:hAnsi="宋体" w:cs="宋体"/>
          <w:highlight w:val="none"/>
        </w:rPr>
        <w:t>对内控检查，每半年组织业务部门对本部门业务办理情况进行每月自查。建立动态管理机制，及时了解和发现业务中存在的风险和不足，及时改进业务方法，及时跟踪落实整改情况，进一步规范内控监督检查工作，切实提高各经办机构的经办能力，降低经办风险。</w:t>
      </w:r>
    </w:p>
    <w:p w14:paraId="12EFAC6F">
      <w:pPr>
        <w:pStyle w:val="4"/>
        <w:bidi w:val="0"/>
        <w:rPr>
          <w:rFonts w:hint="eastAsia"/>
          <w:highlight w:val="none"/>
        </w:rPr>
      </w:pPr>
      <w:r>
        <w:rPr>
          <w:rFonts w:hint="eastAsia"/>
          <w:highlight w:val="none"/>
        </w:rPr>
        <w:t>【廉政教育】</w:t>
      </w:r>
    </w:p>
    <w:p w14:paraId="2F383D42">
      <w:pPr>
        <w:rPr>
          <w:rFonts w:hint="eastAsia" w:hAnsi="宋体" w:cs="宋体"/>
          <w:b w:val="0"/>
          <w:bCs w:val="0"/>
          <w:highlight w:val="none"/>
        </w:rPr>
      </w:pPr>
      <w:r>
        <w:rPr>
          <w:rFonts w:hint="eastAsia" w:hAnsi="宋体" w:cs="宋体"/>
          <w:highlight w:val="none"/>
        </w:rPr>
        <w:t>为切实加强党风廉政建设，提高广大党员干部的拒腐防变能力，激发爱岗敬业的工作热情</w:t>
      </w:r>
      <w:r>
        <w:rPr>
          <w:rFonts w:hint="eastAsia" w:hAnsi="宋体" w:cs="宋体"/>
          <w:highlight w:val="none"/>
          <w:lang w:eastAsia="zh-CN"/>
        </w:rPr>
        <w:t>，</w:t>
      </w:r>
      <w:r>
        <w:rPr>
          <w:rFonts w:hint="eastAsia" w:hAnsi="宋体" w:cs="宋体"/>
          <w:highlight w:val="none"/>
        </w:rPr>
        <w:t>2015年8月24日全体干部职工到检察院廉政教育基地进行廉政教育学习，接受廉政警</w:t>
      </w:r>
      <w:r>
        <w:rPr>
          <w:rFonts w:hint="eastAsia" w:hAnsi="宋体" w:cs="宋体"/>
          <w:b w:val="0"/>
          <w:bCs w:val="0"/>
          <w:highlight w:val="none"/>
        </w:rPr>
        <w:t>示教育。（邬旭昇）</w:t>
      </w:r>
    </w:p>
    <w:p w14:paraId="63228381">
      <w:pPr>
        <w:rPr>
          <w:rFonts w:hint="eastAsia" w:hAnsi="宋体" w:eastAsia="宋体" w:cs="宋体"/>
          <w:b w:val="0"/>
          <w:bCs w:val="0"/>
          <w:highlight w:val="none"/>
          <w:lang w:eastAsia="zh-CN"/>
        </w:rPr>
      </w:pPr>
      <w:r>
        <w:rPr>
          <w:rFonts w:hint="eastAsia" w:hAnsi="宋体" w:cs="宋体"/>
          <w:b w:val="0"/>
          <w:bCs w:val="0"/>
          <w:highlight w:val="none"/>
        </w:rPr>
        <w:t>附：2015年韶关社保南雄分局领导班子成员名单</w:t>
      </w:r>
    </w:p>
    <w:p w14:paraId="1EB58C2C">
      <w:pPr>
        <w:rPr>
          <w:rFonts w:hint="eastAsia" w:hAnsi="宋体" w:cs="宋体"/>
          <w:b w:val="0"/>
          <w:bCs w:val="0"/>
          <w:highlight w:val="none"/>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长：邱万茹（任至3月）</w:t>
      </w:r>
    </w:p>
    <w:p w14:paraId="3CCEF349">
      <w:pPr>
        <w:ind w:firstLine="1260" w:firstLineChars="600"/>
        <w:rPr>
          <w:rFonts w:hint="eastAsia" w:hAnsi="宋体" w:eastAsia="宋体" w:cs="宋体"/>
          <w:b w:val="0"/>
          <w:bCs w:val="0"/>
          <w:highlight w:val="none"/>
          <w:lang w:eastAsia="zh-CN"/>
        </w:rPr>
      </w:pPr>
      <w:r>
        <w:rPr>
          <w:rFonts w:hint="eastAsia" w:hAnsi="宋体" w:cs="宋体"/>
          <w:b w:val="0"/>
          <w:bCs w:val="0"/>
          <w:highlight w:val="none"/>
        </w:rPr>
        <w:t>曾</w:t>
      </w:r>
      <w:r>
        <w:rPr>
          <w:rFonts w:hint="eastAsia" w:hAnsi="宋体" w:cs="宋体"/>
          <w:b w:val="0"/>
          <w:bCs w:val="0"/>
          <w:highlight w:val="none"/>
          <w:lang w:val="en-US" w:eastAsia="zh-CN"/>
        </w:rPr>
        <w:t xml:space="preserve">  </w:t>
      </w:r>
      <w:r>
        <w:rPr>
          <w:rFonts w:hint="eastAsia" w:hAnsi="宋体" w:cs="宋体"/>
          <w:b w:val="0"/>
          <w:bCs w:val="0"/>
          <w:highlight w:val="none"/>
        </w:rPr>
        <w:t>智（8月任）</w:t>
      </w:r>
    </w:p>
    <w:p w14:paraId="727D3025">
      <w:pPr>
        <w:rPr>
          <w:rFonts w:hint="eastAsia" w:hAnsi="宋体" w:eastAsia="宋体" w:cs="宋体"/>
          <w:b w:val="0"/>
          <w:bCs w:val="0"/>
          <w:highlight w:val="none"/>
          <w:lang w:eastAsia="zh-CN"/>
        </w:rPr>
      </w:pPr>
      <w:r>
        <w:rPr>
          <w:rFonts w:hint="eastAsia" w:hAnsi="宋体" w:cs="宋体"/>
          <w:b w:val="0"/>
          <w:bCs w:val="0"/>
          <w:highlight w:val="none"/>
        </w:rPr>
        <w:t>副局长：孔维伟 曾宪英</w:t>
      </w:r>
    </w:p>
    <w:p w14:paraId="0BF87F93">
      <w:pPr>
        <w:rPr>
          <w:rFonts w:hint="eastAsia" w:hAnsi="宋体" w:eastAsia="宋体" w:cs="宋体"/>
          <w:b w:val="0"/>
          <w:bCs w:val="0"/>
          <w:highlight w:val="none"/>
          <w:lang w:eastAsia="zh-CN"/>
        </w:rPr>
      </w:pPr>
      <w:r>
        <w:rPr>
          <w:rFonts w:hint="eastAsia" w:hAnsi="宋体" w:cs="宋体"/>
          <w:b w:val="0"/>
          <w:bCs w:val="0"/>
          <w:highlight w:val="none"/>
        </w:rPr>
        <w:t>副主任科员：王向山 董书长</w:t>
      </w:r>
    </w:p>
    <w:p w14:paraId="453C9B53">
      <w:pPr>
        <w:pStyle w:val="3"/>
        <w:bidi w:val="0"/>
        <w:rPr>
          <w:rFonts w:hint="eastAsia" w:eastAsia="宋体"/>
          <w:highlight w:val="none"/>
          <w:lang w:eastAsia="zh-CN"/>
        </w:rPr>
      </w:pPr>
      <w:r>
        <w:rPr>
          <w:rFonts w:hint="eastAsia"/>
          <w:highlight w:val="none"/>
        </w:rPr>
        <w:t>民政</w:t>
      </w:r>
    </w:p>
    <w:p w14:paraId="2D1E5ADB">
      <w:pPr>
        <w:pStyle w:val="4"/>
        <w:bidi w:val="0"/>
        <w:rPr>
          <w:rFonts w:hint="eastAsia"/>
          <w:highlight w:val="none"/>
        </w:rPr>
      </w:pPr>
      <w:r>
        <w:rPr>
          <w:rFonts w:hint="eastAsia"/>
          <w:highlight w:val="none"/>
        </w:rPr>
        <w:t>【概况】</w:t>
      </w:r>
    </w:p>
    <w:p w14:paraId="78A9C1C1">
      <w:pPr>
        <w:rPr>
          <w:rFonts w:hint="eastAsia" w:hAnsi="宋体" w:cs="宋体"/>
          <w:highlight w:val="none"/>
        </w:rPr>
      </w:pPr>
      <w:r>
        <w:rPr>
          <w:rFonts w:hint="eastAsia" w:hAnsi="宋体" w:cs="宋体"/>
          <w:highlight w:val="none"/>
        </w:rPr>
        <w:t>南雄市民政局领导班子5人：局长1人、副局长3人、纪检组长1人；内设机构6个：局办公室、优抚安置股、救灾股、社会事务股、基层政权区划地名股、社会救助股。</w:t>
      </w:r>
    </w:p>
    <w:p w14:paraId="47E7B5CE">
      <w:pPr>
        <w:rPr>
          <w:rFonts w:hint="eastAsia" w:hAnsi="宋体" w:cs="宋体"/>
          <w:highlight w:val="none"/>
        </w:rPr>
      </w:pPr>
      <w:r>
        <w:rPr>
          <w:rFonts w:hint="eastAsia" w:hAnsi="宋体" w:cs="宋体"/>
          <w:highlight w:val="none"/>
        </w:rPr>
        <w:t>主要工作职责：负责全市社团、民办非企业单位的登记、管理工作；负责拥军优属和烈士报批、褒扬工作，退伍军人的接收安置及服务管理工作。组织救灾救济工作；负责基层政权建设、地名管理和行政区划工作</w:t>
      </w:r>
      <w:r>
        <w:rPr>
          <w:rFonts w:hint="eastAsia" w:hAnsi="宋体" w:cs="宋体"/>
          <w:highlight w:val="none"/>
          <w:lang w:eastAsia="zh-CN"/>
        </w:rPr>
        <w:t>；</w:t>
      </w:r>
      <w:r>
        <w:rPr>
          <w:rFonts w:hint="eastAsia" w:hAnsi="宋体" w:cs="宋体"/>
          <w:highlight w:val="none"/>
        </w:rPr>
        <w:t>负责婚姻登记、收养登记、老年人特殊权益保护、殡葬管理工作和社会福利工作。</w:t>
      </w:r>
    </w:p>
    <w:p w14:paraId="10489A9B">
      <w:pPr>
        <w:pStyle w:val="4"/>
        <w:bidi w:val="0"/>
        <w:rPr>
          <w:rFonts w:hint="eastAsia"/>
          <w:highlight w:val="none"/>
        </w:rPr>
      </w:pPr>
      <w:r>
        <w:rPr>
          <w:rFonts w:hint="eastAsia"/>
          <w:highlight w:val="none"/>
        </w:rPr>
        <w:t>【低保】</w:t>
      </w:r>
    </w:p>
    <w:p w14:paraId="5295338F">
      <w:pPr>
        <w:rPr>
          <w:rFonts w:hint="eastAsia" w:hAnsi="宋体" w:cs="宋体"/>
          <w:highlight w:val="none"/>
        </w:rPr>
      </w:pPr>
      <w:r>
        <w:rPr>
          <w:rFonts w:hint="eastAsia" w:hAnsi="宋体" w:cs="宋体"/>
          <w:highlight w:val="none"/>
        </w:rPr>
        <w:t>2015年支出低保资金1997.36万元，为全市5272户8985人缓解生活困难。城镇最低生活保障标准由上年每人每月370元提高到每人每月410元；农村最低生活保障标准由上年每人每月230元提高到每人每月260元。城镇最低生活保障补差标准由上年的每人每月333元提高到每人每月374元；农村最低生活保障补差标准由上年的每人每月147元提高到每人每月172元。</w:t>
      </w:r>
    </w:p>
    <w:p w14:paraId="000853EB">
      <w:pPr>
        <w:pStyle w:val="4"/>
        <w:bidi w:val="0"/>
        <w:rPr>
          <w:rFonts w:hint="eastAsia"/>
          <w:highlight w:val="none"/>
        </w:rPr>
      </w:pPr>
      <w:r>
        <w:rPr>
          <w:rFonts w:hint="eastAsia"/>
          <w:highlight w:val="none"/>
        </w:rPr>
        <w:t>【五保】</w:t>
      </w:r>
    </w:p>
    <w:p w14:paraId="16963888">
      <w:pPr>
        <w:rPr>
          <w:rFonts w:hint="eastAsia" w:hAnsi="宋体" w:cs="宋体"/>
          <w:highlight w:val="none"/>
        </w:rPr>
      </w:pPr>
      <w:r>
        <w:rPr>
          <w:rFonts w:hint="eastAsia" w:hAnsi="宋体" w:cs="宋体"/>
          <w:highlight w:val="none"/>
        </w:rPr>
        <w:t>2015年支出近810万元改善1263名五保老人生活。在院五保供养标准600元/月保持不变，散居五保老人从原来每人每年6000元提高至每人每年6020元。</w:t>
      </w:r>
    </w:p>
    <w:p w14:paraId="0DC87E0F">
      <w:pPr>
        <w:pStyle w:val="4"/>
        <w:bidi w:val="0"/>
        <w:rPr>
          <w:rFonts w:hint="eastAsia"/>
          <w:highlight w:val="none"/>
        </w:rPr>
      </w:pPr>
      <w:r>
        <w:rPr>
          <w:rFonts w:hint="eastAsia"/>
          <w:highlight w:val="none"/>
        </w:rPr>
        <w:t>【医疗救助】</w:t>
      </w:r>
    </w:p>
    <w:p w14:paraId="799FA0C1">
      <w:pPr>
        <w:rPr>
          <w:rFonts w:hint="eastAsia" w:hAnsi="宋体" w:cs="宋体"/>
          <w:highlight w:val="none"/>
        </w:rPr>
      </w:pPr>
      <w:r>
        <w:rPr>
          <w:rFonts w:hint="eastAsia" w:hAnsi="宋体" w:cs="宋体"/>
          <w:highlight w:val="none"/>
        </w:rPr>
        <w:t>2015年出台《南雄市特困居民医疗救助办法》，印发《社会救助暂行办法》，建立南雄市社会救助工作联席会议制度。全年支出医疗救助资金649.53万元，救助11537人次；城乡医疗救助标准，非低保人员从原来救助封顶线5000元标准提高到12000元，低保人员从原来救助封顶线5000元标准提高到20000元，五保对象、“三无”人员及孤儿医疗救助实现全额报销。</w:t>
      </w:r>
    </w:p>
    <w:p w14:paraId="4BFF616E">
      <w:pPr>
        <w:pStyle w:val="4"/>
        <w:bidi w:val="0"/>
        <w:rPr>
          <w:rFonts w:hint="eastAsia"/>
          <w:highlight w:val="none"/>
        </w:rPr>
      </w:pPr>
      <w:r>
        <w:rPr>
          <w:rFonts w:hint="eastAsia"/>
          <w:highlight w:val="none"/>
        </w:rPr>
        <w:t>【救灾救济】</w:t>
      </w:r>
    </w:p>
    <w:p w14:paraId="3ED03E68">
      <w:pPr>
        <w:rPr>
          <w:rFonts w:hint="eastAsia" w:hAnsi="宋体" w:cs="宋体"/>
          <w:highlight w:val="none"/>
        </w:rPr>
      </w:pPr>
      <w:r>
        <w:rPr>
          <w:rFonts w:hint="eastAsia" w:hAnsi="宋体" w:cs="宋体"/>
          <w:highlight w:val="none"/>
        </w:rPr>
        <w:t>2015年，南雄市部分地区遭受降雨灾害，帮助自然灾害</w:t>
      </w:r>
      <w:r>
        <w:rPr>
          <w:rFonts w:hint="eastAsia" w:cs="宋体"/>
          <w:highlight w:val="none"/>
          <w:lang w:val="en-US" w:eastAsia="zh-CN"/>
        </w:rPr>
        <w:t>受灾群众</w:t>
      </w:r>
      <w:r>
        <w:rPr>
          <w:rFonts w:hint="eastAsia" w:hAnsi="宋体" w:cs="宋体"/>
          <w:highlight w:val="none"/>
        </w:rPr>
        <w:t>重建家园29户，支出重建家园资金累计43.5万元。救助流浪乞讨人员达200多人，护送返家6人次。临时性救助发放救济大米100吨，棉被1800床，棉衣棉裤1800套。</w:t>
      </w:r>
    </w:p>
    <w:p w14:paraId="28C99407">
      <w:pPr>
        <w:pStyle w:val="4"/>
        <w:bidi w:val="0"/>
        <w:rPr>
          <w:rFonts w:hint="eastAsia"/>
          <w:highlight w:val="none"/>
        </w:rPr>
      </w:pPr>
      <w:r>
        <w:rPr>
          <w:rFonts w:hint="eastAsia"/>
          <w:highlight w:val="none"/>
        </w:rPr>
        <w:t>【社会养老服务体系】</w:t>
      </w:r>
    </w:p>
    <w:p w14:paraId="7EBBEC07">
      <w:pPr>
        <w:rPr>
          <w:rFonts w:hint="eastAsia" w:hAnsi="宋体" w:cs="宋体"/>
          <w:highlight w:val="none"/>
        </w:rPr>
      </w:pPr>
      <w:r>
        <w:rPr>
          <w:rFonts w:hint="eastAsia" w:hAnsi="宋体" w:cs="宋体"/>
          <w:highlight w:val="none"/>
        </w:rPr>
        <w:t>截至2015年，全市公办社会福利机构、农村敬老院和民办养老机构的总床位数已达到994张</w:t>
      </w:r>
      <w:r>
        <w:rPr>
          <w:rFonts w:hint="eastAsia" w:hAnsi="宋体" w:cs="宋体"/>
          <w:highlight w:val="none"/>
          <w:lang w:eastAsia="zh-CN"/>
        </w:rPr>
        <w:t>；</w:t>
      </w:r>
      <w:r>
        <w:rPr>
          <w:rFonts w:hint="eastAsia" w:hAnsi="宋体" w:cs="宋体"/>
          <w:highlight w:val="none"/>
        </w:rPr>
        <w:t>推行农村敬老院依照事业单位进行法人登记，登记率达100%；开展居家养老服务试点活动，投入500万元成功建立11个农村居家养老中心及16个村（社区）幸福院建设；为油山、乌迳、雄州敬老院各新建一栋老年公寓，满足敬老院的养老需求；南雄市社会福利中心已经建成，社会养老服务保障功能逐步增强，养老服务惠及对象由“五保”、“三无”老人、优抚孤老逐步拓展到社会老人；老年优待政策不断完善，80岁以上老人高龄补贴制度及银龄安康意外保险保障工作得到落实。</w:t>
      </w:r>
    </w:p>
    <w:p w14:paraId="262A9A41">
      <w:pPr>
        <w:pStyle w:val="4"/>
        <w:bidi w:val="0"/>
        <w:rPr>
          <w:rFonts w:hint="eastAsia"/>
          <w:highlight w:val="none"/>
        </w:rPr>
      </w:pPr>
      <w:r>
        <w:rPr>
          <w:rFonts w:hint="eastAsia"/>
          <w:highlight w:val="none"/>
        </w:rPr>
        <w:t>【基础设施建设】</w:t>
      </w:r>
    </w:p>
    <w:p w14:paraId="53BAB8ED">
      <w:pPr>
        <w:rPr>
          <w:rFonts w:hint="eastAsia" w:hAnsi="宋体" w:cs="宋体"/>
          <w:highlight w:val="none"/>
        </w:rPr>
      </w:pPr>
      <w:r>
        <w:rPr>
          <w:rFonts w:hint="eastAsia" w:hAnsi="宋体" w:cs="宋体"/>
          <w:highlight w:val="none"/>
        </w:rPr>
        <w:t>对全市18个敬老院用电线路进行改造，并为每个敬老院配备消防设施；为油山、乌迳、雄州敬老院各新建一栋老年公寓；争取省级资金60万元在水口沙头及帽子峰富竹各建设应急避难所；对婚姻登记处门面和颁证大厅进行装修，使其达到省级婚姻登记标准化建设标准。</w:t>
      </w:r>
    </w:p>
    <w:p w14:paraId="3EB28C2E">
      <w:pPr>
        <w:pStyle w:val="4"/>
        <w:bidi w:val="0"/>
        <w:rPr>
          <w:rFonts w:hint="eastAsia"/>
          <w:highlight w:val="none"/>
        </w:rPr>
      </w:pPr>
      <w:r>
        <w:rPr>
          <w:rFonts w:hint="eastAsia"/>
          <w:highlight w:val="none"/>
        </w:rPr>
        <w:t>【扶贫“双到”】</w:t>
      </w:r>
    </w:p>
    <w:p w14:paraId="00AD6B69">
      <w:pPr>
        <w:rPr>
          <w:rFonts w:hint="eastAsia" w:hAnsi="宋体" w:cs="宋体"/>
          <w:highlight w:val="none"/>
        </w:rPr>
      </w:pPr>
      <w:r>
        <w:rPr>
          <w:rFonts w:hint="eastAsia" w:hAnsi="宋体" w:cs="宋体"/>
          <w:highlight w:val="none"/>
        </w:rPr>
        <w:t>与检察院联合为挂点帮扶的油山镇古城村投入开发资金560万元用于村亮点工程建设。</w:t>
      </w:r>
    </w:p>
    <w:p w14:paraId="26A5B3A1">
      <w:pPr>
        <w:pStyle w:val="4"/>
        <w:bidi w:val="0"/>
        <w:rPr>
          <w:rFonts w:hint="eastAsia"/>
          <w:highlight w:val="none"/>
        </w:rPr>
      </w:pPr>
      <w:r>
        <w:rPr>
          <w:rFonts w:hint="eastAsia"/>
          <w:highlight w:val="none"/>
        </w:rPr>
        <w:t>【优抚安置】</w:t>
      </w:r>
    </w:p>
    <w:p w14:paraId="260FABEC">
      <w:pPr>
        <w:rPr>
          <w:rFonts w:hint="eastAsia" w:hAnsi="宋体" w:cs="宋体"/>
          <w:highlight w:val="none"/>
        </w:rPr>
      </w:pPr>
      <w:r>
        <w:rPr>
          <w:rFonts w:hint="eastAsia" w:hAnsi="宋体" w:cs="宋体"/>
          <w:highlight w:val="none"/>
        </w:rPr>
        <w:t>2015年重点优抚对象定补定恤足额到位，支出定补定恤金1234万元，落实重点优抚对象2801人；烈军属优待方面达到100%，城镇按当地人均收入的70%、农村按当地人均收入的100%落实优待金</w:t>
      </w:r>
      <w:r>
        <w:rPr>
          <w:rFonts w:hint="eastAsia" w:hAnsi="宋体" w:cs="宋体"/>
          <w:highlight w:val="none"/>
          <w:lang w:eastAsia="zh-CN"/>
        </w:rPr>
        <w:t>，</w:t>
      </w:r>
      <w:r>
        <w:rPr>
          <w:rFonts w:hint="eastAsia" w:hAnsi="宋体" w:cs="宋体"/>
          <w:highlight w:val="none"/>
        </w:rPr>
        <w:t>支出优待金321万元；组织创建第十届全省双拥模范县工作。</w:t>
      </w:r>
    </w:p>
    <w:p w14:paraId="53EFD548">
      <w:pPr>
        <w:pStyle w:val="4"/>
        <w:bidi w:val="0"/>
        <w:rPr>
          <w:rFonts w:hint="eastAsia"/>
          <w:highlight w:val="none"/>
        </w:rPr>
      </w:pPr>
      <w:r>
        <w:rPr>
          <w:rFonts w:hint="eastAsia"/>
          <w:highlight w:val="none"/>
        </w:rPr>
        <w:t>【基层政权建设和地名管理】</w:t>
      </w:r>
    </w:p>
    <w:p w14:paraId="14026B3D">
      <w:pPr>
        <w:rPr>
          <w:rFonts w:hint="eastAsia" w:hAnsi="宋体" w:cs="宋体"/>
          <w:highlight w:val="none"/>
        </w:rPr>
      </w:pPr>
      <w:r>
        <w:rPr>
          <w:rFonts w:hint="eastAsia" w:hAnsi="宋体" w:cs="宋体"/>
          <w:highlight w:val="none"/>
        </w:rPr>
        <w:t>完成全市208个村委会、24个社区居委会的村务公开栏建设；与始兴、仁化开展边界联检，及时维修补充界桩数十个，做好第二次全国地名普查的前期准备工作，协助摄影组拍摄2集《地名故事》。</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91B1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930C5D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35810"/>
                  <wp:effectExtent l="0" t="0" r="8890" b="2540"/>
                  <wp:docPr id="109" name="图片 277" descr="教育活动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77" descr="教育活动43"/>
                          <pic:cNvPicPr>
                            <a:picLocks noChangeAspect="1"/>
                          </pic:cNvPicPr>
                        </pic:nvPicPr>
                        <pic:blipFill>
                          <a:blip r:embed="rId114"/>
                          <a:stretch>
                            <a:fillRect/>
                          </a:stretch>
                        </pic:blipFill>
                        <pic:spPr>
                          <a:xfrm>
                            <a:off x="0" y="0"/>
                            <a:ext cx="3420110" cy="2035810"/>
                          </a:xfrm>
                          <a:prstGeom prst="rect">
                            <a:avLst/>
                          </a:prstGeom>
                          <a:noFill/>
                          <a:ln>
                            <a:noFill/>
                          </a:ln>
                        </pic:spPr>
                      </pic:pic>
                    </a:graphicData>
                  </a:graphic>
                </wp:inline>
              </w:drawing>
            </w:r>
          </w:p>
        </w:tc>
      </w:tr>
      <w:tr w14:paraId="757DA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0F33B22">
            <w:pPr>
              <w:jc w:val="center"/>
              <w:rPr>
                <w:rFonts w:hint="eastAsia" w:hAnsi="宋体" w:cs="宋体"/>
                <w:highlight w:val="none"/>
                <w:vertAlign w:val="baseline"/>
              </w:rPr>
            </w:pPr>
            <w:r>
              <w:rPr>
                <w:rFonts w:hint="eastAsia" w:hAnsi="宋体" w:cs="宋体"/>
                <w:highlight w:val="none"/>
              </w:rPr>
              <w:t>民政局“三严三实”精神专题教育活动</w:t>
            </w:r>
          </w:p>
        </w:tc>
      </w:tr>
    </w:tbl>
    <w:p w14:paraId="48631D7D">
      <w:pPr>
        <w:pStyle w:val="4"/>
        <w:bidi w:val="0"/>
        <w:rPr>
          <w:rFonts w:hint="eastAsia"/>
          <w:highlight w:val="none"/>
        </w:rPr>
      </w:pPr>
      <w:r>
        <w:rPr>
          <w:rFonts w:hint="eastAsia"/>
          <w:highlight w:val="none"/>
        </w:rPr>
        <w:t>【殡葬改革】</w:t>
      </w:r>
    </w:p>
    <w:p w14:paraId="6F1A69D2">
      <w:pPr>
        <w:rPr>
          <w:rFonts w:hint="eastAsia" w:hAnsi="宋体" w:cs="宋体"/>
          <w:highlight w:val="none"/>
        </w:rPr>
      </w:pPr>
      <w:r>
        <w:rPr>
          <w:rFonts w:hint="eastAsia" w:hAnsi="宋体" w:cs="宋体"/>
          <w:highlight w:val="none"/>
        </w:rPr>
        <w:t>2015年火化遗体2136具，火化率达100%；在黄坑、水口各建生态公益性公墓1个，在南山公墓建立公益性树葬区1个</w:t>
      </w:r>
      <w:r>
        <w:rPr>
          <w:rFonts w:hint="eastAsia" w:hAnsi="宋体" w:cs="宋体"/>
          <w:highlight w:val="none"/>
          <w:lang w:eastAsia="zh-CN"/>
        </w:rPr>
        <w:t>，</w:t>
      </w:r>
      <w:r>
        <w:rPr>
          <w:rFonts w:hint="eastAsia" w:hAnsi="宋体" w:cs="宋体"/>
          <w:highlight w:val="none"/>
        </w:rPr>
        <w:t>逐步引导群众走生态殡葬之路；实行城乡居民殡葬基本服务免费政策。</w:t>
      </w:r>
    </w:p>
    <w:p w14:paraId="6EED184D">
      <w:pPr>
        <w:pStyle w:val="4"/>
        <w:bidi w:val="0"/>
        <w:rPr>
          <w:rFonts w:hint="eastAsia"/>
          <w:highlight w:val="none"/>
        </w:rPr>
      </w:pPr>
      <w:r>
        <w:rPr>
          <w:rFonts w:hint="eastAsia"/>
          <w:highlight w:val="none"/>
        </w:rPr>
        <w:t>【其他工作】</w:t>
      </w:r>
    </w:p>
    <w:p w14:paraId="7E81D2EE">
      <w:pPr>
        <w:rPr>
          <w:rFonts w:hint="eastAsia" w:hAnsi="宋体" w:cs="宋体"/>
          <w:highlight w:val="none"/>
        </w:rPr>
      </w:pPr>
      <w:r>
        <w:rPr>
          <w:rFonts w:hint="eastAsia" w:hAnsi="宋体" w:cs="宋体"/>
          <w:highlight w:val="none"/>
        </w:rPr>
        <w:t>2015年办理民间组织登记28宗；办理收养登记16宗；办理婚姻登记4133对，其中结婚3313对，离婚820对；补发结婚证649本，离婚证93本；开未婚证明768张、婚姻记录证明56张。（刘美兰）</w:t>
      </w:r>
    </w:p>
    <w:p w14:paraId="27276CF1">
      <w:pPr>
        <w:rPr>
          <w:rFonts w:hint="eastAsia" w:hAnsi="宋体" w:eastAsia="宋体" w:cs="宋体"/>
          <w:b w:val="0"/>
          <w:bCs w:val="0"/>
          <w:highlight w:val="none"/>
          <w:lang w:eastAsia="zh-CN"/>
        </w:rPr>
      </w:pPr>
      <w:r>
        <w:rPr>
          <w:rFonts w:hint="eastAsia" w:hAnsi="宋体" w:cs="宋体"/>
          <w:b w:val="0"/>
          <w:bCs w:val="0"/>
          <w:highlight w:val="none"/>
        </w:rPr>
        <w:t>附：2015年市民政局领导班子成员名单</w:t>
      </w:r>
    </w:p>
    <w:p w14:paraId="105B47BF">
      <w:pPr>
        <w:rPr>
          <w:rFonts w:hint="eastAsia" w:hAnsi="宋体" w:eastAsia="宋体" w:cs="宋体"/>
          <w:b w:val="0"/>
          <w:bCs w:val="0"/>
          <w:highlight w:val="none"/>
          <w:lang w:eastAsia="zh-CN"/>
        </w:rPr>
      </w:pPr>
      <w:r>
        <w:rPr>
          <w:rFonts w:hint="eastAsia" w:hAnsi="宋体" w:cs="宋体"/>
          <w:b w:val="0"/>
          <w:bCs w:val="0"/>
          <w:highlight w:val="none"/>
        </w:rPr>
        <w:t>局</w:t>
      </w:r>
      <w:r>
        <w:rPr>
          <w:rFonts w:hint="eastAsia" w:hAnsi="宋体" w:cs="宋体"/>
          <w:b w:val="0"/>
          <w:bCs w:val="0"/>
          <w:highlight w:val="none"/>
          <w:lang w:val="en-US" w:eastAsia="zh-CN"/>
        </w:rPr>
        <w:t xml:space="preserve">  </w:t>
      </w:r>
      <w:r>
        <w:rPr>
          <w:rFonts w:hint="eastAsia" w:hAnsi="宋体" w:cs="宋体"/>
          <w:b w:val="0"/>
          <w:bCs w:val="0"/>
          <w:highlight w:val="none"/>
        </w:rPr>
        <w:t>长：肖丽琼</w:t>
      </w:r>
    </w:p>
    <w:p w14:paraId="360CB259">
      <w:pPr>
        <w:rPr>
          <w:rFonts w:hint="eastAsia" w:hAnsi="宋体" w:eastAsia="宋体" w:cs="宋体"/>
          <w:b w:val="0"/>
          <w:bCs w:val="0"/>
          <w:highlight w:val="none"/>
          <w:lang w:eastAsia="zh-CN"/>
        </w:rPr>
      </w:pPr>
      <w:r>
        <w:rPr>
          <w:rFonts w:hint="eastAsia" w:hAnsi="宋体" w:cs="宋体"/>
          <w:b w:val="0"/>
          <w:bCs w:val="0"/>
          <w:highlight w:val="none"/>
        </w:rPr>
        <w:t>副局长：刘洪森 刘文秀（任至7月）</w:t>
      </w:r>
    </w:p>
    <w:p w14:paraId="73C2740F">
      <w:pPr>
        <w:ind w:firstLine="1260" w:firstLineChars="600"/>
        <w:rPr>
          <w:rFonts w:hint="eastAsia" w:hAnsi="宋体" w:eastAsia="宋体" w:cs="宋体"/>
          <w:b w:val="0"/>
          <w:bCs w:val="0"/>
          <w:highlight w:val="none"/>
          <w:lang w:eastAsia="zh-CN"/>
        </w:rPr>
      </w:pPr>
      <w:r>
        <w:rPr>
          <w:rFonts w:hint="eastAsia" w:hAnsi="宋体" w:cs="宋体"/>
          <w:b w:val="0"/>
          <w:bCs w:val="0"/>
          <w:highlight w:val="none"/>
        </w:rPr>
        <w:t>郭</w:t>
      </w:r>
      <w:r>
        <w:rPr>
          <w:rFonts w:hint="eastAsia" w:hAnsi="宋体" w:cs="宋体"/>
          <w:b w:val="0"/>
          <w:bCs w:val="0"/>
          <w:highlight w:val="none"/>
          <w:lang w:val="en-US" w:eastAsia="zh-CN"/>
        </w:rPr>
        <w:t xml:space="preserve">  </w:t>
      </w:r>
      <w:r>
        <w:rPr>
          <w:rFonts w:hint="eastAsia" w:hAnsi="宋体" w:cs="宋体"/>
          <w:b w:val="0"/>
          <w:bCs w:val="0"/>
          <w:highlight w:val="none"/>
        </w:rPr>
        <w:t>忠（12月任）</w:t>
      </w:r>
    </w:p>
    <w:p w14:paraId="485B3F78">
      <w:pPr>
        <w:ind w:firstLine="1260" w:firstLineChars="600"/>
        <w:rPr>
          <w:rFonts w:hint="eastAsia" w:hAnsi="宋体" w:eastAsia="宋体" w:cs="宋体"/>
          <w:b w:val="0"/>
          <w:bCs w:val="0"/>
          <w:highlight w:val="none"/>
          <w:lang w:eastAsia="zh-CN"/>
        </w:rPr>
      </w:pPr>
      <w:r>
        <w:rPr>
          <w:rFonts w:hint="eastAsia" w:hAnsi="宋体" w:cs="宋体"/>
          <w:b w:val="0"/>
          <w:bCs w:val="0"/>
          <w:highlight w:val="none"/>
        </w:rPr>
        <w:t>吴</w:t>
      </w:r>
      <w:r>
        <w:rPr>
          <w:rFonts w:hint="eastAsia" w:hAnsi="宋体" w:cs="宋体"/>
          <w:b w:val="0"/>
          <w:bCs w:val="0"/>
          <w:highlight w:val="none"/>
          <w:lang w:val="en-US" w:eastAsia="zh-CN"/>
        </w:rPr>
        <w:t xml:space="preserve">  </w:t>
      </w:r>
      <w:r>
        <w:rPr>
          <w:rFonts w:hint="eastAsia" w:hAnsi="宋体" w:cs="宋体"/>
          <w:b w:val="0"/>
          <w:bCs w:val="0"/>
          <w:highlight w:val="none"/>
        </w:rPr>
        <w:t>勤（任至4月）</w:t>
      </w:r>
    </w:p>
    <w:p w14:paraId="39D1B276">
      <w:pPr>
        <w:ind w:firstLine="1260" w:firstLineChars="600"/>
        <w:rPr>
          <w:rFonts w:hint="eastAsia" w:hAnsi="宋体" w:eastAsia="宋体" w:cs="宋体"/>
          <w:highlight w:val="none"/>
          <w:lang w:eastAsia="zh-CN"/>
        </w:rPr>
      </w:pPr>
      <w:r>
        <w:rPr>
          <w:rFonts w:hint="eastAsia" w:hAnsi="宋体" w:cs="宋体"/>
          <w:highlight w:val="none"/>
        </w:rPr>
        <w:t>李祝君（4月任）</w:t>
      </w:r>
    </w:p>
    <w:p w14:paraId="40A05604">
      <w:pPr>
        <w:rPr>
          <w:rFonts w:hint="eastAsia" w:hAnsi="宋体" w:eastAsia="宋体" w:cs="宋体"/>
          <w:highlight w:val="none"/>
          <w:lang w:eastAsia="zh-CN"/>
        </w:rPr>
      </w:pPr>
      <w:r>
        <w:rPr>
          <w:rFonts w:hint="eastAsia" w:hAnsi="宋体" w:cs="宋体"/>
          <w:highlight w:val="none"/>
        </w:rPr>
        <w:t>纪检组长：邱建平</w:t>
      </w:r>
    </w:p>
    <w:p w14:paraId="31FF308F">
      <w:pPr>
        <w:pStyle w:val="3"/>
        <w:bidi w:val="0"/>
        <w:rPr>
          <w:rFonts w:hint="eastAsia" w:eastAsia="宋体"/>
          <w:highlight w:val="none"/>
          <w:lang w:eastAsia="zh-CN"/>
        </w:rPr>
      </w:pPr>
      <w:r>
        <w:rPr>
          <w:rFonts w:hint="eastAsia"/>
          <w:highlight w:val="none"/>
        </w:rPr>
        <w:t>关心下一代工作</w:t>
      </w:r>
    </w:p>
    <w:p w14:paraId="4A5C9183">
      <w:pPr>
        <w:pStyle w:val="4"/>
        <w:bidi w:val="0"/>
        <w:rPr>
          <w:rFonts w:hint="eastAsia"/>
          <w:highlight w:val="none"/>
        </w:rPr>
      </w:pPr>
      <w:r>
        <w:rPr>
          <w:rFonts w:hint="eastAsia"/>
          <w:highlight w:val="none"/>
        </w:rPr>
        <w:t>【关工组织建设】</w:t>
      </w:r>
    </w:p>
    <w:p w14:paraId="512C8056">
      <w:pPr>
        <w:rPr>
          <w:rFonts w:hint="eastAsia" w:hAnsi="宋体" w:cs="宋体"/>
          <w:highlight w:val="none"/>
        </w:rPr>
      </w:pPr>
      <w:r>
        <w:rPr>
          <w:rFonts w:hint="eastAsia" w:hAnsi="宋体" w:cs="宋体"/>
          <w:highlight w:val="none"/>
        </w:rPr>
        <w:t>市关工委一直非常注重关工组织建设的及时调整，把那些刚离岗退养或退休“五老”补充进来，增强活力。特别是市关工委领导班子调整后，较之于以往，调研工作更为深入，组织建设更为完善，2015年重点抓好社区关工组织建设，现24个社区都建有关工小组。随着各基层人事变动、执行主任情况变化，市关工委深入到基层，物色相对更年轻、又热心关工工作老同志充实到领导班子，保证基层关工组织更富活力。如乌迳镇关工委执行主任苏渊白，年仅52岁，刚办退休手续，年富力强，工作热情高。</w:t>
      </w:r>
    </w:p>
    <w:p w14:paraId="19D4A6C7">
      <w:pPr>
        <w:pStyle w:val="4"/>
        <w:bidi w:val="0"/>
        <w:rPr>
          <w:rFonts w:hint="eastAsia"/>
          <w:highlight w:val="none"/>
        </w:rPr>
      </w:pPr>
      <w:r>
        <w:rPr>
          <w:rFonts w:hint="eastAsia"/>
          <w:highlight w:val="none"/>
        </w:rPr>
        <w:t>【创新关爱内容形式】</w:t>
      </w:r>
    </w:p>
    <w:p w14:paraId="7CDF9157">
      <w:pPr>
        <w:rPr>
          <w:rFonts w:hint="eastAsia" w:hAnsi="宋体" w:cs="宋体"/>
          <w:highlight w:val="none"/>
        </w:rPr>
      </w:pPr>
      <w:r>
        <w:rPr>
          <w:rFonts w:hint="eastAsia" w:hAnsi="宋体" w:cs="宋体"/>
          <w:highlight w:val="none"/>
        </w:rPr>
        <w:t>在创建“五好”关工委活动中，各基层关工委始终注重创新教育内容形式：</w:t>
      </w:r>
    </w:p>
    <w:p w14:paraId="6B1C7B42">
      <w:pPr>
        <w:rPr>
          <w:rFonts w:hint="eastAsia" w:hAnsi="宋体" w:cs="宋体"/>
          <w:highlight w:val="none"/>
        </w:rPr>
      </w:pPr>
      <w:r>
        <w:rPr>
          <w:rFonts w:hint="eastAsia" w:hAnsi="宋体" w:cs="宋体"/>
          <w:highlight w:val="none"/>
        </w:rPr>
        <w:t>南雄中学关工委与新华书店联动，让新书进校园，指导各班设立图书角，及时更新图书。</w:t>
      </w:r>
    </w:p>
    <w:p w14:paraId="20874263">
      <w:pPr>
        <w:rPr>
          <w:rFonts w:hint="eastAsia" w:hAnsi="宋体" w:cs="宋体"/>
          <w:highlight w:val="none"/>
        </w:rPr>
      </w:pPr>
      <w:r>
        <w:rPr>
          <w:rFonts w:hint="eastAsia" w:hAnsi="宋体" w:cs="宋体"/>
          <w:highlight w:val="none"/>
        </w:rPr>
        <w:t>各中小学关工委利用当地资源创新德育形式，开展一校一品活动，引导学生自觉践行社会主义核心价值观。如界址中学设立诚信雨伞供应点；油山大塘中心小学开展老区红色文化教育及大课间活动；坪田中学创设“银杏文化”橱窗，发掘银杏的精神内涵，对学生进行真善美教育。古市中心小学广开关爱留守儿童路子，与爱心企业、志愿者开展亲子成长营等活动。</w:t>
      </w:r>
    </w:p>
    <w:p w14:paraId="7B4D1980">
      <w:pPr>
        <w:rPr>
          <w:rFonts w:hint="eastAsia" w:hAnsi="宋体" w:cs="宋体"/>
          <w:highlight w:val="none"/>
        </w:rPr>
      </w:pPr>
      <w:r>
        <w:rPr>
          <w:rFonts w:hint="eastAsia" w:hAnsi="宋体" w:cs="宋体"/>
          <w:highlight w:val="none"/>
        </w:rPr>
        <w:t>组建好五老队伍，参与社会管理，发现问题及时向有关部门汇报请示解决。典型的有退休老同志沈茂宝常到中小学校讲授古文化、诗词、书法知识；交警大队李副大队长等人常到学校讲交通、法律知识；陈逢坤同志常走全安镇企业，每年都会动员非公企业进行助学。</w:t>
      </w:r>
    </w:p>
    <w:p w14:paraId="5149AA54">
      <w:pPr>
        <w:rPr>
          <w:rFonts w:hint="eastAsia" w:hAnsi="宋体" w:cs="宋体"/>
          <w:highlight w:val="none"/>
        </w:rPr>
      </w:pPr>
      <w:r>
        <w:rPr>
          <w:rFonts w:hint="eastAsia" w:hAnsi="宋体" w:cs="宋体"/>
          <w:highlight w:val="none"/>
        </w:rPr>
        <w:t>各基层关工组织创新关爱形式不一，各具特色，各有千秋，效果明显。</w:t>
      </w:r>
    </w:p>
    <w:p w14:paraId="787C66DF">
      <w:pPr>
        <w:pStyle w:val="4"/>
        <w:bidi w:val="0"/>
        <w:rPr>
          <w:rFonts w:hint="eastAsia"/>
          <w:highlight w:val="none"/>
        </w:rPr>
      </w:pPr>
      <w:r>
        <w:rPr>
          <w:rFonts w:hint="eastAsia"/>
          <w:highlight w:val="none"/>
        </w:rPr>
        <w:t>【家长学校办出特色】</w:t>
      </w:r>
    </w:p>
    <w:p w14:paraId="0D293FA8">
      <w:pPr>
        <w:rPr>
          <w:rFonts w:hint="eastAsia" w:hAnsi="宋体" w:cs="宋体"/>
          <w:highlight w:val="none"/>
        </w:rPr>
      </w:pPr>
      <w:r>
        <w:rPr>
          <w:rFonts w:hint="eastAsia" w:hAnsi="宋体" w:cs="宋体"/>
          <w:highlight w:val="none"/>
        </w:rPr>
        <w:t>市关工委常与教育局、妇联、司法、团委等部门联动举办各类关爱活动，如“大手牵小手”活动。其中做得最好是指导城区各校办好家长学校。市区7所学校都建有“家长委员会”，由家长、社会组织机构及教师代表组成，都做到有校牌、场地、教材、制度。设有家庭教育大讲堂、家长论坛、家长会、家教咨询、亲子活动等内容。黎灿学校、永康路小学、南雄一小均获得“全国优秀家长学校”称号。家长学校让家长懂得教育孩子的科学方法，让年青教师快速成长，全市家长学校有24人荣获省市优秀家教教案奖。家长学校成为开启孩子心智钥匙。</w:t>
      </w:r>
    </w:p>
    <w:p w14:paraId="7770B781">
      <w:pPr>
        <w:pStyle w:val="4"/>
        <w:bidi w:val="0"/>
        <w:rPr>
          <w:rFonts w:hint="eastAsia"/>
          <w:highlight w:val="none"/>
        </w:rPr>
      </w:pPr>
      <w:r>
        <w:rPr>
          <w:rFonts w:hint="eastAsia"/>
          <w:highlight w:val="none"/>
        </w:rPr>
        <w:t>【创新培训形式】</w:t>
      </w:r>
    </w:p>
    <w:p w14:paraId="560C8E38">
      <w:pPr>
        <w:rPr>
          <w:rFonts w:hint="eastAsia" w:hAnsi="宋体" w:cs="宋体"/>
          <w:highlight w:val="none"/>
        </w:rPr>
      </w:pPr>
      <w:r>
        <w:rPr>
          <w:rFonts w:hint="eastAsia" w:hAnsi="宋体" w:cs="宋体"/>
          <w:highlight w:val="none"/>
        </w:rPr>
        <w:t>2015年，市关工委一改以前培训模式，与乡镇联办，先后在雄州街道和全安镇举办农村创业青年初级培训班，培训学员220多人，课程设置依据当地实际，开设农村创业用地有关知识等课程，学员们反映很实在，听得认真，用于实践，效果不错。这一形式深受当地创业青年欢迎。</w:t>
      </w:r>
    </w:p>
    <w:p w14:paraId="2107D0BB">
      <w:pPr>
        <w:pStyle w:val="4"/>
        <w:bidi w:val="0"/>
        <w:rPr>
          <w:rFonts w:hint="eastAsia"/>
          <w:highlight w:val="none"/>
        </w:rPr>
      </w:pPr>
      <w:r>
        <w:rPr>
          <w:rFonts w:hint="eastAsia"/>
          <w:highlight w:val="none"/>
        </w:rPr>
        <w:t>【扶贫助学】</w:t>
      </w:r>
    </w:p>
    <w:p w14:paraId="6FA56CEF">
      <w:pPr>
        <w:rPr>
          <w:rFonts w:hint="eastAsia" w:hAnsi="宋体" w:cs="宋体"/>
          <w:highlight w:val="none"/>
        </w:rPr>
      </w:pPr>
      <w:r>
        <w:rPr>
          <w:rFonts w:hint="eastAsia" w:hAnsi="宋体" w:cs="宋体"/>
          <w:highlight w:val="none"/>
        </w:rPr>
        <w:t>市关工委充分利用珠玑巷后裔人文资源，发挥关工委这一桥梁纽带作用，向港澳同胞、社会贤达筹集善款。仅2015年上半年，关工委就有如下善举：筹资2万多元，到主田镇莲花小学、大塘花树下小学等捐资助学，扶助贫困学子。全安镇关工委向乐华陶瓷筹资1万元资助20名贫困学生。参与各姓氏宗亲奖学基金创建工作，如向珠玑周氏宗亲会建言，所设立奖学基金不仅要奖励高考优胜者，更要扶助失亲及单亲家庭子女。（董诗咏）</w:t>
      </w:r>
    </w:p>
    <w:p w14:paraId="5E7C7EB7">
      <w:pPr>
        <w:rPr>
          <w:rFonts w:hint="eastAsia" w:hAnsi="宋体" w:eastAsia="宋体" w:cs="宋体"/>
          <w:b w:val="0"/>
          <w:bCs w:val="0"/>
          <w:highlight w:val="none"/>
          <w:lang w:eastAsia="zh-CN"/>
        </w:rPr>
      </w:pPr>
      <w:r>
        <w:rPr>
          <w:rFonts w:hint="eastAsia" w:hAnsi="宋体" w:cs="宋体"/>
          <w:b w:val="0"/>
          <w:bCs w:val="0"/>
          <w:highlight w:val="none"/>
        </w:rPr>
        <w:t>附：2015年市关工委领导班子成员名单</w:t>
      </w:r>
    </w:p>
    <w:p w14:paraId="718AEE6A">
      <w:pPr>
        <w:rPr>
          <w:rFonts w:hint="eastAsia" w:hAnsi="宋体" w:eastAsia="宋体" w:cs="宋体"/>
          <w:b w:val="0"/>
          <w:bCs w:val="0"/>
          <w:highlight w:val="none"/>
          <w:lang w:eastAsia="zh-CN"/>
        </w:rPr>
      </w:pPr>
      <w:r>
        <w:rPr>
          <w:rFonts w:hint="eastAsia" w:hAnsi="宋体" w:cs="宋体"/>
          <w:b w:val="0"/>
          <w:bCs w:val="0"/>
          <w:highlight w:val="none"/>
        </w:rPr>
        <w:t>主</w:t>
      </w:r>
      <w:r>
        <w:rPr>
          <w:rFonts w:hint="eastAsia" w:hAnsi="宋体" w:cs="宋体"/>
          <w:b w:val="0"/>
          <w:bCs w:val="0"/>
          <w:highlight w:val="none"/>
          <w:lang w:val="en-US" w:eastAsia="zh-CN"/>
        </w:rPr>
        <w:t xml:space="preserve">  </w:t>
      </w:r>
      <w:r>
        <w:rPr>
          <w:rFonts w:hint="eastAsia" w:hAnsi="宋体" w:cs="宋体"/>
          <w:b w:val="0"/>
          <w:bCs w:val="0"/>
          <w:highlight w:val="none"/>
        </w:rPr>
        <w:t>任：丘德周（兼）</w:t>
      </w:r>
    </w:p>
    <w:p w14:paraId="1C885503">
      <w:pPr>
        <w:rPr>
          <w:rFonts w:hint="eastAsia" w:hAnsi="宋体" w:eastAsia="宋体" w:cs="宋体"/>
          <w:b w:val="0"/>
          <w:bCs w:val="0"/>
          <w:highlight w:val="none"/>
          <w:lang w:eastAsia="zh-CN"/>
        </w:rPr>
      </w:pPr>
      <w:r>
        <w:rPr>
          <w:rFonts w:hint="eastAsia" w:hAnsi="宋体" w:cs="宋体"/>
          <w:b w:val="0"/>
          <w:bCs w:val="0"/>
          <w:highlight w:val="none"/>
        </w:rPr>
        <w:t>第二主任：叶济熊（兼）</w:t>
      </w:r>
    </w:p>
    <w:p w14:paraId="070034EA">
      <w:pPr>
        <w:rPr>
          <w:rFonts w:hint="eastAsia" w:hAnsi="宋体" w:eastAsia="宋体" w:cs="宋体"/>
          <w:b w:val="0"/>
          <w:bCs w:val="0"/>
          <w:highlight w:val="none"/>
          <w:lang w:eastAsia="zh-CN"/>
        </w:rPr>
      </w:pPr>
      <w:r>
        <w:rPr>
          <w:rFonts w:hint="eastAsia" w:hAnsi="宋体" w:cs="宋体"/>
          <w:b w:val="0"/>
          <w:bCs w:val="0"/>
          <w:highlight w:val="none"/>
        </w:rPr>
        <w:t>执行主任：衷玉华</w:t>
      </w:r>
    </w:p>
    <w:p w14:paraId="3B259C98">
      <w:pPr>
        <w:rPr>
          <w:rFonts w:hint="eastAsia" w:hAnsi="宋体" w:eastAsia="宋体" w:cs="宋体"/>
          <w:highlight w:val="none"/>
          <w:lang w:eastAsia="zh-CN"/>
        </w:rPr>
      </w:pPr>
      <w:r>
        <w:rPr>
          <w:rFonts w:hint="eastAsia" w:hAnsi="宋体" w:cs="宋体"/>
          <w:highlight w:val="none"/>
        </w:rPr>
        <w:t>常务副主任：陈章分</w:t>
      </w:r>
    </w:p>
    <w:p w14:paraId="524B751D">
      <w:pPr>
        <w:rPr>
          <w:rFonts w:hint="eastAsia" w:hAnsi="宋体" w:eastAsia="宋体" w:cs="宋体"/>
          <w:highlight w:val="none"/>
          <w:lang w:eastAsia="zh-CN"/>
        </w:rPr>
      </w:pPr>
      <w:r>
        <w:rPr>
          <w:rFonts w:hint="eastAsia" w:hAnsi="宋体" w:cs="宋体"/>
          <w:highlight w:val="none"/>
        </w:rPr>
        <w:t>副主任：李光洋</w:t>
      </w:r>
    </w:p>
    <w:p w14:paraId="1A1F4763">
      <w:pPr>
        <w:pStyle w:val="3"/>
        <w:bidi w:val="0"/>
        <w:rPr>
          <w:rFonts w:hint="eastAsia" w:eastAsia="宋体"/>
          <w:highlight w:val="none"/>
          <w:lang w:eastAsia="zh-CN"/>
        </w:rPr>
      </w:pPr>
      <w:r>
        <w:rPr>
          <w:rFonts w:hint="eastAsia"/>
          <w:highlight w:val="none"/>
        </w:rPr>
        <w:t>老区建设促进会</w:t>
      </w:r>
    </w:p>
    <w:p w14:paraId="283A268C">
      <w:pPr>
        <w:pStyle w:val="4"/>
        <w:bidi w:val="0"/>
        <w:rPr>
          <w:rFonts w:hint="eastAsia"/>
          <w:highlight w:val="none"/>
        </w:rPr>
      </w:pPr>
      <w:r>
        <w:rPr>
          <w:rFonts w:hint="eastAsia"/>
          <w:highlight w:val="none"/>
        </w:rPr>
        <w:t>【概况】</w:t>
      </w:r>
    </w:p>
    <w:p w14:paraId="6F784553">
      <w:pPr>
        <w:rPr>
          <w:rFonts w:hint="eastAsia" w:hAnsi="宋体" w:cs="宋体"/>
          <w:highlight w:val="none"/>
        </w:rPr>
      </w:pPr>
      <w:r>
        <w:rPr>
          <w:rFonts w:hint="eastAsia" w:hAnsi="宋体" w:cs="宋体"/>
          <w:highlight w:val="none"/>
        </w:rPr>
        <w:t>为了促进革命老区的建设和发展，经时任中共中央总书记江泽民同志亲自批示，于1990年7月成立中国老区建设促进会（简称中国老促会），在国家民政部正式注册登记的全国性社会团体，主要成员是从党政军领导机关退下来的老干部、老将军、老专家。相继各省市县成立机构。</w:t>
      </w:r>
    </w:p>
    <w:p w14:paraId="6ED1A31E">
      <w:pPr>
        <w:rPr>
          <w:rFonts w:hint="eastAsia" w:hAnsi="宋体" w:cs="宋体"/>
          <w:highlight w:val="none"/>
        </w:rPr>
      </w:pPr>
      <w:r>
        <w:rPr>
          <w:rFonts w:hint="eastAsia" w:hAnsi="宋体" w:cs="宋体"/>
          <w:highlight w:val="none"/>
        </w:rPr>
        <w:t>现南雄市老区建设促进会为第五届理事会，于2011年11月18日换届，朱雄任会长，林树雄任常务副会长，陈仁麟任副会长，蓝师发任秘书长，与南雄市革命老区建设工作领导小组办公室合署办公。有名誉会长、顾问，理事51名。老促会宗旨是全心全意为革命老区人民服务，协助党和政府促进革命老区的建设和发展。从2003年至2015年连续12年获全国老区建设宣传工作三等奖。</w:t>
      </w:r>
    </w:p>
    <w:p w14:paraId="285759A7">
      <w:pPr>
        <w:pStyle w:val="4"/>
        <w:bidi w:val="0"/>
        <w:rPr>
          <w:rFonts w:hint="eastAsia"/>
          <w:highlight w:val="none"/>
        </w:rPr>
      </w:pPr>
      <w:r>
        <w:rPr>
          <w:rFonts w:hint="eastAsia"/>
          <w:highlight w:val="none"/>
        </w:rPr>
        <w:t>【力促原中央苏区优惠政策尽快落实】</w:t>
      </w:r>
    </w:p>
    <w:p w14:paraId="339EA028">
      <w:pPr>
        <w:rPr>
          <w:rFonts w:hint="eastAsia" w:hAnsi="宋体" w:cs="宋体"/>
          <w:highlight w:val="none"/>
        </w:rPr>
      </w:pPr>
      <w:r>
        <w:rPr>
          <w:rFonts w:hint="eastAsia" w:hAnsi="宋体" w:cs="宋体"/>
          <w:highlight w:val="none"/>
        </w:rPr>
        <w:t>南雄市老促会主动配合做好争取中央对广东“中央苏区县”的优惠政策尽快落实。老促会及时将2份《纪要》和批示报送南雄市委、市政府，同时及时转发给有关部门，结合实际认真学习和贯彻落实，及时与省和国家对应部门对接。争取国家发改委在安排中央预算内投资和国外优惠贷款资金，参照执行西部地区政策。2015年10月，接省老促会通知，要求各地收集并反映原中央苏区县落实优惠政策的具体情况，掌握情况，为争取更多优惠政策做到心中有数。老促会发函界定范围请各单位填报优惠政策到位并具体说明情况。把特定扶持原中央苏区县享受的才纳入统计范围。根据统计，2015年扶持原中央苏区县南雄市财政转移支付或补助资金4600多万元，部门到位项目包括一次性项目6个，资金达1.1亿元。</w:t>
      </w:r>
    </w:p>
    <w:p w14:paraId="2C100FC8">
      <w:pPr>
        <w:pStyle w:val="4"/>
        <w:bidi w:val="0"/>
        <w:rPr>
          <w:rFonts w:hint="eastAsia"/>
          <w:highlight w:val="none"/>
        </w:rPr>
      </w:pPr>
      <w:r>
        <w:rPr>
          <w:rFonts w:hint="eastAsia"/>
          <w:highlight w:val="none"/>
        </w:rPr>
        <w:t>【为制定南雄市“十三五”老区发展规划献策】</w:t>
      </w:r>
    </w:p>
    <w:p w14:paraId="2622897B">
      <w:pPr>
        <w:rPr>
          <w:rFonts w:hint="eastAsia" w:hAnsi="宋体" w:cs="宋体"/>
          <w:highlight w:val="none"/>
        </w:rPr>
      </w:pPr>
      <w:r>
        <w:rPr>
          <w:rFonts w:hint="eastAsia" w:hAnsi="宋体" w:cs="宋体"/>
          <w:highlight w:val="none"/>
        </w:rPr>
        <w:t>2015年8月12日，韶关市老促会召开老区工作会议，专题部署“十三五”老区发展规划。为尽快改变南雄市老区面貌，促进区域协调发展，构建和谐社会，到2020年全面实现小康社会，结合南雄市实际，提出如下意见：充分认识扶持南雄革命老区建设的重要意义。“十二五”老区建设回顾。“十三五”老区建设的指导思想和发展目标。推进革命老区经济社会全面发展：跟进原中央苏区后续优惠政策的落实，申报一批重点工程项目为国家发展建设项目，扶持老区群众解决生产生活上的突出困难，加快老区基础设施建设，包括革命旧址遗址的保护修复建设，扶持老区发展资源工业和红色旅游业，扶持老区发展现代特色农业，加大财政扶持资金的投入，促进老区社会事业全面发展，扶持老区精神文明建设，做好革命烈士后裔助学工作。切实加强对革命老区建设工作的领导。</w:t>
      </w:r>
    </w:p>
    <w:p w14:paraId="319D1DEC">
      <w:pPr>
        <w:pStyle w:val="4"/>
        <w:bidi w:val="0"/>
        <w:rPr>
          <w:rFonts w:hint="eastAsia"/>
          <w:highlight w:val="none"/>
        </w:rPr>
      </w:pPr>
      <w:r>
        <w:rPr>
          <w:rFonts w:hint="eastAsia"/>
          <w:highlight w:val="none"/>
        </w:rPr>
        <w:t>【做好老区宣传报道】</w:t>
      </w:r>
    </w:p>
    <w:p w14:paraId="4DDEDE77">
      <w:pPr>
        <w:rPr>
          <w:rFonts w:hint="eastAsia" w:hAnsi="宋体" w:cs="宋体"/>
          <w:highlight w:val="none"/>
        </w:rPr>
      </w:pPr>
      <w:r>
        <w:rPr>
          <w:rFonts w:hint="eastAsia" w:hAnsi="宋体" w:cs="宋体"/>
          <w:highlight w:val="none"/>
        </w:rPr>
        <w:t>《源流》杂志是由广东省老促会主办向全国发行、综合类期刊，其办刊宗旨是传承革命精神，建设崭新老区，是各级党政领导、老区工作者和社会各界了解老区的重要窗口和交流平台。2015年在《源流》杂志刊登文章20多篇，全面、详实地报道南雄广东重点革命老区以及富有光荣的革命传统，充分展现南雄老区现代风采。同时，发挥通讯员作用，在《中国老区建设》杂志和各家报纸、电视台等大量报道南雄信息。</w:t>
      </w:r>
    </w:p>
    <w:p w14:paraId="308AF066">
      <w:pPr>
        <w:pStyle w:val="4"/>
        <w:bidi w:val="0"/>
        <w:rPr>
          <w:rFonts w:hint="eastAsia"/>
          <w:highlight w:val="none"/>
        </w:rPr>
      </w:pPr>
      <w:r>
        <w:rPr>
          <w:rFonts w:hint="eastAsia"/>
          <w:highlight w:val="none"/>
        </w:rPr>
        <w:t>【发放革命烈士后裔在校就读助学金】</w:t>
      </w:r>
    </w:p>
    <w:p w14:paraId="0F734632">
      <w:pPr>
        <w:rPr>
          <w:rFonts w:hint="eastAsia" w:hAnsi="宋体" w:cs="宋体"/>
          <w:highlight w:val="none"/>
        </w:rPr>
      </w:pPr>
      <w:r>
        <w:rPr>
          <w:rFonts w:hint="eastAsia" w:hAnsi="宋体" w:cs="宋体"/>
          <w:highlight w:val="none"/>
        </w:rPr>
        <w:t>对革命烈士后裔在校大、中专生情况进行核查统计，对家庭贫困烈士后裔在校大、中专生申报至省市老促会。经审核批准58名，12月20日至30日，受助后裔大专以上每位发送2100元、中专每位1600元，共11.83万元。2004—2015年，南雄市老促会筹集发放革命烈士后裔助学479人次71.48万元。同时建立扶助档案。</w:t>
      </w:r>
    </w:p>
    <w:p w14:paraId="6F7A9140">
      <w:pPr>
        <w:pStyle w:val="4"/>
        <w:bidi w:val="0"/>
        <w:rPr>
          <w:rFonts w:hint="eastAsia"/>
          <w:highlight w:val="none"/>
        </w:rPr>
      </w:pPr>
      <w:r>
        <w:rPr>
          <w:rFonts w:hint="eastAsia"/>
          <w:highlight w:val="none"/>
        </w:rPr>
        <w:t>【完善“爱国主义教育基地”建设】</w:t>
      </w:r>
    </w:p>
    <w:p w14:paraId="7043C431">
      <w:pPr>
        <w:rPr>
          <w:rFonts w:hint="eastAsia" w:hAnsi="宋体" w:cs="宋体"/>
          <w:highlight w:val="none"/>
        </w:rPr>
      </w:pPr>
      <w:r>
        <w:rPr>
          <w:rFonts w:hint="eastAsia" w:hAnsi="宋体" w:cs="宋体"/>
          <w:highlight w:val="none"/>
        </w:rPr>
        <w:t>筹资近20万元，继续完善油山廖地“油山会师”旧址和“油山革命纪念碑”2处爱国主义教育基地建设。主要建设完成路道、纪念亭、牌坊、台阶、广场等设施，让人们重温红色历史，感受红色精神，提升正能量。</w:t>
      </w:r>
    </w:p>
    <w:p w14:paraId="133285D7">
      <w:pPr>
        <w:pStyle w:val="4"/>
        <w:bidi w:val="0"/>
        <w:rPr>
          <w:rFonts w:hint="eastAsia"/>
          <w:highlight w:val="none"/>
        </w:rPr>
      </w:pPr>
      <w:r>
        <w:rPr>
          <w:rFonts w:hint="eastAsia"/>
          <w:highlight w:val="none"/>
        </w:rPr>
        <w:t>【争取老区发展专项资金】</w:t>
      </w:r>
    </w:p>
    <w:p w14:paraId="3685BFE8">
      <w:pPr>
        <w:rPr>
          <w:rFonts w:hint="eastAsia" w:hAnsi="宋体" w:cs="宋体"/>
          <w:highlight w:val="none"/>
        </w:rPr>
      </w:pPr>
      <w:r>
        <w:rPr>
          <w:rFonts w:hint="eastAsia" w:hAnsi="宋体" w:cs="宋体"/>
          <w:highlight w:val="none"/>
        </w:rPr>
        <w:t>老促会千方百计向各方面筹措资金，帮助老区人民解决生产、生活中的实际困难。2015年，筹措资金82万元，用于扶持老区村道、桥梁建设10宗，爱国主义教育基地建设2宗，烈士后裔助学58人。对资金及时检查和核实项目，将专项资金到位到项目，充分发挥扶持资金绩效，逐步改善老区生产生活条件和发展环境。</w:t>
      </w:r>
    </w:p>
    <w:p w14:paraId="19F9756A">
      <w:pPr>
        <w:pStyle w:val="4"/>
        <w:bidi w:val="0"/>
        <w:rPr>
          <w:rFonts w:hint="eastAsia"/>
          <w:highlight w:val="none"/>
        </w:rPr>
      </w:pPr>
      <w:r>
        <w:rPr>
          <w:rFonts w:hint="eastAsia"/>
          <w:highlight w:val="none"/>
        </w:rPr>
        <w:t>【开展老区革命旧（遗）址调研】</w:t>
      </w:r>
    </w:p>
    <w:p w14:paraId="555D9A3B">
      <w:pPr>
        <w:rPr>
          <w:rFonts w:hint="eastAsia" w:hAnsi="宋体" w:cs="宋体"/>
          <w:highlight w:val="none"/>
        </w:rPr>
      </w:pPr>
      <w:r>
        <w:rPr>
          <w:rFonts w:hint="eastAsia" w:hAnsi="宋体" w:cs="宋体"/>
          <w:highlight w:val="none"/>
        </w:rPr>
        <w:t>南雄是原中央苏区县，南雄人民经历艰苦卓绝的革命斗争和血与火的战斗洗礼。在长期革命斗争中，留下许许多多的革命活动旧（遗）址。革命老区红色资源，是先进文化代表，是人民取之不尽、用之不竭的宝贵精神财富。任何时候都要珍爱红色资源，保护红色资源，充分利用红色资源。经南雄市有关部门组织普查，全市有革命活动旧（遗）址38处，其中确认为主要有21处，因部分由于城镇改造、基本建设等原因，已不存在，也无法修复保护，革命纪念馆（亭）、纪念碑（园）、纪念设施等7处。</w:t>
      </w:r>
    </w:p>
    <w:p w14:paraId="6EFCAEC4">
      <w:pPr>
        <w:rPr>
          <w:rFonts w:hint="eastAsia" w:hAnsi="宋体" w:cs="宋体"/>
          <w:highlight w:val="none"/>
          <w:vertAlign w:val="baseline"/>
        </w:rPr>
      </w:pPr>
      <w:r>
        <w:rPr>
          <w:rFonts w:hint="eastAsia" w:hAnsi="宋体" w:cs="宋体"/>
          <w:highlight w:val="none"/>
        </w:rPr>
        <w:t>通过系统调研，对革命旧（遗）址修复保护情况进行归纳，对南雄市红色旅游发展规划提出初步设想，对近期急需解决红色旧址建设与保护项目提出可行方案。（蓝师发）</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F2EF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2135839">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4559935"/>
                  <wp:effectExtent l="0" t="0" r="8890" b="12065"/>
                  <wp:docPr id="110" name="图片 278" descr="革命遗址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78" descr="革命遗址44"/>
                          <pic:cNvPicPr>
                            <a:picLocks noChangeAspect="1"/>
                          </pic:cNvPicPr>
                        </pic:nvPicPr>
                        <pic:blipFill>
                          <a:blip r:embed="rId115"/>
                          <a:stretch>
                            <a:fillRect/>
                          </a:stretch>
                        </pic:blipFill>
                        <pic:spPr>
                          <a:xfrm>
                            <a:off x="0" y="0"/>
                            <a:ext cx="3420110" cy="4559935"/>
                          </a:xfrm>
                          <a:prstGeom prst="rect">
                            <a:avLst/>
                          </a:prstGeom>
                          <a:noFill/>
                          <a:ln>
                            <a:noFill/>
                          </a:ln>
                        </pic:spPr>
                      </pic:pic>
                    </a:graphicData>
                  </a:graphic>
                </wp:inline>
              </w:drawing>
            </w:r>
          </w:p>
        </w:tc>
      </w:tr>
      <w:tr w14:paraId="52000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97FBB00">
            <w:pPr>
              <w:jc w:val="center"/>
              <w:rPr>
                <w:rFonts w:hint="eastAsia" w:hAnsi="宋体" w:cs="宋体"/>
                <w:highlight w:val="none"/>
                <w:vertAlign w:val="baseline"/>
              </w:rPr>
            </w:pPr>
            <w:r>
              <w:rPr>
                <w:rFonts w:hint="eastAsia" w:hAnsi="宋体" w:cs="宋体"/>
                <w:highlight w:val="none"/>
                <w:vertAlign w:val="baseline"/>
              </w:rPr>
              <w:t>老促会调研油山镇黄地村土围保卫战革命遗址</w:t>
            </w:r>
          </w:p>
        </w:tc>
      </w:tr>
    </w:tbl>
    <w:p w14:paraId="0C240BCA">
      <w:pPr>
        <w:rPr>
          <w:rFonts w:hint="eastAsia" w:hAnsi="宋体" w:eastAsia="宋体" w:cs="宋体"/>
          <w:b w:val="0"/>
          <w:bCs w:val="0"/>
          <w:highlight w:val="none"/>
          <w:lang w:eastAsia="zh-CN"/>
        </w:rPr>
      </w:pPr>
      <w:r>
        <w:rPr>
          <w:rFonts w:hint="eastAsia" w:hAnsi="宋体" w:cs="宋体"/>
          <w:b w:val="0"/>
          <w:bCs w:val="0"/>
          <w:highlight w:val="none"/>
        </w:rPr>
        <w:t>附：2015年市老区建设促进会班子成员名单</w:t>
      </w:r>
    </w:p>
    <w:p w14:paraId="55948080">
      <w:pPr>
        <w:rPr>
          <w:rFonts w:hint="eastAsia" w:hAnsi="宋体" w:eastAsia="宋体" w:cs="宋体"/>
          <w:b w:val="0"/>
          <w:bCs w:val="0"/>
          <w:highlight w:val="none"/>
          <w:lang w:eastAsia="zh-CN"/>
        </w:rPr>
      </w:pPr>
      <w:r>
        <w:rPr>
          <w:rFonts w:hint="eastAsia" w:hAnsi="宋体" w:cs="宋体"/>
          <w:b w:val="0"/>
          <w:bCs w:val="0"/>
          <w:highlight w:val="none"/>
        </w:rPr>
        <w:t>会</w:t>
      </w:r>
      <w:r>
        <w:rPr>
          <w:rFonts w:hint="eastAsia" w:hAnsi="宋体" w:cs="宋体"/>
          <w:b w:val="0"/>
          <w:bCs w:val="0"/>
          <w:highlight w:val="none"/>
          <w:lang w:val="en-US" w:eastAsia="zh-CN"/>
        </w:rPr>
        <w:t xml:space="preserve">  </w:t>
      </w:r>
      <w:r>
        <w:rPr>
          <w:rFonts w:hint="eastAsia" w:hAnsi="宋体" w:cs="宋体"/>
          <w:b w:val="0"/>
          <w:bCs w:val="0"/>
          <w:highlight w:val="none"/>
        </w:rPr>
        <w:t>长：朱</w:t>
      </w:r>
      <w:r>
        <w:rPr>
          <w:rFonts w:hint="eastAsia" w:hAnsi="宋体" w:cs="宋体"/>
          <w:b w:val="0"/>
          <w:bCs w:val="0"/>
          <w:highlight w:val="none"/>
          <w:lang w:val="en-US" w:eastAsia="zh-CN"/>
        </w:rPr>
        <w:t xml:space="preserve">  </w:t>
      </w:r>
      <w:r>
        <w:rPr>
          <w:rFonts w:hint="eastAsia" w:hAnsi="宋体" w:cs="宋体"/>
          <w:b w:val="0"/>
          <w:bCs w:val="0"/>
          <w:highlight w:val="none"/>
        </w:rPr>
        <w:t>雄</w:t>
      </w:r>
    </w:p>
    <w:p w14:paraId="38C678AF">
      <w:pPr>
        <w:rPr>
          <w:rFonts w:hint="eastAsia" w:hAnsi="宋体" w:eastAsia="宋体" w:cs="宋体"/>
          <w:highlight w:val="none"/>
          <w:lang w:eastAsia="zh-CN"/>
        </w:rPr>
      </w:pPr>
      <w:r>
        <w:rPr>
          <w:rFonts w:hint="eastAsia" w:hAnsi="宋体" w:cs="宋体"/>
          <w:b w:val="0"/>
          <w:bCs w:val="0"/>
          <w:highlight w:val="none"/>
        </w:rPr>
        <w:t>常务副会长：林树</w:t>
      </w:r>
      <w:r>
        <w:rPr>
          <w:rFonts w:hint="eastAsia" w:hAnsi="宋体" w:cs="宋体"/>
          <w:highlight w:val="none"/>
        </w:rPr>
        <w:t>雄</w:t>
      </w:r>
    </w:p>
    <w:p w14:paraId="2F7BDC46">
      <w:pPr>
        <w:rPr>
          <w:rFonts w:hint="eastAsia" w:hAnsi="宋体" w:eastAsia="宋体" w:cs="宋体"/>
          <w:highlight w:val="none"/>
          <w:lang w:eastAsia="zh-CN"/>
        </w:rPr>
      </w:pPr>
      <w:r>
        <w:rPr>
          <w:rFonts w:hint="eastAsia" w:hAnsi="宋体" w:cs="宋体"/>
          <w:highlight w:val="none"/>
        </w:rPr>
        <w:t>副会长：陈仁麟</w:t>
      </w:r>
    </w:p>
    <w:p w14:paraId="4B928383">
      <w:pPr>
        <w:rPr>
          <w:rFonts w:hint="eastAsia" w:hAnsi="宋体" w:cs="宋体"/>
          <w:highlight w:val="none"/>
        </w:rPr>
      </w:pPr>
      <w:r>
        <w:rPr>
          <w:rFonts w:hint="eastAsia" w:hAnsi="宋体" w:cs="宋体"/>
          <w:highlight w:val="none"/>
        </w:rPr>
        <w:t>秘书长：蓝师发</w:t>
      </w:r>
    </w:p>
    <w:p w14:paraId="1B9C69ED">
      <w:pPr>
        <w:pStyle w:val="2"/>
        <w:rPr>
          <w:rFonts w:hint="eastAsia"/>
          <w:highlight w:val="none"/>
        </w:rPr>
      </w:pPr>
      <w:r>
        <w:rPr>
          <w:highlight w:val="none"/>
        </w:rPr>
        <w:br w:type="page"/>
      </w:r>
      <w:r>
        <w:rPr>
          <w:rFonts w:hint="eastAsia"/>
          <w:highlight w:val="none"/>
        </w:rPr>
        <w:t>镇（街道）</w:t>
      </w:r>
    </w:p>
    <w:p w14:paraId="56D75CC5">
      <w:pPr>
        <w:pStyle w:val="3"/>
        <w:bidi w:val="0"/>
        <w:rPr>
          <w:rFonts w:hint="eastAsia" w:eastAsia="宋体"/>
          <w:highlight w:val="none"/>
          <w:lang w:eastAsia="zh-CN"/>
        </w:rPr>
      </w:pPr>
      <w:r>
        <w:rPr>
          <w:rFonts w:hint="eastAsia"/>
          <w:highlight w:val="none"/>
        </w:rPr>
        <w:t>雄州街道</w:t>
      </w:r>
    </w:p>
    <w:p w14:paraId="742178F8">
      <w:pPr>
        <w:pStyle w:val="4"/>
        <w:bidi w:val="0"/>
        <w:rPr>
          <w:rFonts w:hint="eastAsia"/>
          <w:highlight w:val="none"/>
        </w:rPr>
      </w:pPr>
      <w:r>
        <w:rPr>
          <w:rFonts w:hint="eastAsia"/>
          <w:highlight w:val="none"/>
        </w:rPr>
        <w:t>【概况】</w:t>
      </w:r>
    </w:p>
    <w:p w14:paraId="737201D1">
      <w:pPr>
        <w:rPr>
          <w:rFonts w:hint="eastAsia" w:hAnsi="宋体" w:cs="宋体"/>
          <w:highlight w:val="none"/>
        </w:rPr>
      </w:pPr>
      <w:r>
        <w:rPr>
          <w:rFonts w:hint="eastAsia" w:hAnsi="宋体" w:cs="宋体"/>
          <w:highlight w:val="none"/>
        </w:rPr>
        <w:t>雄州街道是南雄市政治、经济、文化中心，是南雄市人民政府的派出机构，位于浈江河与凌江河交叉汇合处。其前身是城关区，建于1949年10月，1954年改为城关镇人民委员会，1958年改为城关镇人民公社管理委员会，1980年4月改为城关镇人民政府，1985年12月改为雄州镇人民政府，2005年6月黎口镇并雄州镇，2005年8月设立雄州街道办事处，位于雄州大道中349号。雄州街道办事处下设党政办公室、经济发展办公室、规划建设办公室、综合治理办公室、社会事务办公室、农业办公室、人口与计划生育办公室七大办公室。现共有118名干部职工，其中行政编制50人，事业编制44人，其他24人。街道下辖13个村委会和7个社区居委会，193个村民小组和84个居民小组。全街道24451户，户籍人口85365人，常住人口95378人。总面积96.88平方公里，其中耕地2115.73公顷，林地2797.2公顷。农业生产主要以种植黄烟、水稻、蔬菜、花生、瓜果，养殖鱼、猪等为主。在推进市重点项目同时，全面完成街道“十个一”亮点工作，建设瑶坑小广场、建设观新、莲塘农村路灯、协办叶氏姓氏旅游文化节、建设河南村标兵党组织等亮点工程。先后荣获“2015南雄榜样”“韶关市2014年度人口与计划生育工作先进单位”“南雄市2014年度人口与计划生育工作先进单位”“武装工作先进单位”“人大工作先进单位”“先进基层团委”“南雄市第三次全国经济普查先进集体”等荣誉称号。</w:t>
      </w:r>
    </w:p>
    <w:p w14:paraId="066646A5">
      <w:pPr>
        <w:pStyle w:val="4"/>
        <w:bidi w:val="0"/>
        <w:rPr>
          <w:rFonts w:hint="eastAsia"/>
          <w:highlight w:val="none"/>
        </w:rPr>
      </w:pPr>
      <w:r>
        <w:rPr>
          <w:rFonts w:hint="eastAsia"/>
          <w:highlight w:val="none"/>
        </w:rPr>
        <w:t>【经济社会发展】</w:t>
      </w:r>
    </w:p>
    <w:p w14:paraId="1D9D27B3">
      <w:pPr>
        <w:rPr>
          <w:rFonts w:hint="eastAsia" w:hAnsi="宋体" w:cs="宋体"/>
          <w:highlight w:val="none"/>
        </w:rPr>
      </w:pPr>
      <w:r>
        <w:rPr>
          <w:rFonts w:hint="eastAsia" w:hAnsi="宋体" w:cs="宋体"/>
          <w:highlight w:val="none"/>
        </w:rPr>
        <w:t>2015年，工农业总产值111698万元，比上年增长15％，其中工业总产值37322万元，比上年增长15%；农民人均纯收入10381元，比上年增长17％。种植烟叶745.2公顷，收购1198.5吨，实现销售收入3355万元。粮食作物播种面积2382.334公顷，粮食总产量16359吨。蔬菜种植面积1012.67公顷，总产量25860吨。肉类总产量2646.99吨，淡水产品产量1570吨。</w:t>
      </w:r>
    </w:p>
    <w:p w14:paraId="3F65B0A2">
      <w:pPr>
        <w:pStyle w:val="4"/>
        <w:bidi w:val="0"/>
        <w:rPr>
          <w:rFonts w:hint="eastAsia"/>
          <w:highlight w:val="none"/>
        </w:rPr>
      </w:pPr>
      <w:r>
        <w:rPr>
          <w:rFonts w:hint="eastAsia"/>
          <w:highlight w:val="none"/>
        </w:rPr>
        <w:t>【社会事业发展】</w:t>
      </w:r>
    </w:p>
    <w:p w14:paraId="0E05E356">
      <w:pPr>
        <w:rPr>
          <w:rFonts w:hint="eastAsia" w:hAnsi="宋体" w:cs="宋体"/>
          <w:highlight w:val="none"/>
        </w:rPr>
      </w:pPr>
      <w:r>
        <w:rPr>
          <w:rFonts w:hint="eastAsia" w:hAnsi="宋体" w:cs="宋体"/>
          <w:highlight w:val="none"/>
        </w:rPr>
        <w:t>新农保参保人数17600人，参加城乡居民基本医疗保险49460人。2015年，全街道有城乡低保对象949人，散居五保130人，城乡最低保障金能及时足额发放到户。农村特困户医疗救助对象73人次，发放大病医疗救助款约10万元。城镇新增就业人数2000人，城镇失业人员再就业1800人，农村劳动力转移500人。综治信访维稳工作，受理各类案件81宗，调解率100%，成功率99.1%。接待群众法律咨询123宗200多人次，一一现场进行解答。2015年计生和人口工作各项检查考核得到韶关市高度评价。教育实现集中优势资源办学目标，现有3个学区，分别是永康路、市一小和新城小学，教职员工320人，在校学生6740人，学龄儿童入学率达100%。充分发挥教育资源的最大优势，教学质量名列全市前茅。</w:t>
      </w:r>
    </w:p>
    <w:p w14:paraId="1EF36484">
      <w:pPr>
        <w:pStyle w:val="4"/>
        <w:bidi w:val="0"/>
        <w:rPr>
          <w:rFonts w:hint="eastAsia"/>
          <w:highlight w:val="none"/>
        </w:rPr>
      </w:pPr>
      <w:r>
        <w:rPr>
          <w:rFonts w:hint="eastAsia"/>
          <w:highlight w:val="none"/>
        </w:rPr>
        <w:t>【党建工作】</w:t>
      </w:r>
    </w:p>
    <w:p w14:paraId="327D552F">
      <w:pPr>
        <w:rPr>
          <w:rFonts w:hint="eastAsia" w:hAnsi="宋体" w:cs="宋体"/>
          <w:highlight w:val="none"/>
        </w:rPr>
      </w:pPr>
      <w:r>
        <w:rPr>
          <w:rFonts w:hint="eastAsia" w:hAnsi="宋体" w:cs="宋体"/>
          <w:highlight w:val="none"/>
        </w:rPr>
        <w:t>2015年，街道党工委有基层组织40个，其中党总支2个，党支部38个，党员总数2120人，其中女党员608人，占29%。少数民族党员14名，占党员总数的1%。大专以上学历的党员510人，占24%。35岁以下党员392人，占18%。新发展党员21人。党员文化年龄结构进一步优化。开展党员双向承诺活动，充分发挥党组织和广大党员服务群众、促进和谐稳定先锋模范作用。</w:t>
      </w:r>
    </w:p>
    <w:p w14:paraId="00C61167">
      <w:pPr>
        <w:pStyle w:val="4"/>
        <w:bidi w:val="0"/>
        <w:rPr>
          <w:rFonts w:hint="eastAsia"/>
          <w:highlight w:val="none"/>
        </w:rPr>
      </w:pPr>
      <w:r>
        <w:rPr>
          <w:rFonts w:hint="eastAsia"/>
          <w:highlight w:val="none"/>
        </w:rPr>
        <w:t>【领导干部驻点直接联系群众活动】</w:t>
      </w:r>
    </w:p>
    <w:p w14:paraId="2C2C21B2">
      <w:pPr>
        <w:rPr>
          <w:rFonts w:hint="eastAsia" w:hAnsi="宋体" w:cs="宋体"/>
          <w:highlight w:val="none"/>
        </w:rPr>
      </w:pPr>
      <w:r>
        <w:rPr>
          <w:rFonts w:hint="eastAsia" w:hAnsi="宋体" w:cs="宋体"/>
          <w:highlight w:val="none"/>
        </w:rPr>
        <w:t>开展领导干部驻点普遍直接联系群众工作，通过“定人、定时、定责”实现联系群众全覆盖、最直接、常态化和制度化。街道约10.4万人口，为确保领导驻点普遍直接联系群众到位，采用“1+1+1”模式，即“1个驻点团队加1个辅助团队，再加1个‘两代表一委员’和志愿者队伍”，组织街道110名领导干部进村驻点，以每周二为固定驻点日，做到人人有任务、村村有干部。截至11月底，累计直接联系群众总人数达10.3万人，收集群众反映意见7419条，反映问题7298条，能在村一级直接解决已落实完成，未能及时解决已上报街道党政班子专题分析会讨论，确保领导干部直接和最基层群众对上话，无需通过任何间接人员。</w:t>
      </w:r>
    </w:p>
    <w:p w14:paraId="69D83B14">
      <w:pPr>
        <w:pStyle w:val="4"/>
        <w:bidi w:val="0"/>
        <w:rPr>
          <w:rFonts w:hint="eastAsia"/>
          <w:highlight w:val="none"/>
        </w:rPr>
      </w:pPr>
      <w:r>
        <w:rPr>
          <w:rFonts w:hint="eastAsia"/>
          <w:highlight w:val="none"/>
        </w:rPr>
        <w:t>【土地调控工作】</w:t>
      </w:r>
    </w:p>
    <w:p w14:paraId="422BC38A">
      <w:pPr>
        <w:rPr>
          <w:rFonts w:hint="eastAsia" w:hAnsi="宋体" w:cs="宋体"/>
          <w:highlight w:val="none"/>
        </w:rPr>
      </w:pPr>
      <w:r>
        <w:rPr>
          <w:rFonts w:hint="eastAsia" w:hAnsi="宋体" w:cs="宋体"/>
          <w:highlight w:val="none"/>
        </w:rPr>
        <w:t>做好南雄市重点建设项目北城区征地拆迁工作。已完成土地签约1150亩；房屋拆迁签约128户，总面积达16970平方米，为珠玑大道以及北城区土地调控项目奠定良好基础。稳妥有序地推进中山街“三旧”改造项目建设。协调有关部门扎实做好拆迁收尾和管护各项工作，深入拆迁户家中将工作做细、做实，及时化解各类纠纷和矛盾，确保中山街“三旧”改造工程建设顺利推进。跟踪服务好市重点建设项目建材城建设工程、教育路建设工程、雄州公园建设工程、陵园路扩建工程，做好征地拆迁各项收尾工作，加快重点工程建设步伐，促进商业、服务业繁荣健康发展。</w:t>
      </w:r>
    </w:p>
    <w:p w14:paraId="70DE26BD">
      <w:pPr>
        <w:pStyle w:val="4"/>
        <w:bidi w:val="0"/>
        <w:rPr>
          <w:rFonts w:hint="eastAsia"/>
          <w:highlight w:val="none"/>
        </w:rPr>
      </w:pPr>
      <w:r>
        <w:rPr>
          <w:rFonts w:hint="eastAsia"/>
          <w:highlight w:val="none"/>
        </w:rPr>
        <w:t>【1%人口抽样调查入户登记】</w:t>
      </w:r>
    </w:p>
    <w:p w14:paraId="43FADC86">
      <w:pPr>
        <w:rPr>
          <w:rFonts w:hint="eastAsia" w:hAnsi="宋体" w:cs="宋体"/>
          <w:highlight w:val="none"/>
        </w:rPr>
      </w:pPr>
      <w:r>
        <w:rPr>
          <w:rFonts w:hint="eastAsia" w:hAnsi="宋体" w:cs="宋体"/>
          <w:highlight w:val="none"/>
        </w:rPr>
        <w:t>为掌握2010年以来雄州街道人口数量、结构、素质、分布、居住等方面变化情况，按照全国1%人口抽样调查工作要求，雄州街道成立1%人口抽样调查领导小组，明确工作职责。11月1—15日，街道44名调查员和8名调查指导员，用PDA调查工具开展入户登记调查，截至11月15日，已全部登记完毕。据统计，22个调查小区，有4939人，其中空户266户。总人数5084人，出生人数67人，死亡人数13人。调查内容包括房屋面积、房屋地址、房屋构建年代等12项住户基本情况以及性别、年龄、民族、受教育程度、迁徙、流动、就业、社会保障等32项个人信息。</w:t>
      </w:r>
    </w:p>
    <w:p w14:paraId="04385EBC">
      <w:pPr>
        <w:pStyle w:val="4"/>
        <w:bidi w:val="0"/>
        <w:rPr>
          <w:rFonts w:hint="eastAsia"/>
          <w:highlight w:val="none"/>
        </w:rPr>
      </w:pPr>
      <w:r>
        <w:rPr>
          <w:rFonts w:hint="eastAsia"/>
          <w:highlight w:val="none"/>
        </w:rPr>
        <w:t>【农村信用村信用户建设】</w:t>
      </w:r>
    </w:p>
    <w:p w14:paraId="5FE81C07">
      <w:pPr>
        <w:rPr>
          <w:rFonts w:hint="eastAsia" w:hAnsi="宋体" w:cs="宋体"/>
          <w:highlight w:val="none"/>
        </w:rPr>
      </w:pPr>
      <w:r>
        <w:rPr>
          <w:rFonts w:hint="eastAsia" w:hAnsi="宋体" w:cs="宋体"/>
          <w:highlight w:val="none"/>
        </w:rPr>
        <w:t>街道成立领导小组，对信用村信用户调查摸底，深入户采集信息，填写有关资料，应采集户7205户，已采集6547户，采集率达90%以上。</w:t>
      </w:r>
    </w:p>
    <w:p w14:paraId="050054D7">
      <w:pPr>
        <w:pStyle w:val="4"/>
        <w:bidi w:val="0"/>
        <w:rPr>
          <w:rFonts w:hint="eastAsia"/>
          <w:highlight w:val="none"/>
        </w:rPr>
      </w:pPr>
      <w:r>
        <w:rPr>
          <w:rFonts w:hint="eastAsia"/>
          <w:highlight w:val="none"/>
        </w:rPr>
        <w:t>【国有资产】</w:t>
      </w:r>
    </w:p>
    <w:p w14:paraId="6B200DE7">
      <w:pPr>
        <w:rPr>
          <w:rFonts w:hint="eastAsia" w:hAnsi="宋体" w:cs="宋体"/>
          <w:highlight w:val="none"/>
        </w:rPr>
      </w:pPr>
      <w:r>
        <w:rPr>
          <w:rFonts w:hint="eastAsia" w:hAnsi="宋体" w:cs="宋体"/>
          <w:highlight w:val="none"/>
        </w:rPr>
        <w:t>2015年，基本完成出租国有资产租金收缴任务，收缴额达83万余元。对13处国有资产公开招租，加强国有资产监管，确保国有资产保值增值。</w:t>
      </w:r>
    </w:p>
    <w:p w14:paraId="023FFF27">
      <w:pPr>
        <w:pStyle w:val="4"/>
        <w:bidi w:val="0"/>
        <w:rPr>
          <w:rFonts w:hint="eastAsia"/>
          <w:highlight w:val="none"/>
        </w:rPr>
      </w:pPr>
      <w:r>
        <w:rPr>
          <w:rFonts w:hint="eastAsia"/>
          <w:highlight w:val="none"/>
        </w:rPr>
        <w:t>【打击违法用地违章建筑专项行动】</w:t>
      </w:r>
    </w:p>
    <w:p w14:paraId="5A7D85C6">
      <w:pPr>
        <w:rPr>
          <w:rFonts w:hint="eastAsia" w:hAnsi="宋体" w:cs="宋体"/>
          <w:highlight w:val="none"/>
        </w:rPr>
      </w:pPr>
      <w:r>
        <w:rPr>
          <w:rFonts w:hint="eastAsia" w:hAnsi="宋体" w:cs="宋体"/>
          <w:highlight w:val="none"/>
        </w:rPr>
        <w:t>配备专职人员，针对群众利用年前年后时期抢建、违建行为特点，节假日不休息，除年初一以外，采取“白加黑、五加二、工作日加休息日”工作方法，轮班对辖区内 “两违”现象加强巡查和打击。制止“两违”行为30宗，组织干部职工40多人次参与拆违行动10余宗，拆除违建面积达2000多平方米，有效地制止“两违”现象发生和蔓延。</w:t>
      </w:r>
    </w:p>
    <w:p w14:paraId="0292D01C">
      <w:pPr>
        <w:pStyle w:val="4"/>
        <w:bidi w:val="0"/>
        <w:rPr>
          <w:rFonts w:hint="eastAsia"/>
          <w:highlight w:val="none"/>
        </w:rPr>
      </w:pPr>
      <w:r>
        <w:rPr>
          <w:rFonts w:hint="eastAsia"/>
          <w:highlight w:val="none"/>
        </w:rPr>
        <w:t>【被征地农民养老保障资金分配工作】</w:t>
      </w:r>
    </w:p>
    <w:p w14:paraId="23CDDE9C">
      <w:pPr>
        <w:rPr>
          <w:rFonts w:hint="eastAsia" w:hAnsi="宋体" w:eastAsia="宋体" w:cs="宋体"/>
          <w:highlight w:val="none"/>
          <w:lang w:eastAsia="zh-CN"/>
        </w:rPr>
      </w:pPr>
      <w:r>
        <w:rPr>
          <w:rFonts w:hint="eastAsia" w:hAnsi="宋体" w:cs="宋体"/>
          <w:highlight w:val="none"/>
        </w:rPr>
        <w:t>征地涉及铺背、莲塘、郊区、水南、河南、黎口等6个村委会，河南一、三、四队等43个村小组，合计约9000人，其中16岁以上人口约7000人，已参新农保人数约3000人，符合条件未参新农保人数约4000人。雄州街道保障资金任务数约116万元，占全市分配总金额约42%，完成被征地农民养老保障资金配。</w:t>
      </w:r>
    </w:p>
    <w:p w14:paraId="7478CB8E">
      <w:pPr>
        <w:pStyle w:val="4"/>
        <w:bidi w:val="0"/>
        <w:rPr>
          <w:rFonts w:hint="eastAsia"/>
          <w:highlight w:val="none"/>
        </w:rPr>
      </w:pPr>
      <w:r>
        <w:rPr>
          <w:rFonts w:hint="eastAsia"/>
          <w:highlight w:val="none"/>
        </w:rPr>
        <w:t>【各村委会（社区）基本情况】</w:t>
      </w:r>
    </w:p>
    <w:p w14:paraId="68B464F4">
      <w:pPr>
        <w:rPr>
          <w:rFonts w:hint="eastAsia" w:hAnsi="宋体" w:eastAsia="宋体" w:cs="宋体"/>
          <w:highlight w:val="none"/>
          <w:lang w:eastAsia="zh-CN"/>
        </w:rPr>
      </w:pPr>
      <w:r>
        <w:rPr>
          <w:rFonts w:hint="eastAsia" w:hAnsi="宋体" w:cs="宋体"/>
          <w:highlight w:val="none"/>
        </w:rPr>
        <w:t>见下表。</w:t>
      </w:r>
    </w:p>
    <w:p w14:paraId="428ACE72">
      <w:pPr>
        <w:jc w:val="center"/>
        <w:rPr>
          <w:rFonts w:hint="eastAsia" w:hAnsi="宋体" w:cs="宋体"/>
          <w:highlight w:val="none"/>
        </w:rPr>
      </w:pPr>
      <w:r>
        <w:rPr>
          <w:rFonts w:hint="eastAsia" w:hAnsi="宋体" w:cs="宋体"/>
          <w:highlight w:val="none"/>
        </w:rPr>
        <w:t>2015年雄州街道各村委会（社区）基本情况</w:t>
      </w:r>
    </w:p>
    <w:p w14:paraId="1C627DB0">
      <w:pPr>
        <w:rPr>
          <w:rFonts w:hint="eastAsia" w:hAnsi="宋体" w:eastAsia="宋体" w:cs="宋体"/>
          <w:highlight w:val="none"/>
          <w:lang w:eastAsia="zh-CN"/>
        </w:rPr>
      </w:pPr>
      <w:r>
        <w:rPr>
          <w:rFonts w:hint="eastAsia" w:hAnsi="宋体" w:cs="宋体"/>
          <w:highlight w:val="none"/>
        </w:rPr>
        <w:t>表30</w:t>
      </w:r>
    </w:p>
    <w:tbl>
      <w:tblPr>
        <w:tblStyle w:val="7"/>
        <w:tblW w:w="5000" w:type="pct"/>
        <w:jc w:val="center"/>
        <w:tblLayout w:type="fixed"/>
        <w:tblCellMar>
          <w:top w:w="0" w:type="dxa"/>
          <w:left w:w="108" w:type="dxa"/>
          <w:bottom w:w="0" w:type="dxa"/>
          <w:right w:w="108" w:type="dxa"/>
        </w:tblCellMar>
      </w:tblPr>
      <w:tblGrid>
        <w:gridCol w:w="1391"/>
        <w:gridCol w:w="979"/>
        <w:gridCol w:w="702"/>
        <w:gridCol w:w="808"/>
        <w:gridCol w:w="979"/>
        <w:gridCol w:w="820"/>
        <w:gridCol w:w="979"/>
        <w:gridCol w:w="979"/>
        <w:gridCol w:w="979"/>
      </w:tblGrid>
      <w:tr w14:paraId="59DA595D">
        <w:tblPrEx>
          <w:tblCellMar>
            <w:top w:w="0" w:type="dxa"/>
            <w:left w:w="108" w:type="dxa"/>
            <w:bottom w:w="0" w:type="dxa"/>
            <w:right w:w="108" w:type="dxa"/>
          </w:tblCellMar>
        </w:tblPrEx>
        <w:trPr>
          <w:trHeight w:val="1140" w:hRule="atLeast"/>
          <w:jc w:val="center"/>
        </w:trPr>
        <w:tc>
          <w:tcPr>
            <w:tcW w:w="1548" w:type="dxa"/>
            <w:tcBorders>
              <w:top w:val="single" w:color="auto" w:sz="4" w:space="0"/>
              <w:left w:val="single" w:color="auto" w:sz="4" w:space="0"/>
              <w:bottom w:val="single" w:color="auto" w:sz="4" w:space="0"/>
              <w:right w:val="single" w:color="auto" w:sz="4" w:space="0"/>
            </w:tcBorders>
            <w:noWrap w:val="0"/>
            <w:vAlign w:val="center"/>
          </w:tcPr>
          <w:p w14:paraId="69C252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村</w:t>
            </w:r>
            <w:r>
              <w:rPr>
                <w:rFonts w:hint="eastAsia"/>
                <w:b w:val="0"/>
                <w:bCs w:val="0"/>
                <w:highlight w:val="none"/>
                <w:lang w:eastAsia="zh-CN"/>
              </w:rPr>
              <w:t>（</w:t>
            </w:r>
            <w:r>
              <w:rPr>
                <w:rFonts w:hint="eastAsia"/>
                <w:b w:val="0"/>
                <w:bCs w:val="0"/>
                <w:highlight w:val="none"/>
              </w:rPr>
              <w:t>社区</w:t>
            </w:r>
            <w:r>
              <w:rPr>
                <w:rFonts w:hint="eastAsia"/>
                <w:b w:val="0"/>
                <w:bCs w:val="0"/>
                <w:highlight w:val="none"/>
                <w:lang w:eastAsia="zh-CN"/>
              </w:rPr>
              <w:t>）</w:t>
            </w:r>
            <w:r>
              <w:rPr>
                <w:rFonts w:hint="eastAsia"/>
                <w:b w:val="0"/>
                <w:bCs w:val="0"/>
                <w:highlight w:val="none"/>
              </w:rPr>
              <w:t>名</w:t>
            </w:r>
          </w:p>
        </w:tc>
        <w:tc>
          <w:tcPr>
            <w:tcW w:w="1080" w:type="dxa"/>
            <w:tcBorders>
              <w:top w:val="single" w:color="auto" w:sz="4" w:space="0"/>
              <w:left w:val="nil"/>
              <w:bottom w:val="single" w:color="auto" w:sz="4" w:space="0"/>
              <w:right w:val="single" w:color="auto" w:sz="4" w:space="0"/>
            </w:tcBorders>
            <w:noWrap w:val="0"/>
            <w:vAlign w:val="center"/>
          </w:tcPr>
          <w:p w14:paraId="7FC266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区域面积</w:t>
            </w:r>
            <w:r>
              <w:rPr>
                <w:rFonts w:hint="eastAsia"/>
                <w:b w:val="0"/>
                <w:bCs w:val="0"/>
                <w:highlight w:val="none"/>
                <w:lang w:eastAsia="zh-CN"/>
              </w:rPr>
              <w:t>（</w:t>
            </w:r>
            <w:r>
              <w:rPr>
                <w:rFonts w:hint="eastAsia"/>
                <w:b w:val="0"/>
                <w:bCs w:val="0"/>
                <w:highlight w:val="none"/>
              </w:rPr>
              <w:t>平方  公里</w:t>
            </w:r>
            <w:r>
              <w:rPr>
                <w:rFonts w:hint="eastAsia"/>
                <w:b w:val="0"/>
                <w:bCs w:val="0"/>
                <w:highlight w:val="none"/>
                <w:lang w:eastAsia="zh-CN"/>
              </w:rPr>
              <w:t>）</w:t>
            </w:r>
          </w:p>
        </w:tc>
        <w:tc>
          <w:tcPr>
            <w:tcW w:w="766" w:type="dxa"/>
            <w:tcBorders>
              <w:top w:val="single" w:color="auto" w:sz="4" w:space="0"/>
              <w:left w:val="nil"/>
              <w:bottom w:val="single" w:color="auto" w:sz="4" w:space="0"/>
              <w:right w:val="single" w:color="auto" w:sz="4" w:space="0"/>
            </w:tcBorders>
            <w:noWrap w:val="0"/>
            <w:vAlign w:val="center"/>
          </w:tcPr>
          <w:p w14:paraId="01D0CA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户数</w:t>
            </w:r>
            <w:r>
              <w:rPr>
                <w:rFonts w:hint="eastAsia"/>
                <w:b w:val="0"/>
                <w:bCs w:val="0"/>
                <w:highlight w:val="none"/>
                <w:lang w:eastAsia="zh-CN"/>
              </w:rPr>
              <w:t>（</w:t>
            </w:r>
            <w:r>
              <w:rPr>
                <w:rFonts w:hint="eastAsia"/>
                <w:b w:val="0"/>
                <w:bCs w:val="0"/>
                <w:highlight w:val="none"/>
              </w:rPr>
              <w:t>户</w:t>
            </w:r>
            <w:r>
              <w:rPr>
                <w:rFonts w:hint="eastAsia"/>
                <w:b w:val="0"/>
                <w:bCs w:val="0"/>
                <w:highlight w:val="none"/>
                <w:lang w:eastAsia="zh-CN"/>
              </w:rPr>
              <w:t>）</w:t>
            </w:r>
          </w:p>
        </w:tc>
        <w:tc>
          <w:tcPr>
            <w:tcW w:w="886" w:type="dxa"/>
            <w:tcBorders>
              <w:top w:val="single" w:color="auto" w:sz="4" w:space="0"/>
              <w:left w:val="nil"/>
              <w:bottom w:val="single" w:color="auto" w:sz="4" w:space="0"/>
              <w:right w:val="single" w:color="auto" w:sz="4" w:space="0"/>
            </w:tcBorders>
            <w:noWrap w:val="0"/>
            <w:vAlign w:val="center"/>
          </w:tcPr>
          <w:p w14:paraId="470301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 xml:space="preserve">人口  </w:t>
            </w:r>
            <w:r>
              <w:rPr>
                <w:rFonts w:hint="eastAsia"/>
                <w:b w:val="0"/>
                <w:bCs w:val="0"/>
                <w:highlight w:val="none"/>
                <w:lang w:eastAsia="zh-CN"/>
              </w:rPr>
              <w:t>（</w:t>
            </w:r>
            <w:r>
              <w:rPr>
                <w:rFonts w:hint="eastAsia"/>
                <w:b w:val="0"/>
                <w:bCs w:val="0"/>
                <w:highlight w:val="none"/>
              </w:rPr>
              <w:t>人</w:t>
            </w:r>
            <w:r>
              <w:rPr>
                <w:rFonts w:hint="eastAsia"/>
                <w:b w:val="0"/>
                <w:bCs w:val="0"/>
                <w:highlight w:val="none"/>
                <w:lang w:eastAsia="zh-CN"/>
              </w:rPr>
              <w:t>）</w:t>
            </w:r>
          </w:p>
        </w:tc>
        <w:tc>
          <w:tcPr>
            <w:tcW w:w="1080" w:type="dxa"/>
            <w:tcBorders>
              <w:top w:val="single" w:color="auto" w:sz="4" w:space="0"/>
              <w:left w:val="nil"/>
              <w:bottom w:val="single" w:color="auto" w:sz="4" w:space="0"/>
              <w:right w:val="single" w:color="auto" w:sz="4" w:space="0"/>
            </w:tcBorders>
            <w:noWrap w:val="0"/>
            <w:vAlign w:val="center"/>
          </w:tcPr>
          <w:p w14:paraId="255F33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耕地面积</w:t>
            </w:r>
            <w:r>
              <w:rPr>
                <w:rFonts w:hint="eastAsia"/>
                <w:b w:val="0"/>
                <w:bCs w:val="0"/>
                <w:highlight w:val="none"/>
                <w:lang w:eastAsia="zh-CN"/>
              </w:rPr>
              <w:t>（</w:t>
            </w:r>
            <w:r>
              <w:rPr>
                <w:rFonts w:hint="eastAsia"/>
                <w:b w:val="0"/>
                <w:bCs w:val="0"/>
                <w:highlight w:val="none"/>
              </w:rPr>
              <w:t>亩</w:t>
            </w:r>
            <w:r>
              <w:rPr>
                <w:rFonts w:hint="eastAsia"/>
                <w:b w:val="0"/>
                <w:bCs w:val="0"/>
                <w:highlight w:val="none"/>
                <w:lang w:eastAsia="zh-CN"/>
              </w:rPr>
              <w:t>）</w:t>
            </w:r>
          </w:p>
        </w:tc>
        <w:tc>
          <w:tcPr>
            <w:tcW w:w="900" w:type="dxa"/>
            <w:tcBorders>
              <w:top w:val="single" w:color="auto" w:sz="4" w:space="0"/>
              <w:left w:val="nil"/>
              <w:bottom w:val="single" w:color="auto" w:sz="4" w:space="0"/>
              <w:right w:val="single" w:color="auto" w:sz="4" w:space="0"/>
            </w:tcBorders>
            <w:noWrap w:val="0"/>
            <w:vAlign w:val="center"/>
          </w:tcPr>
          <w:p w14:paraId="77840D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其中水田</w:t>
            </w:r>
            <w:r>
              <w:rPr>
                <w:rFonts w:hint="eastAsia"/>
                <w:b w:val="0"/>
                <w:bCs w:val="0"/>
                <w:highlight w:val="none"/>
                <w:lang w:eastAsia="zh-CN"/>
              </w:rPr>
              <w:t>（</w:t>
            </w:r>
            <w:r>
              <w:rPr>
                <w:rFonts w:hint="eastAsia"/>
                <w:b w:val="0"/>
                <w:bCs w:val="0"/>
                <w:highlight w:val="none"/>
              </w:rPr>
              <w:t>亩</w:t>
            </w:r>
            <w:r>
              <w:rPr>
                <w:rFonts w:hint="eastAsia"/>
                <w:b w:val="0"/>
                <w:bCs w:val="0"/>
                <w:highlight w:val="none"/>
                <w:lang w:eastAsia="zh-CN"/>
              </w:rPr>
              <w:t>）</w:t>
            </w:r>
          </w:p>
        </w:tc>
        <w:tc>
          <w:tcPr>
            <w:tcW w:w="1080" w:type="dxa"/>
            <w:tcBorders>
              <w:top w:val="single" w:color="auto" w:sz="4" w:space="0"/>
              <w:left w:val="nil"/>
              <w:bottom w:val="single" w:color="auto" w:sz="4" w:space="0"/>
              <w:right w:val="single" w:color="auto" w:sz="4" w:space="0"/>
            </w:tcBorders>
            <w:noWrap w:val="0"/>
            <w:vAlign w:val="center"/>
          </w:tcPr>
          <w:p w14:paraId="7DF579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村小组数</w:t>
            </w:r>
            <w:r>
              <w:rPr>
                <w:rFonts w:hint="eastAsia"/>
                <w:b w:val="0"/>
                <w:bCs w:val="0"/>
                <w:highlight w:val="none"/>
                <w:lang w:eastAsia="zh-CN"/>
              </w:rPr>
              <w:t>（</w:t>
            </w:r>
            <w:r>
              <w:rPr>
                <w:rFonts w:hint="eastAsia"/>
                <w:b w:val="0"/>
                <w:bCs w:val="0"/>
                <w:highlight w:val="none"/>
              </w:rPr>
              <w:t>个</w:t>
            </w:r>
            <w:r>
              <w:rPr>
                <w:rFonts w:hint="eastAsia"/>
                <w:b w:val="0"/>
                <w:bCs w:val="0"/>
                <w:highlight w:val="none"/>
                <w:lang w:eastAsia="zh-CN"/>
              </w:rPr>
              <w:t>）</w:t>
            </w:r>
          </w:p>
        </w:tc>
        <w:tc>
          <w:tcPr>
            <w:tcW w:w="1080" w:type="dxa"/>
            <w:tcBorders>
              <w:top w:val="single" w:color="auto" w:sz="4" w:space="0"/>
              <w:left w:val="nil"/>
              <w:bottom w:val="single" w:color="auto" w:sz="4" w:space="0"/>
              <w:right w:val="single" w:color="auto" w:sz="4" w:space="0"/>
            </w:tcBorders>
            <w:noWrap w:val="0"/>
            <w:vAlign w:val="center"/>
          </w:tcPr>
          <w:p w14:paraId="28CAA5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 xml:space="preserve">经济总收入  </w:t>
            </w:r>
            <w:r>
              <w:rPr>
                <w:rFonts w:hint="eastAsia"/>
                <w:b w:val="0"/>
                <w:bCs w:val="0"/>
                <w:highlight w:val="none"/>
                <w:lang w:eastAsia="zh-CN"/>
              </w:rPr>
              <w:t>（</w:t>
            </w:r>
            <w:r>
              <w:rPr>
                <w:rFonts w:hint="eastAsia"/>
                <w:b w:val="0"/>
                <w:bCs w:val="0"/>
                <w:highlight w:val="none"/>
              </w:rPr>
              <w:t>万元</w:t>
            </w:r>
            <w:r>
              <w:rPr>
                <w:rFonts w:hint="eastAsia"/>
                <w:b w:val="0"/>
                <w:bCs w:val="0"/>
                <w:highlight w:val="none"/>
                <w:lang w:eastAsia="zh-CN"/>
              </w:rPr>
              <w:t>）</w:t>
            </w:r>
          </w:p>
        </w:tc>
        <w:tc>
          <w:tcPr>
            <w:tcW w:w="1080" w:type="dxa"/>
            <w:tcBorders>
              <w:top w:val="single" w:color="auto" w:sz="4" w:space="0"/>
              <w:left w:val="nil"/>
              <w:bottom w:val="single" w:color="auto" w:sz="4" w:space="0"/>
              <w:right w:val="single" w:color="auto" w:sz="4" w:space="0"/>
            </w:tcBorders>
            <w:noWrap w:val="0"/>
            <w:vAlign w:val="center"/>
          </w:tcPr>
          <w:p w14:paraId="1B4E27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农民人均纯收入</w:t>
            </w:r>
            <w:r>
              <w:rPr>
                <w:rFonts w:hint="eastAsia"/>
                <w:highlight w:val="none"/>
                <w:lang w:eastAsia="zh-CN"/>
              </w:rPr>
              <w:t>（</w:t>
            </w:r>
            <w:r>
              <w:rPr>
                <w:rFonts w:hint="eastAsia"/>
                <w:highlight w:val="none"/>
              </w:rPr>
              <w:t>元</w:t>
            </w:r>
            <w:r>
              <w:rPr>
                <w:rFonts w:hint="eastAsia"/>
                <w:highlight w:val="none"/>
                <w:lang w:eastAsia="zh-CN"/>
              </w:rPr>
              <w:t>）</w:t>
            </w:r>
          </w:p>
        </w:tc>
      </w:tr>
      <w:tr w14:paraId="4347B668">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0AA30D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黎口村</w:t>
            </w:r>
          </w:p>
        </w:tc>
        <w:tc>
          <w:tcPr>
            <w:tcW w:w="1080" w:type="dxa"/>
            <w:tcBorders>
              <w:top w:val="nil"/>
              <w:left w:val="nil"/>
              <w:bottom w:val="single" w:color="auto" w:sz="4" w:space="0"/>
              <w:right w:val="single" w:color="auto" w:sz="4" w:space="0"/>
            </w:tcBorders>
            <w:noWrap w:val="0"/>
            <w:vAlign w:val="center"/>
          </w:tcPr>
          <w:p w14:paraId="4FA1BA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5.75</w:t>
            </w:r>
          </w:p>
        </w:tc>
        <w:tc>
          <w:tcPr>
            <w:tcW w:w="766" w:type="dxa"/>
            <w:tcBorders>
              <w:top w:val="nil"/>
              <w:left w:val="nil"/>
              <w:bottom w:val="single" w:color="auto" w:sz="4" w:space="0"/>
              <w:right w:val="single" w:color="auto" w:sz="4" w:space="0"/>
            </w:tcBorders>
            <w:noWrap w:val="0"/>
            <w:vAlign w:val="center"/>
          </w:tcPr>
          <w:p w14:paraId="43C24C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1108</w:t>
            </w:r>
          </w:p>
        </w:tc>
        <w:tc>
          <w:tcPr>
            <w:tcW w:w="886" w:type="dxa"/>
            <w:tcBorders>
              <w:top w:val="nil"/>
              <w:left w:val="nil"/>
              <w:bottom w:val="single" w:color="auto" w:sz="4" w:space="0"/>
              <w:right w:val="single" w:color="auto" w:sz="4" w:space="0"/>
            </w:tcBorders>
            <w:noWrap w:val="0"/>
            <w:vAlign w:val="center"/>
          </w:tcPr>
          <w:p w14:paraId="147B68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3465</w:t>
            </w:r>
          </w:p>
        </w:tc>
        <w:tc>
          <w:tcPr>
            <w:tcW w:w="1080" w:type="dxa"/>
            <w:tcBorders>
              <w:top w:val="nil"/>
              <w:left w:val="nil"/>
              <w:bottom w:val="single" w:color="auto" w:sz="4" w:space="0"/>
              <w:right w:val="single" w:color="auto" w:sz="4" w:space="0"/>
            </w:tcBorders>
            <w:noWrap w:val="0"/>
            <w:vAlign w:val="center"/>
          </w:tcPr>
          <w:p w14:paraId="0D4890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1789</w:t>
            </w:r>
          </w:p>
        </w:tc>
        <w:tc>
          <w:tcPr>
            <w:tcW w:w="900" w:type="dxa"/>
            <w:tcBorders>
              <w:top w:val="nil"/>
              <w:left w:val="nil"/>
              <w:bottom w:val="single" w:color="auto" w:sz="4" w:space="0"/>
              <w:right w:val="single" w:color="auto" w:sz="4" w:space="0"/>
            </w:tcBorders>
            <w:noWrap w:val="0"/>
            <w:vAlign w:val="center"/>
          </w:tcPr>
          <w:p w14:paraId="210139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1425</w:t>
            </w:r>
          </w:p>
        </w:tc>
        <w:tc>
          <w:tcPr>
            <w:tcW w:w="1080" w:type="dxa"/>
            <w:tcBorders>
              <w:top w:val="nil"/>
              <w:left w:val="nil"/>
              <w:bottom w:val="single" w:color="auto" w:sz="4" w:space="0"/>
              <w:right w:val="single" w:color="auto" w:sz="4" w:space="0"/>
            </w:tcBorders>
            <w:noWrap w:val="0"/>
            <w:vAlign w:val="center"/>
          </w:tcPr>
          <w:p w14:paraId="091299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12</w:t>
            </w:r>
          </w:p>
        </w:tc>
        <w:tc>
          <w:tcPr>
            <w:tcW w:w="1080" w:type="dxa"/>
            <w:tcBorders>
              <w:top w:val="nil"/>
              <w:left w:val="nil"/>
              <w:bottom w:val="single" w:color="auto" w:sz="4" w:space="0"/>
              <w:right w:val="single" w:color="auto" w:sz="4" w:space="0"/>
            </w:tcBorders>
            <w:noWrap w:val="0"/>
            <w:vAlign w:val="center"/>
          </w:tcPr>
          <w:p w14:paraId="62B33C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4465</w:t>
            </w:r>
          </w:p>
        </w:tc>
        <w:tc>
          <w:tcPr>
            <w:tcW w:w="1080" w:type="dxa"/>
            <w:tcBorders>
              <w:top w:val="nil"/>
              <w:left w:val="nil"/>
              <w:bottom w:val="single" w:color="auto" w:sz="4" w:space="0"/>
              <w:right w:val="single" w:color="auto" w:sz="4" w:space="0"/>
            </w:tcBorders>
            <w:noWrap w:val="0"/>
            <w:vAlign w:val="center"/>
          </w:tcPr>
          <w:p w14:paraId="59A8E7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10129</w:t>
            </w:r>
          </w:p>
        </w:tc>
      </w:tr>
      <w:tr w14:paraId="7AA421DA">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353430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观新村</w:t>
            </w:r>
          </w:p>
        </w:tc>
        <w:tc>
          <w:tcPr>
            <w:tcW w:w="1080" w:type="dxa"/>
            <w:tcBorders>
              <w:top w:val="nil"/>
              <w:left w:val="nil"/>
              <w:bottom w:val="single" w:color="auto" w:sz="4" w:space="0"/>
              <w:right w:val="single" w:color="auto" w:sz="4" w:space="0"/>
            </w:tcBorders>
            <w:noWrap w:val="0"/>
            <w:vAlign w:val="center"/>
          </w:tcPr>
          <w:p w14:paraId="4502DB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5.08</w:t>
            </w:r>
          </w:p>
        </w:tc>
        <w:tc>
          <w:tcPr>
            <w:tcW w:w="766" w:type="dxa"/>
            <w:tcBorders>
              <w:top w:val="nil"/>
              <w:left w:val="nil"/>
              <w:bottom w:val="single" w:color="auto" w:sz="4" w:space="0"/>
              <w:right w:val="single" w:color="auto" w:sz="4" w:space="0"/>
            </w:tcBorders>
            <w:noWrap w:val="0"/>
            <w:vAlign w:val="center"/>
          </w:tcPr>
          <w:p w14:paraId="7C89CB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287</w:t>
            </w:r>
          </w:p>
        </w:tc>
        <w:tc>
          <w:tcPr>
            <w:tcW w:w="886" w:type="dxa"/>
            <w:tcBorders>
              <w:top w:val="nil"/>
              <w:left w:val="nil"/>
              <w:bottom w:val="single" w:color="auto" w:sz="4" w:space="0"/>
              <w:right w:val="single" w:color="auto" w:sz="4" w:space="0"/>
            </w:tcBorders>
            <w:noWrap w:val="0"/>
            <w:vAlign w:val="center"/>
          </w:tcPr>
          <w:p w14:paraId="0F6FB7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1098</w:t>
            </w:r>
          </w:p>
        </w:tc>
        <w:tc>
          <w:tcPr>
            <w:tcW w:w="1080" w:type="dxa"/>
            <w:tcBorders>
              <w:top w:val="nil"/>
              <w:left w:val="nil"/>
              <w:bottom w:val="single" w:color="auto" w:sz="4" w:space="0"/>
              <w:right w:val="single" w:color="auto" w:sz="4" w:space="0"/>
            </w:tcBorders>
            <w:noWrap w:val="0"/>
            <w:vAlign w:val="center"/>
          </w:tcPr>
          <w:p w14:paraId="48EB66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1358</w:t>
            </w:r>
          </w:p>
        </w:tc>
        <w:tc>
          <w:tcPr>
            <w:tcW w:w="900" w:type="dxa"/>
            <w:tcBorders>
              <w:top w:val="nil"/>
              <w:left w:val="nil"/>
              <w:bottom w:val="single" w:color="auto" w:sz="4" w:space="0"/>
              <w:right w:val="single" w:color="auto" w:sz="4" w:space="0"/>
            </w:tcBorders>
            <w:noWrap w:val="0"/>
            <w:vAlign w:val="center"/>
          </w:tcPr>
          <w:p w14:paraId="34C937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937</w:t>
            </w:r>
          </w:p>
        </w:tc>
        <w:tc>
          <w:tcPr>
            <w:tcW w:w="1080" w:type="dxa"/>
            <w:tcBorders>
              <w:top w:val="nil"/>
              <w:left w:val="nil"/>
              <w:bottom w:val="single" w:color="auto" w:sz="4" w:space="0"/>
              <w:right w:val="single" w:color="auto" w:sz="4" w:space="0"/>
            </w:tcBorders>
            <w:noWrap w:val="0"/>
            <w:vAlign w:val="center"/>
          </w:tcPr>
          <w:p w14:paraId="49E3DE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10</w:t>
            </w:r>
          </w:p>
        </w:tc>
        <w:tc>
          <w:tcPr>
            <w:tcW w:w="1080" w:type="dxa"/>
            <w:tcBorders>
              <w:top w:val="nil"/>
              <w:left w:val="nil"/>
              <w:bottom w:val="single" w:color="auto" w:sz="4" w:space="0"/>
              <w:right w:val="single" w:color="auto" w:sz="4" w:space="0"/>
            </w:tcBorders>
            <w:noWrap w:val="0"/>
            <w:vAlign w:val="center"/>
          </w:tcPr>
          <w:p w14:paraId="721B3C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2771</w:t>
            </w:r>
          </w:p>
        </w:tc>
        <w:tc>
          <w:tcPr>
            <w:tcW w:w="1080" w:type="dxa"/>
            <w:tcBorders>
              <w:top w:val="nil"/>
              <w:left w:val="nil"/>
              <w:bottom w:val="single" w:color="auto" w:sz="4" w:space="0"/>
              <w:right w:val="single" w:color="auto" w:sz="4" w:space="0"/>
            </w:tcBorders>
            <w:noWrap w:val="0"/>
            <w:vAlign w:val="center"/>
          </w:tcPr>
          <w:p w14:paraId="24EB7F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10426</w:t>
            </w:r>
          </w:p>
        </w:tc>
      </w:tr>
      <w:tr w14:paraId="2047B190">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7DA5F5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荆岗村</w:t>
            </w:r>
          </w:p>
        </w:tc>
        <w:tc>
          <w:tcPr>
            <w:tcW w:w="1080" w:type="dxa"/>
            <w:tcBorders>
              <w:top w:val="nil"/>
              <w:left w:val="nil"/>
              <w:bottom w:val="single" w:color="auto" w:sz="4" w:space="0"/>
              <w:right w:val="single" w:color="auto" w:sz="4" w:space="0"/>
            </w:tcBorders>
            <w:noWrap w:val="0"/>
            <w:vAlign w:val="center"/>
          </w:tcPr>
          <w:p w14:paraId="059BEA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7.47</w:t>
            </w:r>
          </w:p>
        </w:tc>
        <w:tc>
          <w:tcPr>
            <w:tcW w:w="766" w:type="dxa"/>
            <w:tcBorders>
              <w:top w:val="nil"/>
              <w:left w:val="nil"/>
              <w:bottom w:val="single" w:color="auto" w:sz="4" w:space="0"/>
              <w:right w:val="single" w:color="auto" w:sz="4" w:space="0"/>
            </w:tcBorders>
            <w:noWrap w:val="0"/>
            <w:vAlign w:val="center"/>
          </w:tcPr>
          <w:p w14:paraId="54CB5E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625</w:t>
            </w:r>
          </w:p>
        </w:tc>
        <w:tc>
          <w:tcPr>
            <w:tcW w:w="886" w:type="dxa"/>
            <w:tcBorders>
              <w:top w:val="nil"/>
              <w:left w:val="nil"/>
              <w:bottom w:val="single" w:color="auto" w:sz="4" w:space="0"/>
              <w:right w:val="single" w:color="auto" w:sz="4" w:space="0"/>
            </w:tcBorders>
            <w:noWrap w:val="0"/>
            <w:vAlign w:val="center"/>
          </w:tcPr>
          <w:p w14:paraId="021D6E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2891</w:t>
            </w:r>
          </w:p>
        </w:tc>
        <w:tc>
          <w:tcPr>
            <w:tcW w:w="1080" w:type="dxa"/>
            <w:tcBorders>
              <w:top w:val="nil"/>
              <w:left w:val="nil"/>
              <w:bottom w:val="single" w:color="auto" w:sz="4" w:space="0"/>
              <w:right w:val="single" w:color="auto" w:sz="4" w:space="0"/>
            </w:tcBorders>
            <w:noWrap w:val="0"/>
            <w:vAlign w:val="center"/>
          </w:tcPr>
          <w:p w14:paraId="705BB5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3899</w:t>
            </w:r>
          </w:p>
        </w:tc>
        <w:tc>
          <w:tcPr>
            <w:tcW w:w="900" w:type="dxa"/>
            <w:tcBorders>
              <w:top w:val="nil"/>
              <w:left w:val="nil"/>
              <w:bottom w:val="single" w:color="auto" w:sz="4" w:space="0"/>
              <w:right w:val="single" w:color="auto" w:sz="4" w:space="0"/>
            </w:tcBorders>
            <w:noWrap w:val="0"/>
            <w:vAlign w:val="center"/>
          </w:tcPr>
          <w:p w14:paraId="5AEBAF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1676</w:t>
            </w:r>
          </w:p>
        </w:tc>
        <w:tc>
          <w:tcPr>
            <w:tcW w:w="1080" w:type="dxa"/>
            <w:tcBorders>
              <w:top w:val="nil"/>
              <w:left w:val="nil"/>
              <w:bottom w:val="single" w:color="auto" w:sz="4" w:space="0"/>
              <w:right w:val="single" w:color="auto" w:sz="4" w:space="0"/>
            </w:tcBorders>
            <w:noWrap w:val="0"/>
            <w:vAlign w:val="center"/>
          </w:tcPr>
          <w:p w14:paraId="60D24D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19</w:t>
            </w:r>
          </w:p>
        </w:tc>
        <w:tc>
          <w:tcPr>
            <w:tcW w:w="1080" w:type="dxa"/>
            <w:tcBorders>
              <w:top w:val="nil"/>
              <w:left w:val="nil"/>
              <w:bottom w:val="single" w:color="auto" w:sz="4" w:space="0"/>
              <w:right w:val="single" w:color="auto" w:sz="4" w:space="0"/>
            </w:tcBorders>
            <w:noWrap w:val="0"/>
            <w:vAlign w:val="center"/>
          </w:tcPr>
          <w:p w14:paraId="4BCAC5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5193</w:t>
            </w:r>
          </w:p>
        </w:tc>
        <w:tc>
          <w:tcPr>
            <w:tcW w:w="1080" w:type="dxa"/>
            <w:tcBorders>
              <w:top w:val="nil"/>
              <w:left w:val="nil"/>
              <w:bottom w:val="single" w:color="auto" w:sz="4" w:space="0"/>
              <w:right w:val="single" w:color="auto" w:sz="4" w:space="0"/>
            </w:tcBorders>
            <w:noWrap w:val="0"/>
            <w:vAlign w:val="center"/>
          </w:tcPr>
          <w:p w14:paraId="5D602D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9826</w:t>
            </w:r>
          </w:p>
        </w:tc>
      </w:tr>
      <w:tr w14:paraId="48C24576">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00AA93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勋口村</w:t>
            </w:r>
          </w:p>
        </w:tc>
        <w:tc>
          <w:tcPr>
            <w:tcW w:w="1080" w:type="dxa"/>
            <w:tcBorders>
              <w:top w:val="nil"/>
              <w:left w:val="nil"/>
              <w:bottom w:val="single" w:color="auto" w:sz="4" w:space="0"/>
              <w:right w:val="single" w:color="auto" w:sz="4" w:space="0"/>
            </w:tcBorders>
            <w:noWrap w:val="0"/>
            <w:vAlign w:val="center"/>
          </w:tcPr>
          <w:p w14:paraId="2F1B74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7.40</w:t>
            </w:r>
          </w:p>
        </w:tc>
        <w:tc>
          <w:tcPr>
            <w:tcW w:w="766" w:type="dxa"/>
            <w:tcBorders>
              <w:top w:val="nil"/>
              <w:left w:val="nil"/>
              <w:bottom w:val="single" w:color="auto" w:sz="4" w:space="0"/>
              <w:right w:val="single" w:color="auto" w:sz="4" w:space="0"/>
            </w:tcBorders>
            <w:noWrap w:val="0"/>
            <w:vAlign w:val="center"/>
          </w:tcPr>
          <w:p w14:paraId="78B4B2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826</w:t>
            </w:r>
          </w:p>
        </w:tc>
        <w:tc>
          <w:tcPr>
            <w:tcW w:w="886" w:type="dxa"/>
            <w:tcBorders>
              <w:top w:val="nil"/>
              <w:left w:val="nil"/>
              <w:bottom w:val="single" w:color="auto" w:sz="4" w:space="0"/>
              <w:right w:val="single" w:color="auto" w:sz="4" w:space="0"/>
            </w:tcBorders>
            <w:noWrap w:val="0"/>
            <w:vAlign w:val="center"/>
          </w:tcPr>
          <w:p w14:paraId="50BACF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3571</w:t>
            </w:r>
          </w:p>
        </w:tc>
        <w:tc>
          <w:tcPr>
            <w:tcW w:w="1080" w:type="dxa"/>
            <w:tcBorders>
              <w:top w:val="nil"/>
              <w:left w:val="nil"/>
              <w:bottom w:val="single" w:color="auto" w:sz="4" w:space="0"/>
              <w:right w:val="single" w:color="auto" w:sz="4" w:space="0"/>
            </w:tcBorders>
            <w:noWrap w:val="0"/>
            <w:vAlign w:val="center"/>
          </w:tcPr>
          <w:p w14:paraId="290C7F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3560</w:t>
            </w:r>
          </w:p>
        </w:tc>
        <w:tc>
          <w:tcPr>
            <w:tcW w:w="900" w:type="dxa"/>
            <w:tcBorders>
              <w:top w:val="nil"/>
              <w:left w:val="nil"/>
              <w:bottom w:val="single" w:color="auto" w:sz="4" w:space="0"/>
              <w:right w:val="single" w:color="auto" w:sz="4" w:space="0"/>
            </w:tcBorders>
            <w:noWrap w:val="0"/>
            <w:vAlign w:val="center"/>
          </w:tcPr>
          <w:p w14:paraId="211380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2120</w:t>
            </w:r>
          </w:p>
        </w:tc>
        <w:tc>
          <w:tcPr>
            <w:tcW w:w="1080" w:type="dxa"/>
            <w:tcBorders>
              <w:top w:val="nil"/>
              <w:left w:val="nil"/>
              <w:bottom w:val="single" w:color="auto" w:sz="4" w:space="0"/>
              <w:right w:val="single" w:color="auto" w:sz="4" w:space="0"/>
            </w:tcBorders>
            <w:noWrap w:val="0"/>
            <w:vAlign w:val="center"/>
          </w:tcPr>
          <w:p w14:paraId="699B3E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1080" w:type="dxa"/>
            <w:tcBorders>
              <w:top w:val="nil"/>
              <w:left w:val="nil"/>
              <w:bottom w:val="single" w:color="auto" w:sz="4" w:space="0"/>
              <w:right w:val="single" w:color="auto" w:sz="4" w:space="0"/>
            </w:tcBorders>
            <w:noWrap w:val="0"/>
            <w:vAlign w:val="center"/>
          </w:tcPr>
          <w:p w14:paraId="01501F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5516</w:t>
            </w:r>
          </w:p>
        </w:tc>
        <w:tc>
          <w:tcPr>
            <w:tcW w:w="1080" w:type="dxa"/>
            <w:tcBorders>
              <w:top w:val="nil"/>
              <w:left w:val="nil"/>
              <w:bottom w:val="single" w:color="auto" w:sz="4" w:space="0"/>
              <w:right w:val="single" w:color="auto" w:sz="4" w:space="0"/>
            </w:tcBorders>
            <w:noWrap w:val="0"/>
            <w:vAlign w:val="center"/>
          </w:tcPr>
          <w:p w14:paraId="466059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9690</w:t>
            </w:r>
          </w:p>
        </w:tc>
      </w:tr>
      <w:tr w14:paraId="1A7726BA">
        <w:tblPrEx>
          <w:tblCellMar>
            <w:top w:w="0" w:type="dxa"/>
            <w:left w:w="108" w:type="dxa"/>
            <w:bottom w:w="0" w:type="dxa"/>
            <w:right w:w="108" w:type="dxa"/>
          </w:tblCellMar>
        </w:tblPrEx>
        <w:trPr>
          <w:trHeight w:val="90" w:hRule="atLeast"/>
          <w:jc w:val="center"/>
        </w:trPr>
        <w:tc>
          <w:tcPr>
            <w:tcW w:w="1548" w:type="dxa"/>
            <w:tcBorders>
              <w:top w:val="nil"/>
              <w:left w:val="single" w:color="auto" w:sz="4" w:space="0"/>
              <w:bottom w:val="single" w:color="auto" w:sz="4" w:space="0"/>
              <w:right w:val="single" w:color="auto" w:sz="4" w:space="0"/>
            </w:tcBorders>
            <w:noWrap w:val="0"/>
            <w:vAlign w:val="center"/>
          </w:tcPr>
          <w:p w14:paraId="01657C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上坪村</w:t>
            </w:r>
          </w:p>
        </w:tc>
        <w:tc>
          <w:tcPr>
            <w:tcW w:w="1080" w:type="dxa"/>
            <w:tcBorders>
              <w:top w:val="nil"/>
              <w:left w:val="nil"/>
              <w:bottom w:val="single" w:color="auto" w:sz="4" w:space="0"/>
              <w:right w:val="single" w:color="auto" w:sz="4" w:space="0"/>
            </w:tcBorders>
            <w:noWrap w:val="0"/>
            <w:vAlign w:val="center"/>
          </w:tcPr>
          <w:p w14:paraId="46DCDF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8.67</w:t>
            </w:r>
          </w:p>
        </w:tc>
        <w:tc>
          <w:tcPr>
            <w:tcW w:w="766" w:type="dxa"/>
            <w:tcBorders>
              <w:top w:val="nil"/>
              <w:left w:val="nil"/>
              <w:bottom w:val="single" w:color="auto" w:sz="4" w:space="0"/>
              <w:right w:val="single" w:color="auto" w:sz="4" w:space="0"/>
            </w:tcBorders>
            <w:noWrap w:val="0"/>
            <w:vAlign w:val="center"/>
          </w:tcPr>
          <w:p w14:paraId="3500D9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388</w:t>
            </w:r>
          </w:p>
        </w:tc>
        <w:tc>
          <w:tcPr>
            <w:tcW w:w="886" w:type="dxa"/>
            <w:tcBorders>
              <w:top w:val="nil"/>
              <w:left w:val="nil"/>
              <w:bottom w:val="single" w:color="auto" w:sz="4" w:space="0"/>
              <w:right w:val="single" w:color="auto" w:sz="4" w:space="0"/>
            </w:tcBorders>
            <w:noWrap w:val="0"/>
            <w:vAlign w:val="center"/>
          </w:tcPr>
          <w:p w14:paraId="6AF88A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1509</w:t>
            </w:r>
          </w:p>
        </w:tc>
        <w:tc>
          <w:tcPr>
            <w:tcW w:w="1080" w:type="dxa"/>
            <w:tcBorders>
              <w:top w:val="nil"/>
              <w:left w:val="nil"/>
              <w:bottom w:val="single" w:color="auto" w:sz="4" w:space="0"/>
              <w:right w:val="single" w:color="auto" w:sz="4" w:space="0"/>
            </w:tcBorders>
            <w:noWrap w:val="0"/>
            <w:vAlign w:val="center"/>
          </w:tcPr>
          <w:p w14:paraId="2309F9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1771</w:t>
            </w:r>
          </w:p>
        </w:tc>
        <w:tc>
          <w:tcPr>
            <w:tcW w:w="900" w:type="dxa"/>
            <w:tcBorders>
              <w:top w:val="nil"/>
              <w:left w:val="nil"/>
              <w:bottom w:val="single" w:color="auto" w:sz="4" w:space="0"/>
              <w:right w:val="single" w:color="auto" w:sz="4" w:space="0"/>
            </w:tcBorders>
            <w:noWrap w:val="0"/>
            <w:vAlign w:val="center"/>
          </w:tcPr>
          <w:p w14:paraId="6A3473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1436</w:t>
            </w:r>
          </w:p>
        </w:tc>
        <w:tc>
          <w:tcPr>
            <w:tcW w:w="1080" w:type="dxa"/>
            <w:tcBorders>
              <w:top w:val="nil"/>
              <w:left w:val="nil"/>
              <w:bottom w:val="single" w:color="auto" w:sz="4" w:space="0"/>
              <w:right w:val="single" w:color="auto" w:sz="4" w:space="0"/>
            </w:tcBorders>
            <w:noWrap w:val="0"/>
            <w:vAlign w:val="center"/>
          </w:tcPr>
          <w:p w14:paraId="6E9566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p>
        </w:tc>
        <w:tc>
          <w:tcPr>
            <w:tcW w:w="1080" w:type="dxa"/>
            <w:tcBorders>
              <w:top w:val="nil"/>
              <w:left w:val="nil"/>
              <w:bottom w:val="single" w:color="auto" w:sz="4" w:space="0"/>
              <w:right w:val="single" w:color="auto" w:sz="4" w:space="0"/>
            </w:tcBorders>
            <w:noWrap w:val="0"/>
            <w:vAlign w:val="center"/>
          </w:tcPr>
          <w:p w14:paraId="286337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2709</w:t>
            </w:r>
          </w:p>
        </w:tc>
        <w:tc>
          <w:tcPr>
            <w:tcW w:w="1080" w:type="dxa"/>
            <w:tcBorders>
              <w:top w:val="nil"/>
              <w:left w:val="nil"/>
              <w:bottom w:val="single" w:color="auto" w:sz="4" w:space="0"/>
              <w:right w:val="single" w:color="auto" w:sz="4" w:space="0"/>
            </w:tcBorders>
            <w:noWrap w:val="0"/>
            <w:vAlign w:val="center"/>
          </w:tcPr>
          <w:p w14:paraId="5DCA62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10463</w:t>
            </w:r>
          </w:p>
        </w:tc>
      </w:tr>
      <w:tr w14:paraId="019A7725">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32E538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下坪村</w:t>
            </w:r>
          </w:p>
        </w:tc>
        <w:tc>
          <w:tcPr>
            <w:tcW w:w="1080" w:type="dxa"/>
            <w:tcBorders>
              <w:top w:val="nil"/>
              <w:left w:val="nil"/>
              <w:bottom w:val="single" w:color="auto" w:sz="4" w:space="0"/>
              <w:right w:val="single" w:color="auto" w:sz="4" w:space="0"/>
            </w:tcBorders>
            <w:noWrap w:val="0"/>
            <w:vAlign w:val="center"/>
          </w:tcPr>
          <w:p w14:paraId="7F2A12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25.08</w:t>
            </w:r>
          </w:p>
        </w:tc>
        <w:tc>
          <w:tcPr>
            <w:tcW w:w="766" w:type="dxa"/>
            <w:tcBorders>
              <w:top w:val="nil"/>
              <w:left w:val="nil"/>
              <w:bottom w:val="single" w:color="auto" w:sz="4" w:space="0"/>
              <w:right w:val="single" w:color="auto" w:sz="4" w:space="0"/>
            </w:tcBorders>
            <w:noWrap w:val="0"/>
            <w:vAlign w:val="center"/>
          </w:tcPr>
          <w:p w14:paraId="3DC121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721</w:t>
            </w:r>
          </w:p>
        </w:tc>
        <w:tc>
          <w:tcPr>
            <w:tcW w:w="886" w:type="dxa"/>
            <w:tcBorders>
              <w:top w:val="nil"/>
              <w:left w:val="nil"/>
              <w:bottom w:val="single" w:color="auto" w:sz="4" w:space="0"/>
              <w:right w:val="single" w:color="auto" w:sz="4" w:space="0"/>
            </w:tcBorders>
            <w:noWrap w:val="0"/>
            <w:vAlign w:val="center"/>
          </w:tcPr>
          <w:p w14:paraId="2AF145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3062</w:t>
            </w:r>
          </w:p>
        </w:tc>
        <w:tc>
          <w:tcPr>
            <w:tcW w:w="1080" w:type="dxa"/>
            <w:tcBorders>
              <w:top w:val="nil"/>
              <w:left w:val="nil"/>
              <w:bottom w:val="single" w:color="auto" w:sz="4" w:space="0"/>
              <w:right w:val="single" w:color="auto" w:sz="4" w:space="0"/>
            </w:tcBorders>
            <w:noWrap w:val="0"/>
            <w:vAlign w:val="center"/>
          </w:tcPr>
          <w:p w14:paraId="5DE0EB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4130</w:t>
            </w:r>
          </w:p>
        </w:tc>
        <w:tc>
          <w:tcPr>
            <w:tcW w:w="900" w:type="dxa"/>
            <w:tcBorders>
              <w:top w:val="nil"/>
              <w:left w:val="nil"/>
              <w:bottom w:val="single" w:color="auto" w:sz="4" w:space="0"/>
              <w:right w:val="single" w:color="auto" w:sz="4" w:space="0"/>
            </w:tcBorders>
            <w:noWrap w:val="0"/>
            <w:vAlign w:val="center"/>
          </w:tcPr>
          <w:p w14:paraId="1B8550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2856</w:t>
            </w:r>
          </w:p>
        </w:tc>
        <w:tc>
          <w:tcPr>
            <w:tcW w:w="1080" w:type="dxa"/>
            <w:tcBorders>
              <w:top w:val="nil"/>
              <w:left w:val="nil"/>
              <w:bottom w:val="single" w:color="auto" w:sz="4" w:space="0"/>
              <w:right w:val="single" w:color="auto" w:sz="4" w:space="0"/>
            </w:tcBorders>
            <w:noWrap w:val="0"/>
            <w:vAlign w:val="center"/>
          </w:tcPr>
          <w:p w14:paraId="1C1B40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w:t>
            </w:r>
          </w:p>
        </w:tc>
        <w:tc>
          <w:tcPr>
            <w:tcW w:w="1080" w:type="dxa"/>
            <w:tcBorders>
              <w:top w:val="nil"/>
              <w:left w:val="nil"/>
              <w:bottom w:val="single" w:color="auto" w:sz="4" w:space="0"/>
              <w:right w:val="single" w:color="auto" w:sz="4" w:space="0"/>
            </w:tcBorders>
            <w:noWrap w:val="0"/>
            <w:vAlign w:val="center"/>
          </w:tcPr>
          <w:p w14:paraId="5FD13E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4514</w:t>
            </w:r>
          </w:p>
        </w:tc>
        <w:tc>
          <w:tcPr>
            <w:tcW w:w="1080" w:type="dxa"/>
            <w:tcBorders>
              <w:top w:val="nil"/>
              <w:left w:val="nil"/>
              <w:bottom w:val="single" w:color="auto" w:sz="4" w:space="0"/>
              <w:right w:val="single" w:color="auto" w:sz="4" w:space="0"/>
            </w:tcBorders>
            <w:noWrap w:val="0"/>
            <w:vAlign w:val="center"/>
          </w:tcPr>
          <w:p w14:paraId="0D37FA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10422</w:t>
            </w:r>
          </w:p>
        </w:tc>
      </w:tr>
      <w:tr w14:paraId="154FAD5B">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027C51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五洲村</w:t>
            </w:r>
          </w:p>
        </w:tc>
        <w:tc>
          <w:tcPr>
            <w:tcW w:w="1080" w:type="dxa"/>
            <w:tcBorders>
              <w:top w:val="nil"/>
              <w:left w:val="nil"/>
              <w:bottom w:val="single" w:color="auto" w:sz="4" w:space="0"/>
              <w:right w:val="single" w:color="auto" w:sz="4" w:space="0"/>
            </w:tcBorders>
            <w:noWrap w:val="0"/>
            <w:vAlign w:val="center"/>
          </w:tcPr>
          <w:p w14:paraId="005E9D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8.91</w:t>
            </w:r>
          </w:p>
        </w:tc>
        <w:tc>
          <w:tcPr>
            <w:tcW w:w="766" w:type="dxa"/>
            <w:tcBorders>
              <w:top w:val="nil"/>
              <w:left w:val="nil"/>
              <w:bottom w:val="single" w:color="auto" w:sz="4" w:space="0"/>
              <w:right w:val="single" w:color="auto" w:sz="4" w:space="0"/>
            </w:tcBorders>
            <w:noWrap w:val="0"/>
            <w:vAlign w:val="center"/>
          </w:tcPr>
          <w:p w14:paraId="1CEDEB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902</w:t>
            </w:r>
          </w:p>
        </w:tc>
        <w:tc>
          <w:tcPr>
            <w:tcW w:w="886" w:type="dxa"/>
            <w:tcBorders>
              <w:top w:val="nil"/>
              <w:left w:val="nil"/>
              <w:bottom w:val="single" w:color="auto" w:sz="4" w:space="0"/>
              <w:right w:val="single" w:color="auto" w:sz="4" w:space="0"/>
            </w:tcBorders>
            <w:noWrap w:val="0"/>
            <w:vAlign w:val="center"/>
          </w:tcPr>
          <w:p w14:paraId="16FE94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3652</w:t>
            </w:r>
          </w:p>
        </w:tc>
        <w:tc>
          <w:tcPr>
            <w:tcW w:w="1080" w:type="dxa"/>
            <w:tcBorders>
              <w:top w:val="nil"/>
              <w:left w:val="nil"/>
              <w:bottom w:val="single" w:color="auto" w:sz="4" w:space="0"/>
              <w:right w:val="single" w:color="auto" w:sz="4" w:space="0"/>
            </w:tcBorders>
            <w:noWrap w:val="0"/>
            <w:vAlign w:val="center"/>
          </w:tcPr>
          <w:p w14:paraId="71B477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4817</w:t>
            </w:r>
          </w:p>
        </w:tc>
        <w:tc>
          <w:tcPr>
            <w:tcW w:w="900" w:type="dxa"/>
            <w:tcBorders>
              <w:top w:val="nil"/>
              <w:left w:val="nil"/>
              <w:bottom w:val="single" w:color="auto" w:sz="4" w:space="0"/>
              <w:right w:val="single" w:color="auto" w:sz="4" w:space="0"/>
            </w:tcBorders>
            <w:noWrap w:val="0"/>
            <w:vAlign w:val="center"/>
          </w:tcPr>
          <w:p w14:paraId="3B3FEA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2429</w:t>
            </w:r>
          </w:p>
        </w:tc>
        <w:tc>
          <w:tcPr>
            <w:tcW w:w="1080" w:type="dxa"/>
            <w:tcBorders>
              <w:top w:val="nil"/>
              <w:left w:val="nil"/>
              <w:bottom w:val="single" w:color="auto" w:sz="4" w:space="0"/>
              <w:right w:val="single" w:color="auto" w:sz="4" w:space="0"/>
            </w:tcBorders>
            <w:noWrap w:val="0"/>
            <w:vAlign w:val="center"/>
          </w:tcPr>
          <w:p w14:paraId="431743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w:t>
            </w:r>
          </w:p>
        </w:tc>
        <w:tc>
          <w:tcPr>
            <w:tcW w:w="1080" w:type="dxa"/>
            <w:tcBorders>
              <w:top w:val="nil"/>
              <w:left w:val="nil"/>
              <w:bottom w:val="single" w:color="auto" w:sz="4" w:space="0"/>
              <w:right w:val="single" w:color="auto" w:sz="4" w:space="0"/>
            </w:tcBorders>
            <w:noWrap w:val="0"/>
            <w:vAlign w:val="center"/>
          </w:tcPr>
          <w:p w14:paraId="555DE5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6071</w:t>
            </w:r>
          </w:p>
        </w:tc>
        <w:tc>
          <w:tcPr>
            <w:tcW w:w="1080" w:type="dxa"/>
            <w:tcBorders>
              <w:top w:val="nil"/>
              <w:left w:val="nil"/>
              <w:bottom w:val="single" w:color="auto" w:sz="4" w:space="0"/>
              <w:right w:val="single" w:color="auto" w:sz="4" w:space="0"/>
            </w:tcBorders>
            <w:noWrap w:val="0"/>
            <w:vAlign w:val="center"/>
          </w:tcPr>
          <w:p w14:paraId="050840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10263</w:t>
            </w:r>
          </w:p>
        </w:tc>
      </w:tr>
      <w:tr w14:paraId="1C8F8EF4">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686D50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迳口村</w:t>
            </w:r>
          </w:p>
        </w:tc>
        <w:tc>
          <w:tcPr>
            <w:tcW w:w="1080" w:type="dxa"/>
            <w:tcBorders>
              <w:top w:val="nil"/>
              <w:left w:val="nil"/>
              <w:bottom w:val="single" w:color="auto" w:sz="4" w:space="0"/>
              <w:right w:val="single" w:color="auto" w:sz="4" w:space="0"/>
            </w:tcBorders>
            <w:noWrap w:val="0"/>
            <w:vAlign w:val="center"/>
          </w:tcPr>
          <w:p w14:paraId="1EFA63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6.31</w:t>
            </w:r>
          </w:p>
        </w:tc>
        <w:tc>
          <w:tcPr>
            <w:tcW w:w="766" w:type="dxa"/>
            <w:tcBorders>
              <w:top w:val="nil"/>
              <w:left w:val="nil"/>
              <w:bottom w:val="single" w:color="auto" w:sz="4" w:space="0"/>
              <w:right w:val="single" w:color="auto" w:sz="4" w:space="0"/>
            </w:tcBorders>
            <w:noWrap w:val="0"/>
            <w:vAlign w:val="center"/>
          </w:tcPr>
          <w:p w14:paraId="7E0C3C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561</w:t>
            </w:r>
          </w:p>
        </w:tc>
        <w:tc>
          <w:tcPr>
            <w:tcW w:w="886" w:type="dxa"/>
            <w:tcBorders>
              <w:top w:val="nil"/>
              <w:left w:val="nil"/>
              <w:bottom w:val="single" w:color="auto" w:sz="4" w:space="0"/>
              <w:right w:val="single" w:color="auto" w:sz="4" w:space="0"/>
            </w:tcBorders>
            <w:noWrap w:val="0"/>
            <w:vAlign w:val="center"/>
          </w:tcPr>
          <w:p w14:paraId="0F8D8B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2246</w:t>
            </w:r>
          </w:p>
        </w:tc>
        <w:tc>
          <w:tcPr>
            <w:tcW w:w="1080" w:type="dxa"/>
            <w:tcBorders>
              <w:top w:val="nil"/>
              <w:left w:val="nil"/>
              <w:bottom w:val="single" w:color="auto" w:sz="4" w:space="0"/>
              <w:right w:val="single" w:color="auto" w:sz="4" w:space="0"/>
            </w:tcBorders>
            <w:noWrap w:val="0"/>
            <w:vAlign w:val="center"/>
          </w:tcPr>
          <w:p w14:paraId="7F5F69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3454</w:t>
            </w:r>
          </w:p>
        </w:tc>
        <w:tc>
          <w:tcPr>
            <w:tcW w:w="900" w:type="dxa"/>
            <w:tcBorders>
              <w:top w:val="nil"/>
              <w:left w:val="nil"/>
              <w:bottom w:val="single" w:color="auto" w:sz="4" w:space="0"/>
              <w:right w:val="single" w:color="auto" w:sz="4" w:space="0"/>
            </w:tcBorders>
            <w:noWrap w:val="0"/>
            <w:vAlign w:val="center"/>
          </w:tcPr>
          <w:p w14:paraId="43B98A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2199</w:t>
            </w:r>
          </w:p>
        </w:tc>
        <w:tc>
          <w:tcPr>
            <w:tcW w:w="1080" w:type="dxa"/>
            <w:tcBorders>
              <w:top w:val="nil"/>
              <w:left w:val="nil"/>
              <w:bottom w:val="single" w:color="auto" w:sz="4" w:space="0"/>
              <w:right w:val="single" w:color="auto" w:sz="4" w:space="0"/>
            </w:tcBorders>
            <w:noWrap w:val="0"/>
            <w:vAlign w:val="center"/>
          </w:tcPr>
          <w:p w14:paraId="76C6D4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p>
        </w:tc>
        <w:tc>
          <w:tcPr>
            <w:tcW w:w="1080" w:type="dxa"/>
            <w:tcBorders>
              <w:top w:val="nil"/>
              <w:left w:val="nil"/>
              <w:bottom w:val="single" w:color="auto" w:sz="4" w:space="0"/>
              <w:right w:val="single" w:color="auto" w:sz="4" w:space="0"/>
            </w:tcBorders>
            <w:noWrap w:val="0"/>
            <w:vAlign w:val="center"/>
          </w:tcPr>
          <w:p w14:paraId="08F87F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4533</w:t>
            </w:r>
          </w:p>
        </w:tc>
        <w:tc>
          <w:tcPr>
            <w:tcW w:w="1080" w:type="dxa"/>
            <w:tcBorders>
              <w:top w:val="nil"/>
              <w:left w:val="nil"/>
              <w:bottom w:val="single" w:color="auto" w:sz="4" w:space="0"/>
              <w:right w:val="single" w:color="auto" w:sz="4" w:space="0"/>
            </w:tcBorders>
            <w:noWrap w:val="0"/>
            <w:vAlign w:val="center"/>
          </w:tcPr>
          <w:p w14:paraId="2F5BBF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10494</w:t>
            </w:r>
          </w:p>
        </w:tc>
      </w:tr>
      <w:tr w14:paraId="7509A421">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6D7D6C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铺背村</w:t>
            </w:r>
          </w:p>
        </w:tc>
        <w:tc>
          <w:tcPr>
            <w:tcW w:w="1080" w:type="dxa"/>
            <w:tcBorders>
              <w:top w:val="nil"/>
              <w:left w:val="nil"/>
              <w:bottom w:val="single" w:color="auto" w:sz="4" w:space="0"/>
              <w:right w:val="single" w:color="auto" w:sz="4" w:space="0"/>
            </w:tcBorders>
            <w:noWrap w:val="0"/>
            <w:vAlign w:val="center"/>
          </w:tcPr>
          <w:p w14:paraId="294287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3.22</w:t>
            </w:r>
          </w:p>
        </w:tc>
        <w:tc>
          <w:tcPr>
            <w:tcW w:w="766" w:type="dxa"/>
            <w:tcBorders>
              <w:top w:val="nil"/>
              <w:left w:val="nil"/>
              <w:bottom w:val="single" w:color="auto" w:sz="4" w:space="0"/>
              <w:right w:val="single" w:color="auto" w:sz="4" w:space="0"/>
            </w:tcBorders>
            <w:noWrap w:val="0"/>
            <w:vAlign w:val="center"/>
          </w:tcPr>
          <w:p w14:paraId="3A2146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657</w:t>
            </w:r>
          </w:p>
        </w:tc>
        <w:tc>
          <w:tcPr>
            <w:tcW w:w="886" w:type="dxa"/>
            <w:tcBorders>
              <w:top w:val="nil"/>
              <w:left w:val="nil"/>
              <w:bottom w:val="single" w:color="auto" w:sz="4" w:space="0"/>
              <w:right w:val="single" w:color="auto" w:sz="4" w:space="0"/>
            </w:tcBorders>
            <w:noWrap w:val="0"/>
            <w:vAlign w:val="center"/>
          </w:tcPr>
          <w:p w14:paraId="3FACBB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2235</w:t>
            </w:r>
          </w:p>
        </w:tc>
        <w:tc>
          <w:tcPr>
            <w:tcW w:w="1080" w:type="dxa"/>
            <w:tcBorders>
              <w:top w:val="nil"/>
              <w:left w:val="nil"/>
              <w:bottom w:val="single" w:color="auto" w:sz="4" w:space="0"/>
              <w:right w:val="single" w:color="auto" w:sz="4" w:space="0"/>
            </w:tcBorders>
            <w:noWrap w:val="0"/>
            <w:vAlign w:val="center"/>
          </w:tcPr>
          <w:p w14:paraId="30554F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1814</w:t>
            </w:r>
          </w:p>
        </w:tc>
        <w:tc>
          <w:tcPr>
            <w:tcW w:w="900" w:type="dxa"/>
            <w:tcBorders>
              <w:top w:val="nil"/>
              <w:left w:val="nil"/>
              <w:bottom w:val="single" w:color="auto" w:sz="4" w:space="0"/>
              <w:right w:val="single" w:color="auto" w:sz="4" w:space="0"/>
            </w:tcBorders>
            <w:noWrap w:val="0"/>
            <w:vAlign w:val="center"/>
          </w:tcPr>
          <w:p w14:paraId="738436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1257</w:t>
            </w:r>
          </w:p>
        </w:tc>
        <w:tc>
          <w:tcPr>
            <w:tcW w:w="1080" w:type="dxa"/>
            <w:tcBorders>
              <w:top w:val="nil"/>
              <w:left w:val="nil"/>
              <w:bottom w:val="single" w:color="auto" w:sz="4" w:space="0"/>
              <w:right w:val="single" w:color="auto" w:sz="4" w:space="0"/>
            </w:tcBorders>
            <w:noWrap w:val="0"/>
            <w:vAlign w:val="center"/>
          </w:tcPr>
          <w:p w14:paraId="1E87A2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80" w:type="dxa"/>
            <w:tcBorders>
              <w:top w:val="nil"/>
              <w:left w:val="nil"/>
              <w:bottom w:val="single" w:color="auto" w:sz="4" w:space="0"/>
              <w:right w:val="single" w:color="auto" w:sz="4" w:space="0"/>
            </w:tcBorders>
            <w:noWrap w:val="0"/>
            <w:vAlign w:val="center"/>
          </w:tcPr>
          <w:p w14:paraId="4C3F0C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4228</w:t>
            </w:r>
          </w:p>
        </w:tc>
        <w:tc>
          <w:tcPr>
            <w:tcW w:w="1080" w:type="dxa"/>
            <w:tcBorders>
              <w:top w:val="nil"/>
              <w:left w:val="nil"/>
              <w:bottom w:val="single" w:color="auto" w:sz="4" w:space="0"/>
              <w:right w:val="single" w:color="auto" w:sz="4" w:space="0"/>
            </w:tcBorders>
            <w:noWrap w:val="0"/>
            <w:vAlign w:val="center"/>
          </w:tcPr>
          <w:p w14:paraId="5CE577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10381</w:t>
            </w:r>
          </w:p>
        </w:tc>
      </w:tr>
      <w:tr w14:paraId="6E35627F">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49DC56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莲塘村</w:t>
            </w:r>
          </w:p>
        </w:tc>
        <w:tc>
          <w:tcPr>
            <w:tcW w:w="1080" w:type="dxa"/>
            <w:tcBorders>
              <w:top w:val="nil"/>
              <w:left w:val="nil"/>
              <w:bottom w:val="single" w:color="auto" w:sz="4" w:space="0"/>
              <w:right w:val="single" w:color="auto" w:sz="4" w:space="0"/>
            </w:tcBorders>
            <w:noWrap w:val="0"/>
            <w:vAlign w:val="center"/>
          </w:tcPr>
          <w:p w14:paraId="17F9F5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3.25</w:t>
            </w:r>
          </w:p>
        </w:tc>
        <w:tc>
          <w:tcPr>
            <w:tcW w:w="766" w:type="dxa"/>
            <w:tcBorders>
              <w:top w:val="nil"/>
              <w:left w:val="nil"/>
              <w:bottom w:val="single" w:color="auto" w:sz="4" w:space="0"/>
              <w:right w:val="single" w:color="auto" w:sz="4" w:space="0"/>
            </w:tcBorders>
            <w:noWrap w:val="0"/>
            <w:vAlign w:val="center"/>
          </w:tcPr>
          <w:p w14:paraId="412FB5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839</w:t>
            </w:r>
          </w:p>
        </w:tc>
        <w:tc>
          <w:tcPr>
            <w:tcW w:w="886" w:type="dxa"/>
            <w:tcBorders>
              <w:top w:val="nil"/>
              <w:left w:val="nil"/>
              <w:bottom w:val="single" w:color="auto" w:sz="4" w:space="0"/>
              <w:right w:val="single" w:color="auto" w:sz="4" w:space="0"/>
            </w:tcBorders>
            <w:noWrap w:val="0"/>
            <w:vAlign w:val="center"/>
          </w:tcPr>
          <w:p w14:paraId="4DACB0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3275</w:t>
            </w:r>
          </w:p>
        </w:tc>
        <w:tc>
          <w:tcPr>
            <w:tcW w:w="1080" w:type="dxa"/>
            <w:tcBorders>
              <w:top w:val="nil"/>
              <w:left w:val="nil"/>
              <w:bottom w:val="single" w:color="auto" w:sz="4" w:space="0"/>
              <w:right w:val="single" w:color="auto" w:sz="4" w:space="0"/>
            </w:tcBorders>
            <w:noWrap w:val="0"/>
            <w:vAlign w:val="center"/>
          </w:tcPr>
          <w:p w14:paraId="32CC9F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1952</w:t>
            </w:r>
          </w:p>
        </w:tc>
        <w:tc>
          <w:tcPr>
            <w:tcW w:w="900" w:type="dxa"/>
            <w:tcBorders>
              <w:top w:val="nil"/>
              <w:left w:val="nil"/>
              <w:bottom w:val="single" w:color="auto" w:sz="4" w:space="0"/>
              <w:right w:val="single" w:color="auto" w:sz="4" w:space="0"/>
            </w:tcBorders>
            <w:noWrap w:val="0"/>
            <w:vAlign w:val="center"/>
          </w:tcPr>
          <w:p w14:paraId="6D0655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1817</w:t>
            </w:r>
          </w:p>
        </w:tc>
        <w:tc>
          <w:tcPr>
            <w:tcW w:w="1080" w:type="dxa"/>
            <w:tcBorders>
              <w:top w:val="nil"/>
              <w:left w:val="nil"/>
              <w:bottom w:val="single" w:color="auto" w:sz="4" w:space="0"/>
              <w:right w:val="single" w:color="auto" w:sz="4" w:space="0"/>
            </w:tcBorders>
            <w:noWrap w:val="0"/>
            <w:vAlign w:val="center"/>
          </w:tcPr>
          <w:p w14:paraId="58BEEE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1080" w:type="dxa"/>
            <w:tcBorders>
              <w:top w:val="nil"/>
              <w:left w:val="nil"/>
              <w:bottom w:val="single" w:color="auto" w:sz="4" w:space="0"/>
              <w:right w:val="single" w:color="auto" w:sz="4" w:space="0"/>
            </w:tcBorders>
            <w:noWrap w:val="0"/>
            <w:vAlign w:val="center"/>
          </w:tcPr>
          <w:p w14:paraId="277737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10156</w:t>
            </w:r>
          </w:p>
        </w:tc>
        <w:tc>
          <w:tcPr>
            <w:tcW w:w="1080" w:type="dxa"/>
            <w:tcBorders>
              <w:top w:val="nil"/>
              <w:left w:val="nil"/>
              <w:bottom w:val="single" w:color="auto" w:sz="4" w:space="0"/>
              <w:right w:val="single" w:color="auto" w:sz="4" w:space="0"/>
            </w:tcBorders>
            <w:noWrap w:val="0"/>
            <w:vAlign w:val="center"/>
          </w:tcPr>
          <w:p w14:paraId="1E131F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11228</w:t>
            </w:r>
          </w:p>
        </w:tc>
      </w:tr>
      <w:tr w14:paraId="70372573">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7A435F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郊区村</w:t>
            </w:r>
          </w:p>
        </w:tc>
        <w:tc>
          <w:tcPr>
            <w:tcW w:w="1080" w:type="dxa"/>
            <w:tcBorders>
              <w:top w:val="nil"/>
              <w:left w:val="nil"/>
              <w:bottom w:val="single" w:color="auto" w:sz="4" w:space="0"/>
              <w:right w:val="single" w:color="auto" w:sz="4" w:space="0"/>
            </w:tcBorders>
            <w:noWrap w:val="0"/>
            <w:vAlign w:val="center"/>
          </w:tcPr>
          <w:p w14:paraId="3423A8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2.21</w:t>
            </w:r>
          </w:p>
        </w:tc>
        <w:tc>
          <w:tcPr>
            <w:tcW w:w="766" w:type="dxa"/>
            <w:tcBorders>
              <w:top w:val="nil"/>
              <w:left w:val="nil"/>
              <w:bottom w:val="single" w:color="auto" w:sz="4" w:space="0"/>
              <w:right w:val="single" w:color="auto" w:sz="4" w:space="0"/>
            </w:tcBorders>
            <w:noWrap w:val="0"/>
            <w:vAlign w:val="center"/>
          </w:tcPr>
          <w:p w14:paraId="423D9D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1767</w:t>
            </w:r>
          </w:p>
        </w:tc>
        <w:tc>
          <w:tcPr>
            <w:tcW w:w="886" w:type="dxa"/>
            <w:tcBorders>
              <w:top w:val="nil"/>
              <w:left w:val="nil"/>
              <w:bottom w:val="single" w:color="auto" w:sz="4" w:space="0"/>
              <w:right w:val="single" w:color="auto" w:sz="4" w:space="0"/>
            </w:tcBorders>
            <w:noWrap w:val="0"/>
            <w:vAlign w:val="center"/>
          </w:tcPr>
          <w:p w14:paraId="3F8053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5768</w:t>
            </w:r>
          </w:p>
        </w:tc>
        <w:tc>
          <w:tcPr>
            <w:tcW w:w="1080" w:type="dxa"/>
            <w:tcBorders>
              <w:top w:val="nil"/>
              <w:left w:val="nil"/>
              <w:bottom w:val="single" w:color="auto" w:sz="4" w:space="0"/>
              <w:right w:val="single" w:color="auto" w:sz="4" w:space="0"/>
            </w:tcBorders>
            <w:noWrap w:val="0"/>
            <w:vAlign w:val="center"/>
          </w:tcPr>
          <w:p w14:paraId="14D13D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1002</w:t>
            </w:r>
          </w:p>
        </w:tc>
        <w:tc>
          <w:tcPr>
            <w:tcW w:w="900" w:type="dxa"/>
            <w:tcBorders>
              <w:top w:val="nil"/>
              <w:left w:val="nil"/>
              <w:bottom w:val="single" w:color="auto" w:sz="4" w:space="0"/>
              <w:right w:val="single" w:color="auto" w:sz="4" w:space="0"/>
            </w:tcBorders>
            <w:noWrap w:val="0"/>
            <w:vAlign w:val="center"/>
          </w:tcPr>
          <w:p w14:paraId="1526C3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983</w:t>
            </w:r>
          </w:p>
        </w:tc>
        <w:tc>
          <w:tcPr>
            <w:tcW w:w="1080" w:type="dxa"/>
            <w:tcBorders>
              <w:top w:val="nil"/>
              <w:left w:val="nil"/>
              <w:bottom w:val="single" w:color="auto" w:sz="4" w:space="0"/>
              <w:right w:val="single" w:color="auto" w:sz="4" w:space="0"/>
            </w:tcBorders>
            <w:noWrap w:val="0"/>
            <w:vAlign w:val="center"/>
          </w:tcPr>
          <w:p w14:paraId="519DD9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1080" w:type="dxa"/>
            <w:tcBorders>
              <w:top w:val="nil"/>
              <w:left w:val="nil"/>
              <w:bottom w:val="single" w:color="auto" w:sz="4" w:space="0"/>
              <w:right w:val="single" w:color="auto" w:sz="4" w:space="0"/>
            </w:tcBorders>
            <w:noWrap w:val="0"/>
            <w:vAlign w:val="center"/>
          </w:tcPr>
          <w:p w14:paraId="6AB0DF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10045</w:t>
            </w:r>
          </w:p>
        </w:tc>
        <w:tc>
          <w:tcPr>
            <w:tcW w:w="1080" w:type="dxa"/>
            <w:tcBorders>
              <w:top w:val="nil"/>
              <w:left w:val="nil"/>
              <w:bottom w:val="single" w:color="auto" w:sz="4" w:space="0"/>
              <w:right w:val="single" w:color="auto" w:sz="4" w:space="0"/>
            </w:tcBorders>
            <w:noWrap w:val="0"/>
            <w:vAlign w:val="center"/>
          </w:tcPr>
          <w:p w14:paraId="23F78A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10737</w:t>
            </w:r>
          </w:p>
        </w:tc>
      </w:tr>
      <w:tr w14:paraId="248C1F8C">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7BD40F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河南村</w:t>
            </w:r>
          </w:p>
        </w:tc>
        <w:tc>
          <w:tcPr>
            <w:tcW w:w="1080" w:type="dxa"/>
            <w:tcBorders>
              <w:top w:val="nil"/>
              <w:left w:val="nil"/>
              <w:bottom w:val="single" w:color="auto" w:sz="4" w:space="0"/>
              <w:right w:val="single" w:color="auto" w:sz="4" w:space="0"/>
            </w:tcBorders>
            <w:noWrap w:val="0"/>
            <w:vAlign w:val="center"/>
          </w:tcPr>
          <w:p w14:paraId="1BADDF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3.61</w:t>
            </w:r>
          </w:p>
        </w:tc>
        <w:tc>
          <w:tcPr>
            <w:tcW w:w="766" w:type="dxa"/>
            <w:tcBorders>
              <w:top w:val="nil"/>
              <w:left w:val="nil"/>
              <w:bottom w:val="single" w:color="auto" w:sz="4" w:space="0"/>
              <w:right w:val="single" w:color="auto" w:sz="4" w:space="0"/>
            </w:tcBorders>
            <w:noWrap w:val="0"/>
            <w:vAlign w:val="center"/>
          </w:tcPr>
          <w:p w14:paraId="71927F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684</w:t>
            </w:r>
          </w:p>
        </w:tc>
        <w:tc>
          <w:tcPr>
            <w:tcW w:w="886" w:type="dxa"/>
            <w:tcBorders>
              <w:top w:val="nil"/>
              <w:left w:val="nil"/>
              <w:bottom w:val="single" w:color="auto" w:sz="4" w:space="0"/>
              <w:right w:val="single" w:color="auto" w:sz="4" w:space="0"/>
            </w:tcBorders>
            <w:noWrap w:val="0"/>
            <w:vAlign w:val="center"/>
          </w:tcPr>
          <w:p w14:paraId="514D58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2593</w:t>
            </w:r>
          </w:p>
        </w:tc>
        <w:tc>
          <w:tcPr>
            <w:tcW w:w="1080" w:type="dxa"/>
            <w:tcBorders>
              <w:top w:val="nil"/>
              <w:left w:val="nil"/>
              <w:bottom w:val="single" w:color="auto" w:sz="4" w:space="0"/>
              <w:right w:val="single" w:color="auto" w:sz="4" w:space="0"/>
            </w:tcBorders>
            <w:noWrap w:val="0"/>
            <w:vAlign w:val="center"/>
          </w:tcPr>
          <w:p w14:paraId="662AF6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1095</w:t>
            </w:r>
          </w:p>
        </w:tc>
        <w:tc>
          <w:tcPr>
            <w:tcW w:w="900" w:type="dxa"/>
            <w:tcBorders>
              <w:top w:val="nil"/>
              <w:left w:val="nil"/>
              <w:bottom w:val="single" w:color="auto" w:sz="4" w:space="0"/>
              <w:right w:val="single" w:color="auto" w:sz="4" w:space="0"/>
            </w:tcBorders>
            <w:noWrap w:val="0"/>
            <w:vAlign w:val="center"/>
          </w:tcPr>
          <w:p w14:paraId="12E71B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765</w:t>
            </w:r>
          </w:p>
        </w:tc>
        <w:tc>
          <w:tcPr>
            <w:tcW w:w="1080" w:type="dxa"/>
            <w:tcBorders>
              <w:top w:val="nil"/>
              <w:left w:val="nil"/>
              <w:bottom w:val="single" w:color="auto" w:sz="4" w:space="0"/>
              <w:right w:val="single" w:color="auto" w:sz="4" w:space="0"/>
            </w:tcBorders>
            <w:noWrap w:val="0"/>
            <w:vAlign w:val="center"/>
          </w:tcPr>
          <w:p w14:paraId="1F8E2A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1080" w:type="dxa"/>
            <w:tcBorders>
              <w:top w:val="nil"/>
              <w:left w:val="nil"/>
              <w:bottom w:val="single" w:color="auto" w:sz="4" w:space="0"/>
              <w:right w:val="single" w:color="auto" w:sz="4" w:space="0"/>
            </w:tcBorders>
            <w:noWrap w:val="0"/>
            <w:vAlign w:val="center"/>
          </w:tcPr>
          <w:p w14:paraId="42874C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6748</w:t>
            </w:r>
          </w:p>
        </w:tc>
        <w:tc>
          <w:tcPr>
            <w:tcW w:w="1080" w:type="dxa"/>
            <w:tcBorders>
              <w:top w:val="nil"/>
              <w:left w:val="nil"/>
              <w:bottom w:val="single" w:color="auto" w:sz="4" w:space="0"/>
              <w:right w:val="single" w:color="auto" w:sz="4" w:space="0"/>
            </w:tcBorders>
            <w:noWrap w:val="0"/>
            <w:vAlign w:val="center"/>
          </w:tcPr>
          <w:p w14:paraId="59DD21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10321</w:t>
            </w:r>
          </w:p>
        </w:tc>
      </w:tr>
      <w:tr w14:paraId="64DDFB80">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7C0FC7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水南村</w:t>
            </w:r>
          </w:p>
        </w:tc>
        <w:tc>
          <w:tcPr>
            <w:tcW w:w="1080" w:type="dxa"/>
            <w:tcBorders>
              <w:top w:val="nil"/>
              <w:left w:val="nil"/>
              <w:bottom w:val="single" w:color="auto" w:sz="4" w:space="0"/>
              <w:right w:val="single" w:color="auto" w:sz="4" w:space="0"/>
            </w:tcBorders>
            <w:noWrap w:val="0"/>
            <w:vAlign w:val="center"/>
          </w:tcPr>
          <w:p w14:paraId="1A6FC7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2.62</w:t>
            </w:r>
          </w:p>
        </w:tc>
        <w:tc>
          <w:tcPr>
            <w:tcW w:w="766" w:type="dxa"/>
            <w:tcBorders>
              <w:top w:val="nil"/>
              <w:left w:val="nil"/>
              <w:bottom w:val="single" w:color="auto" w:sz="4" w:space="0"/>
              <w:right w:val="single" w:color="auto" w:sz="4" w:space="0"/>
            </w:tcBorders>
            <w:noWrap w:val="0"/>
            <w:vAlign w:val="center"/>
          </w:tcPr>
          <w:p w14:paraId="4DDFB2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1161</w:t>
            </w:r>
          </w:p>
        </w:tc>
        <w:tc>
          <w:tcPr>
            <w:tcW w:w="886" w:type="dxa"/>
            <w:tcBorders>
              <w:top w:val="nil"/>
              <w:left w:val="nil"/>
              <w:bottom w:val="single" w:color="auto" w:sz="4" w:space="0"/>
              <w:right w:val="single" w:color="auto" w:sz="4" w:space="0"/>
            </w:tcBorders>
            <w:noWrap w:val="0"/>
            <w:vAlign w:val="center"/>
          </w:tcPr>
          <w:p w14:paraId="1506A8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3527</w:t>
            </w:r>
          </w:p>
        </w:tc>
        <w:tc>
          <w:tcPr>
            <w:tcW w:w="1080" w:type="dxa"/>
            <w:tcBorders>
              <w:top w:val="nil"/>
              <w:left w:val="nil"/>
              <w:bottom w:val="single" w:color="auto" w:sz="4" w:space="0"/>
              <w:right w:val="single" w:color="auto" w:sz="4" w:space="0"/>
            </w:tcBorders>
            <w:noWrap w:val="0"/>
            <w:vAlign w:val="center"/>
          </w:tcPr>
          <w:p w14:paraId="6C07E5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875</w:t>
            </w:r>
          </w:p>
        </w:tc>
        <w:tc>
          <w:tcPr>
            <w:tcW w:w="900" w:type="dxa"/>
            <w:tcBorders>
              <w:top w:val="nil"/>
              <w:left w:val="nil"/>
              <w:bottom w:val="single" w:color="auto" w:sz="4" w:space="0"/>
              <w:right w:val="single" w:color="auto" w:sz="4" w:space="0"/>
            </w:tcBorders>
            <w:noWrap w:val="0"/>
            <w:vAlign w:val="center"/>
          </w:tcPr>
          <w:p w14:paraId="31816C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210</w:t>
            </w:r>
          </w:p>
        </w:tc>
        <w:tc>
          <w:tcPr>
            <w:tcW w:w="1080" w:type="dxa"/>
            <w:tcBorders>
              <w:top w:val="nil"/>
              <w:left w:val="nil"/>
              <w:bottom w:val="single" w:color="auto" w:sz="4" w:space="0"/>
              <w:right w:val="single" w:color="auto" w:sz="4" w:space="0"/>
            </w:tcBorders>
            <w:noWrap w:val="0"/>
            <w:vAlign w:val="center"/>
          </w:tcPr>
          <w:p w14:paraId="1C0129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080" w:type="dxa"/>
            <w:tcBorders>
              <w:top w:val="nil"/>
              <w:left w:val="nil"/>
              <w:bottom w:val="single" w:color="auto" w:sz="4" w:space="0"/>
              <w:right w:val="single" w:color="auto" w:sz="4" w:space="0"/>
            </w:tcBorders>
            <w:noWrap w:val="0"/>
            <w:vAlign w:val="center"/>
          </w:tcPr>
          <w:p w14:paraId="7CC59B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7427</w:t>
            </w:r>
          </w:p>
        </w:tc>
        <w:tc>
          <w:tcPr>
            <w:tcW w:w="1080" w:type="dxa"/>
            <w:tcBorders>
              <w:top w:val="nil"/>
              <w:left w:val="nil"/>
              <w:bottom w:val="single" w:color="auto" w:sz="4" w:space="0"/>
              <w:right w:val="single" w:color="auto" w:sz="4" w:space="0"/>
            </w:tcBorders>
            <w:noWrap w:val="0"/>
            <w:vAlign w:val="center"/>
          </w:tcPr>
          <w:p w14:paraId="4CC134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10296</w:t>
            </w:r>
          </w:p>
        </w:tc>
      </w:tr>
      <w:tr w14:paraId="5B766AD0">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0C2EE4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八一社区</w:t>
            </w:r>
          </w:p>
        </w:tc>
        <w:tc>
          <w:tcPr>
            <w:tcW w:w="1080" w:type="dxa"/>
            <w:tcBorders>
              <w:top w:val="nil"/>
              <w:left w:val="nil"/>
              <w:bottom w:val="single" w:color="auto" w:sz="4" w:space="0"/>
              <w:right w:val="single" w:color="auto" w:sz="4" w:space="0"/>
            </w:tcBorders>
            <w:noWrap w:val="0"/>
            <w:vAlign w:val="center"/>
          </w:tcPr>
          <w:p w14:paraId="0DF790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1.25</w:t>
            </w:r>
          </w:p>
        </w:tc>
        <w:tc>
          <w:tcPr>
            <w:tcW w:w="766" w:type="dxa"/>
            <w:tcBorders>
              <w:top w:val="nil"/>
              <w:left w:val="nil"/>
              <w:bottom w:val="single" w:color="auto" w:sz="4" w:space="0"/>
              <w:right w:val="single" w:color="auto" w:sz="4" w:space="0"/>
            </w:tcBorders>
            <w:noWrap w:val="0"/>
            <w:vAlign w:val="center"/>
          </w:tcPr>
          <w:p w14:paraId="2B2937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2899</w:t>
            </w:r>
          </w:p>
        </w:tc>
        <w:tc>
          <w:tcPr>
            <w:tcW w:w="886" w:type="dxa"/>
            <w:tcBorders>
              <w:top w:val="nil"/>
              <w:left w:val="nil"/>
              <w:bottom w:val="single" w:color="auto" w:sz="4" w:space="0"/>
              <w:right w:val="single" w:color="auto" w:sz="4" w:space="0"/>
            </w:tcBorders>
            <w:noWrap w:val="0"/>
            <w:vAlign w:val="center"/>
          </w:tcPr>
          <w:p w14:paraId="2519B2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9575</w:t>
            </w:r>
          </w:p>
        </w:tc>
        <w:tc>
          <w:tcPr>
            <w:tcW w:w="1080" w:type="dxa"/>
            <w:tcBorders>
              <w:top w:val="nil"/>
              <w:left w:val="nil"/>
              <w:bottom w:val="single" w:color="auto" w:sz="4" w:space="0"/>
              <w:right w:val="single" w:color="auto" w:sz="4" w:space="0"/>
            </w:tcBorders>
            <w:noWrap w:val="0"/>
            <w:vAlign w:val="center"/>
          </w:tcPr>
          <w:p w14:paraId="6E1F07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46AEE2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062064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w:t>
            </w:r>
          </w:p>
        </w:tc>
        <w:tc>
          <w:tcPr>
            <w:tcW w:w="1080" w:type="dxa"/>
            <w:tcBorders>
              <w:top w:val="nil"/>
              <w:left w:val="nil"/>
              <w:bottom w:val="single" w:color="auto" w:sz="4" w:space="0"/>
              <w:right w:val="single" w:color="auto" w:sz="4" w:space="0"/>
            </w:tcBorders>
            <w:noWrap w:val="0"/>
            <w:vAlign w:val="center"/>
          </w:tcPr>
          <w:p w14:paraId="013F01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44492C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66FE333">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161A5C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胜利社区</w:t>
            </w:r>
          </w:p>
        </w:tc>
        <w:tc>
          <w:tcPr>
            <w:tcW w:w="1080" w:type="dxa"/>
            <w:tcBorders>
              <w:top w:val="nil"/>
              <w:left w:val="nil"/>
              <w:bottom w:val="single" w:color="auto" w:sz="4" w:space="0"/>
              <w:right w:val="single" w:color="auto" w:sz="4" w:space="0"/>
            </w:tcBorders>
            <w:noWrap w:val="0"/>
            <w:vAlign w:val="center"/>
          </w:tcPr>
          <w:p w14:paraId="301454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1.07</w:t>
            </w:r>
          </w:p>
        </w:tc>
        <w:tc>
          <w:tcPr>
            <w:tcW w:w="766" w:type="dxa"/>
            <w:tcBorders>
              <w:top w:val="nil"/>
              <w:left w:val="nil"/>
              <w:bottom w:val="single" w:color="auto" w:sz="4" w:space="0"/>
              <w:right w:val="single" w:color="auto" w:sz="4" w:space="0"/>
            </w:tcBorders>
            <w:noWrap w:val="0"/>
            <w:vAlign w:val="center"/>
          </w:tcPr>
          <w:p w14:paraId="0EB2C2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1736</w:t>
            </w:r>
          </w:p>
        </w:tc>
        <w:tc>
          <w:tcPr>
            <w:tcW w:w="886" w:type="dxa"/>
            <w:tcBorders>
              <w:top w:val="nil"/>
              <w:left w:val="nil"/>
              <w:bottom w:val="single" w:color="auto" w:sz="4" w:space="0"/>
              <w:right w:val="single" w:color="auto" w:sz="4" w:space="0"/>
            </w:tcBorders>
            <w:noWrap w:val="0"/>
            <w:vAlign w:val="center"/>
          </w:tcPr>
          <w:p w14:paraId="7774CD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5899</w:t>
            </w:r>
          </w:p>
        </w:tc>
        <w:tc>
          <w:tcPr>
            <w:tcW w:w="1080" w:type="dxa"/>
            <w:tcBorders>
              <w:top w:val="nil"/>
              <w:left w:val="nil"/>
              <w:bottom w:val="single" w:color="auto" w:sz="4" w:space="0"/>
              <w:right w:val="single" w:color="auto" w:sz="4" w:space="0"/>
            </w:tcBorders>
            <w:noWrap w:val="0"/>
            <w:vAlign w:val="center"/>
          </w:tcPr>
          <w:p w14:paraId="13E43A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11E44A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7BC909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080" w:type="dxa"/>
            <w:tcBorders>
              <w:top w:val="nil"/>
              <w:left w:val="nil"/>
              <w:bottom w:val="single" w:color="auto" w:sz="4" w:space="0"/>
              <w:right w:val="single" w:color="auto" w:sz="4" w:space="0"/>
            </w:tcBorders>
            <w:noWrap w:val="0"/>
            <w:vAlign w:val="center"/>
          </w:tcPr>
          <w:p w14:paraId="26D3CB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0B1CDA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6FBF83B5">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7F8253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民主社区</w:t>
            </w:r>
          </w:p>
        </w:tc>
        <w:tc>
          <w:tcPr>
            <w:tcW w:w="1080" w:type="dxa"/>
            <w:tcBorders>
              <w:top w:val="nil"/>
              <w:left w:val="nil"/>
              <w:bottom w:val="single" w:color="auto" w:sz="4" w:space="0"/>
              <w:right w:val="single" w:color="auto" w:sz="4" w:space="0"/>
            </w:tcBorders>
            <w:noWrap w:val="0"/>
            <w:vAlign w:val="center"/>
          </w:tcPr>
          <w:p w14:paraId="2450F4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w:t>
            </w:r>
          </w:p>
        </w:tc>
        <w:tc>
          <w:tcPr>
            <w:tcW w:w="766" w:type="dxa"/>
            <w:tcBorders>
              <w:top w:val="nil"/>
              <w:left w:val="nil"/>
              <w:bottom w:val="single" w:color="auto" w:sz="4" w:space="0"/>
              <w:right w:val="single" w:color="auto" w:sz="4" w:space="0"/>
            </w:tcBorders>
            <w:noWrap w:val="0"/>
            <w:vAlign w:val="center"/>
          </w:tcPr>
          <w:p w14:paraId="7580D0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2286</w:t>
            </w:r>
          </w:p>
        </w:tc>
        <w:tc>
          <w:tcPr>
            <w:tcW w:w="886" w:type="dxa"/>
            <w:tcBorders>
              <w:top w:val="nil"/>
              <w:left w:val="nil"/>
              <w:bottom w:val="single" w:color="auto" w:sz="4" w:space="0"/>
              <w:right w:val="single" w:color="auto" w:sz="4" w:space="0"/>
            </w:tcBorders>
            <w:noWrap w:val="0"/>
            <w:vAlign w:val="center"/>
          </w:tcPr>
          <w:p w14:paraId="4194DF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7325</w:t>
            </w:r>
          </w:p>
        </w:tc>
        <w:tc>
          <w:tcPr>
            <w:tcW w:w="1080" w:type="dxa"/>
            <w:tcBorders>
              <w:top w:val="nil"/>
              <w:left w:val="nil"/>
              <w:bottom w:val="single" w:color="auto" w:sz="4" w:space="0"/>
              <w:right w:val="single" w:color="auto" w:sz="4" w:space="0"/>
            </w:tcBorders>
            <w:noWrap w:val="0"/>
            <w:vAlign w:val="center"/>
          </w:tcPr>
          <w:p w14:paraId="0EA193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76D2A0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11F21A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80" w:type="dxa"/>
            <w:tcBorders>
              <w:top w:val="nil"/>
              <w:left w:val="nil"/>
              <w:bottom w:val="single" w:color="auto" w:sz="4" w:space="0"/>
              <w:right w:val="single" w:color="auto" w:sz="4" w:space="0"/>
            </w:tcBorders>
            <w:noWrap w:val="0"/>
            <w:vAlign w:val="center"/>
          </w:tcPr>
          <w:p w14:paraId="743B46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261A23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3D9287F">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3252FE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建国社区</w:t>
            </w:r>
          </w:p>
        </w:tc>
        <w:tc>
          <w:tcPr>
            <w:tcW w:w="1080" w:type="dxa"/>
            <w:tcBorders>
              <w:top w:val="nil"/>
              <w:left w:val="nil"/>
              <w:bottom w:val="single" w:color="auto" w:sz="4" w:space="0"/>
              <w:right w:val="single" w:color="auto" w:sz="4" w:space="0"/>
            </w:tcBorders>
            <w:noWrap w:val="0"/>
            <w:vAlign w:val="center"/>
          </w:tcPr>
          <w:p w14:paraId="48F9E1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1.07</w:t>
            </w:r>
          </w:p>
        </w:tc>
        <w:tc>
          <w:tcPr>
            <w:tcW w:w="766" w:type="dxa"/>
            <w:tcBorders>
              <w:top w:val="nil"/>
              <w:left w:val="nil"/>
              <w:bottom w:val="single" w:color="auto" w:sz="4" w:space="0"/>
              <w:right w:val="single" w:color="auto" w:sz="4" w:space="0"/>
            </w:tcBorders>
            <w:noWrap w:val="0"/>
            <w:vAlign w:val="center"/>
          </w:tcPr>
          <w:p w14:paraId="410036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1615</w:t>
            </w:r>
          </w:p>
        </w:tc>
        <w:tc>
          <w:tcPr>
            <w:tcW w:w="886" w:type="dxa"/>
            <w:tcBorders>
              <w:top w:val="nil"/>
              <w:left w:val="nil"/>
              <w:bottom w:val="single" w:color="auto" w:sz="4" w:space="0"/>
              <w:right w:val="single" w:color="auto" w:sz="4" w:space="0"/>
            </w:tcBorders>
            <w:noWrap w:val="0"/>
            <w:vAlign w:val="center"/>
          </w:tcPr>
          <w:p w14:paraId="538815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5663</w:t>
            </w:r>
          </w:p>
        </w:tc>
        <w:tc>
          <w:tcPr>
            <w:tcW w:w="1080" w:type="dxa"/>
            <w:tcBorders>
              <w:top w:val="nil"/>
              <w:left w:val="nil"/>
              <w:bottom w:val="single" w:color="auto" w:sz="4" w:space="0"/>
              <w:right w:val="single" w:color="auto" w:sz="4" w:space="0"/>
            </w:tcBorders>
            <w:noWrap w:val="0"/>
            <w:vAlign w:val="center"/>
          </w:tcPr>
          <w:p w14:paraId="230E4A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5A3F60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55BA47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1080" w:type="dxa"/>
            <w:tcBorders>
              <w:top w:val="nil"/>
              <w:left w:val="nil"/>
              <w:bottom w:val="single" w:color="auto" w:sz="4" w:space="0"/>
              <w:right w:val="single" w:color="auto" w:sz="4" w:space="0"/>
            </w:tcBorders>
            <w:noWrap w:val="0"/>
            <w:vAlign w:val="center"/>
          </w:tcPr>
          <w:p w14:paraId="26AF41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6C2D4A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09FBBA0">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5EA7F8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幸福社区</w:t>
            </w:r>
          </w:p>
        </w:tc>
        <w:tc>
          <w:tcPr>
            <w:tcW w:w="1080" w:type="dxa"/>
            <w:tcBorders>
              <w:top w:val="nil"/>
              <w:left w:val="nil"/>
              <w:bottom w:val="single" w:color="auto" w:sz="4" w:space="0"/>
              <w:right w:val="single" w:color="auto" w:sz="4" w:space="0"/>
            </w:tcBorders>
            <w:noWrap w:val="0"/>
            <w:vAlign w:val="center"/>
          </w:tcPr>
          <w:p w14:paraId="3CF793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0.91</w:t>
            </w:r>
          </w:p>
        </w:tc>
        <w:tc>
          <w:tcPr>
            <w:tcW w:w="766" w:type="dxa"/>
            <w:tcBorders>
              <w:top w:val="nil"/>
              <w:left w:val="nil"/>
              <w:bottom w:val="single" w:color="auto" w:sz="4" w:space="0"/>
              <w:right w:val="single" w:color="auto" w:sz="4" w:space="0"/>
            </w:tcBorders>
            <w:noWrap w:val="0"/>
            <w:vAlign w:val="center"/>
          </w:tcPr>
          <w:p w14:paraId="77890D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1285</w:t>
            </w:r>
          </w:p>
        </w:tc>
        <w:tc>
          <w:tcPr>
            <w:tcW w:w="886" w:type="dxa"/>
            <w:tcBorders>
              <w:top w:val="nil"/>
              <w:left w:val="nil"/>
              <w:bottom w:val="single" w:color="auto" w:sz="4" w:space="0"/>
              <w:right w:val="single" w:color="auto" w:sz="4" w:space="0"/>
            </w:tcBorders>
            <w:noWrap w:val="0"/>
            <w:vAlign w:val="center"/>
          </w:tcPr>
          <w:p w14:paraId="569B1B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4241</w:t>
            </w:r>
          </w:p>
        </w:tc>
        <w:tc>
          <w:tcPr>
            <w:tcW w:w="1080" w:type="dxa"/>
            <w:tcBorders>
              <w:top w:val="nil"/>
              <w:left w:val="nil"/>
              <w:bottom w:val="single" w:color="auto" w:sz="4" w:space="0"/>
              <w:right w:val="single" w:color="auto" w:sz="4" w:space="0"/>
            </w:tcBorders>
            <w:noWrap w:val="0"/>
            <w:vAlign w:val="center"/>
          </w:tcPr>
          <w:p w14:paraId="7FB376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1CE8AD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4A2E52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080" w:type="dxa"/>
            <w:tcBorders>
              <w:top w:val="nil"/>
              <w:left w:val="nil"/>
              <w:bottom w:val="single" w:color="auto" w:sz="4" w:space="0"/>
              <w:right w:val="single" w:color="auto" w:sz="4" w:space="0"/>
            </w:tcBorders>
            <w:noWrap w:val="0"/>
            <w:vAlign w:val="center"/>
          </w:tcPr>
          <w:p w14:paraId="75C26C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38C872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BA4F48F">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009698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新城东社区</w:t>
            </w:r>
          </w:p>
        </w:tc>
        <w:tc>
          <w:tcPr>
            <w:tcW w:w="1080" w:type="dxa"/>
            <w:tcBorders>
              <w:top w:val="nil"/>
              <w:left w:val="nil"/>
              <w:bottom w:val="single" w:color="auto" w:sz="4" w:space="0"/>
              <w:right w:val="single" w:color="auto" w:sz="4" w:space="0"/>
            </w:tcBorders>
            <w:noWrap w:val="0"/>
            <w:vAlign w:val="center"/>
          </w:tcPr>
          <w:p w14:paraId="717FA9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0.92</w:t>
            </w:r>
          </w:p>
        </w:tc>
        <w:tc>
          <w:tcPr>
            <w:tcW w:w="766" w:type="dxa"/>
            <w:tcBorders>
              <w:top w:val="nil"/>
              <w:left w:val="nil"/>
              <w:bottom w:val="single" w:color="auto" w:sz="4" w:space="0"/>
              <w:right w:val="single" w:color="auto" w:sz="4" w:space="0"/>
            </w:tcBorders>
            <w:noWrap w:val="0"/>
            <w:vAlign w:val="center"/>
          </w:tcPr>
          <w:p w14:paraId="43BBD5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2253</w:t>
            </w:r>
          </w:p>
        </w:tc>
        <w:tc>
          <w:tcPr>
            <w:tcW w:w="886" w:type="dxa"/>
            <w:tcBorders>
              <w:top w:val="nil"/>
              <w:left w:val="nil"/>
              <w:bottom w:val="single" w:color="auto" w:sz="4" w:space="0"/>
              <w:right w:val="single" w:color="auto" w:sz="4" w:space="0"/>
            </w:tcBorders>
            <w:noWrap w:val="0"/>
            <w:vAlign w:val="center"/>
          </w:tcPr>
          <w:p w14:paraId="1A4069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7663</w:t>
            </w:r>
          </w:p>
        </w:tc>
        <w:tc>
          <w:tcPr>
            <w:tcW w:w="1080" w:type="dxa"/>
            <w:tcBorders>
              <w:top w:val="nil"/>
              <w:left w:val="nil"/>
              <w:bottom w:val="single" w:color="auto" w:sz="4" w:space="0"/>
              <w:right w:val="single" w:color="auto" w:sz="4" w:space="0"/>
            </w:tcBorders>
            <w:noWrap w:val="0"/>
            <w:vAlign w:val="center"/>
          </w:tcPr>
          <w:p w14:paraId="1C08AB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5E6D43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3C47CA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80" w:type="dxa"/>
            <w:tcBorders>
              <w:top w:val="nil"/>
              <w:left w:val="nil"/>
              <w:bottom w:val="single" w:color="auto" w:sz="4" w:space="0"/>
              <w:right w:val="single" w:color="auto" w:sz="4" w:space="0"/>
            </w:tcBorders>
            <w:noWrap w:val="0"/>
            <w:vAlign w:val="center"/>
          </w:tcPr>
          <w:p w14:paraId="2E4EB8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2BF17A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CEB4BA3">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714E6B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新城西社区</w:t>
            </w:r>
          </w:p>
        </w:tc>
        <w:tc>
          <w:tcPr>
            <w:tcW w:w="1080" w:type="dxa"/>
            <w:tcBorders>
              <w:top w:val="nil"/>
              <w:left w:val="nil"/>
              <w:bottom w:val="single" w:color="auto" w:sz="4" w:space="0"/>
              <w:right w:val="single" w:color="auto" w:sz="4" w:space="0"/>
            </w:tcBorders>
            <w:noWrap w:val="0"/>
            <w:vAlign w:val="center"/>
          </w:tcPr>
          <w:p w14:paraId="49A97A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0.96</w:t>
            </w:r>
          </w:p>
        </w:tc>
        <w:tc>
          <w:tcPr>
            <w:tcW w:w="766" w:type="dxa"/>
            <w:tcBorders>
              <w:top w:val="nil"/>
              <w:left w:val="nil"/>
              <w:bottom w:val="single" w:color="auto" w:sz="4" w:space="0"/>
              <w:right w:val="single" w:color="auto" w:sz="4" w:space="0"/>
            </w:tcBorders>
            <w:noWrap w:val="0"/>
            <w:vAlign w:val="center"/>
          </w:tcPr>
          <w:p w14:paraId="28F6A2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1851</w:t>
            </w:r>
          </w:p>
        </w:tc>
        <w:tc>
          <w:tcPr>
            <w:tcW w:w="886" w:type="dxa"/>
            <w:tcBorders>
              <w:top w:val="nil"/>
              <w:left w:val="nil"/>
              <w:bottom w:val="single" w:color="auto" w:sz="4" w:space="0"/>
              <w:right w:val="single" w:color="auto" w:sz="4" w:space="0"/>
            </w:tcBorders>
            <w:noWrap w:val="0"/>
            <w:vAlign w:val="center"/>
          </w:tcPr>
          <w:p w14:paraId="29ECB4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6107</w:t>
            </w:r>
          </w:p>
        </w:tc>
        <w:tc>
          <w:tcPr>
            <w:tcW w:w="1080" w:type="dxa"/>
            <w:tcBorders>
              <w:top w:val="nil"/>
              <w:left w:val="nil"/>
              <w:bottom w:val="single" w:color="auto" w:sz="4" w:space="0"/>
              <w:right w:val="single" w:color="auto" w:sz="4" w:space="0"/>
            </w:tcBorders>
            <w:noWrap w:val="0"/>
            <w:vAlign w:val="center"/>
          </w:tcPr>
          <w:p w14:paraId="0D0FEC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1D7A5F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3301AD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080" w:type="dxa"/>
            <w:tcBorders>
              <w:top w:val="nil"/>
              <w:left w:val="nil"/>
              <w:bottom w:val="single" w:color="auto" w:sz="4" w:space="0"/>
              <w:right w:val="single" w:color="auto" w:sz="4" w:space="0"/>
            </w:tcBorders>
            <w:noWrap w:val="0"/>
            <w:vAlign w:val="center"/>
          </w:tcPr>
          <w:p w14:paraId="3463DC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5019B0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67C8B9B6">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2E98CE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乡镇企业</w:t>
            </w:r>
          </w:p>
        </w:tc>
        <w:tc>
          <w:tcPr>
            <w:tcW w:w="1080" w:type="dxa"/>
            <w:tcBorders>
              <w:top w:val="nil"/>
              <w:left w:val="nil"/>
              <w:bottom w:val="single" w:color="auto" w:sz="4" w:space="0"/>
              <w:right w:val="single" w:color="auto" w:sz="4" w:space="0"/>
            </w:tcBorders>
            <w:noWrap w:val="0"/>
            <w:vAlign w:val="center"/>
          </w:tcPr>
          <w:p w14:paraId="5B9C45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766" w:type="dxa"/>
            <w:tcBorders>
              <w:top w:val="nil"/>
              <w:left w:val="nil"/>
              <w:bottom w:val="single" w:color="auto" w:sz="4" w:space="0"/>
              <w:right w:val="single" w:color="auto" w:sz="4" w:space="0"/>
            </w:tcBorders>
            <w:noWrap w:val="0"/>
            <w:vAlign w:val="center"/>
          </w:tcPr>
          <w:p w14:paraId="792C46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86" w:type="dxa"/>
            <w:tcBorders>
              <w:top w:val="nil"/>
              <w:left w:val="nil"/>
              <w:bottom w:val="single" w:color="auto" w:sz="4" w:space="0"/>
              <w:right w:val="single" w:color="auto" w:sz="4" w:space="0"/>
            </w:tcBorders>
            <w:noWrap w:val="0"/>
            <w:vAlign w:val="center"/>
          </w:tcPr>
          <w:p w14:paraId="0CCA86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1672C4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0" w:type="dxa"/>
            <w:tcBorders>
              <w:top w:val="nil"/>
              <w:left w:val="nil"/>
              <w:bottom w:val="single" w:color="auto" w:sz="4" w:space="0"/>
              <w:right w:val="single" w:color="auto" w:sz="4" w:space="0"/>
            </w:tcBorders>
            <w:noWrap w:val="0"/>
            <w:vAlign w:val="center"/>
          </w:tcPr>
          <w:p w14:paraId="6A40AB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41BBDE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tcBorders>
              <w:top w:val="nil"/>
              <w:left w:val="nil"/>
              <w:bottom w:val="single" w:color="auto" w:sz="4" w:space="0"/>
              <w:right w:val="single" w:color="auto" w:sz="4" w:space="0"/>
            </w:tcBorders>
            <w:noWrap w:val="0"/>
            <w:vAlign w:val="center"/>
          </w:tcPr>
          <w:p w14:paraId="1D7C6A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37322</w:t>
            </w:r>
          </w:p>
        </w:tc>
        <w:tc>
          <w:tcPr>
            <w:tcW w:w="1080" w:type="dxa"/>
            <w:tcBorders>
              <w:top w:val="nil"/>
              <w:left w:val="nil"/>
              <w:bottom w:val="single" w:color="auto" w:sz="4" w:space="0"/>
              <w:right w:val="single" w:color="auto" w:sz="4" w:space="0"/>
            </w:tcBorders>
            <w:noWrap w:val="0"/>
            <w:vAlign w:val="center"/>
          </w:tcPr>
          <w:p w14:paraId="7A99E8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ACE17BD">
        <w:tblPrEx>
          <w:tblCellMar>
            <w:top w:w="0" w:type="dxa"/>
            <w:left w:w="108" w:type="dxa"/>
            <w:bottom w:w="0" w:type="dxa"/>
            <w:right w:w="108" w:type="dxa"/>
          </w:tblCellMar>
        </w:tblPrEx>
        <w:trPr>
          <w:trHeight w:val="495" w:hRule="atLeast"/>
          <w:jc w:val="center"/>
        </w:trPr>
        <w:tc>
          <w:tcPr>
            <w:tcW w:w="1548" w:type="dxa"/>
            <w:tcBorders>
              <w:top w:val="nil"/>
              <w:left w:val="single" w:color="auto" w:sz="4" w:space="0"/>
              <w:bottom w:val="single" w:color="auto" w:sz="4" w:space="0"/>
              <w:right w:val="single" w:color="auto" w:sz="4" w:space="0"/>
            </w:tcBorders>
            <w:noWrap w:val="0"/>
            <w:vAlign w:val="center"/>
          </w:tcPr>
          <w:p w14:paraId="365F27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 计</w:t>
            </w:r>
          </w:p>
        </w:tc>
        <w:tc>
          <w:tcPr>
            <w:tcW w:w="1080" w:type="dxa"/>
            <w:tcBorders>
              <w:top w:val="nil"/>
              <w:left w:val="nil"/>
              <w:bottom w:val="single" w:color="auto" w:sz="4" w:space="0"/>
              <w:right w:val="single" w:color="auto" w:sz="4" w:space="0"/>
            </w:tcBorders>
            <w:noWrap w:val="0"/>
            <w:vAlign w:val="center"/>
          </w:tcPr>
          <w:p w14:paraId="0DD665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96.88</w:t>
            </w:r>
          </w:p>
        </w:tc>
        <w:tc>
          <w:tcPr>
            <w:tcW w:w="766" w:type="dxa"/>
            <w:tcBorders>
              <w:top w:val="nil"/>
              <w:left w:val="nil"/>
              <w:bottom w:val="single" w:color="auto" w:sz="4" w:space="0"/>
              <w:right w:val="single" w:color="auto" w:sz="4" w:space="0"/>
            </w:tcBorders>
            <w:noWrap w:val="0"/>
            <w:vAlign w:val="center"/>
          </w:tcPr>
          <w:p w14:paraId="081C35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24451</w:t>
            </w:r>
          </w:p>
        </w:tc>
        <w:tc>
          <w:tcPr>
            <w:tcW w:w="886" w:type="dxa"/>
            <w:tcBorders>
              <w:top w:val="nil"/>
              <w:left w:val="nil"/>
              <w:bottom w:val="single" w:color="auto" w:sz="4" w:space="0"/>
              <w:right w:val="single" w:color="auto" w:sz="4" w:space="0"/>
            </w:tcBorders>
            <w:noWrap w:val="0"/>
            <w:vAlign w:val="center"/>
          </w:tcPr>
          <w:p w14:paraId="1B9DDC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85365</w:t>
            </w:r>
          </w:p>
        </w:tc>
        <w:tc>
          <w:tcPr>
            <w:tcW w:w="1080" w:type="dxa"/>
            <w:tcBorders>
              <w:top w:val="nil"/>
              <w:left w:val="nil"/>
              <w:bottom w:val="single" w:color="auto" w:sz="4" w:space="0"/>
              <w:right w:val="single" w:color="auto" w:sz="4" w:space="0"/>
            </w:tcBorders>
            <w:noWrap w:val="0"/>
            <w:vAlign w:val="center"/>
          </w:tcPr>
          <w:p w14:paraId="5CB518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31516</w:t>
            </w:r>
          </w:p>
        </w:tc>
        <w:tc>
          <w:tcPr>
            <w:tcW w:w="900" w:type="dxa"/>
            <w:tcBorders>
              <w:top w:val="nil"/>
              <w:left w:val="nil"/>
              <w:bottom w:val="single" w:color="auto" w:sz="4" w:space="0"/>
              <w:right w:val="single" w:color="auto" w:sz="4" w:space="0"/>
            </w:tcBorders>
            <w:noWrap w:val="0"/>
            <w:vAlign w:val="center"/>
          </w:tcPr>
          <w:p w14:paraId="75E7B0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20110</w:t>
            </w:r>
          </w:p>
        </w:tc>
        <w:tc>
          <w:tcPr>
            <w:tcW w:w="1080" w:type="dxa"/>
            <w:tcBorders>
              <w:top w:val="nil"/>
              <w:left w:val="nil"/>
              <w:bottom w:val="single" w:color="auto" w:sz="4" w:space="0"/>
              <w:right w:val="single" w:color="auto" w:sz="4" w:space="0"/>
            </w:tcBorders>
            <w:noWrap w:val="0"/>
            <w:vAlign w:val="center"/>
          </w:tcPr>
          <w:p w14:paraId="0E844F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277</w:t>
            </w:r>
          </w:p>
        </w:tc>
        <w:tc>
          <w:tcPr>
            <w:tcW w:w="1080" w:type="dxa"/>
            <w:tcBorders>
              <w:top w:val="nil"/>
              <w:left w:val="nil"/>
              <w:bottom w:val="single" w:color="auto" w:sz="4" w:space="0"/>
              <w:right w:val="single" w:color="auto" w:sz="4" w:space="0"/>
            </w:tcBorders>
            <w:noWrap w:val="0"/>
            <w:vAlign w:val="center"/>
          </w:tcPr>
          <w:p w14:paraId="68130E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111698</w:t>
            </w:r>
          </w:p>
        </w:tc>
        <w:tc>
          <w:tcPr>
            <w:tcW w:w="1080" w:type="dxa"/>
            <w:tcBorders>
              <w:top w:val="nil"/>
              <w:left w:val="nil"/>
              <w:bottom w:val="single" w:color="auto" w:sz="4" w:space="0"/>
              <w:right w:val="single" w:color="auto" w:sz="4" w:space="0"/>
            </w:tcBorders>
            <w:noWrap w:val="0"/>
            <w:vAlign w:val="center"/>
          </w:tcPr>
          <w:p w14:paraId="4CD1EF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10381</w:t>
            </w:r>
          </w:p>
        </w:tc>
      </w:tr>
    </w:tbl>
    <w:p w14:paraId="0C2F6DF5">
      <w:pPr>
        <w:jc w:val="right"/>
        <w:rPr>
          <w:rFonts w:hint="eastAsia" w:hAnsi="宋体" w:eastAsia="宋体" w:cs="宋体"/>
          <w:highlight w:val="none"/>
          <w:lang w:eastAsia="zh-CN"/>
        </w:rPr>
      </w:pPr>
      <w:r>
        <w:rPr>
          <w:rFonts w:hint="eastAsia" w:hAnsi="宋体" w:cs="宋体"/>
          <w:highlight w:val="none"/>
        </w:rPr>
        <w:t>（黄勇红）</w:t>
      </w:r>
    </w:p>
    <w:p w14:paraId="7C19E9BA">
      <w:pPr>
        <w:rPr>
          <w:rFonts w:hint="eastAsia" w:hAnsi="宋体" w:eastAsia="宋体" w:cs="宋体"/>
          <w:highlight w:val="none"/>
          <w:lang w:eastAsia="zh-CN"/>
        </w:rPr>
      </w:pPr>
      <w:r>
        <w:rPr>
          <w:rFonts w:hint="eastAsia" w:hAnsi="宋体" w:cs="宋体"/>
          <w:highlight w:val="none"/>
        </w:rPr>
        <w:t>附：2015年雄州街道领导班子成员名单</w:t>
      </w:r>
    </w:p>
    <w:p w14:paraId="61642AF4">
      <w:pPr>
        <w:rPr>
          <w:rFonts w:hint="eastAsia" w:hAnsi="宋体" w:eastAsia="宋体" w:cs="宋体"/>
          <w:highlight w:val="none"/>
          <w:lang w:eastAsia="zh-CN"/>
        </w:rPr>
      </w:pPr>
      <w:r>
        <w:rPr>
          <w:rFonts w:hint="eastAsia" w:hAnsi="宋体" w:cs="宋体"/>
          <w:highlight w:val="none"/>
        </w:rPr>
        <w:t>党工委书记、人大工委主任：叶凌峰</w:t>
      </w:r>
    </w:p>
    <w:p w14:paraId="6020F8BD">
      <w:pPr>
        <w:rPr>
          <w:rFonts w:hint="eastAsia" w:hAnsi="宋体" w:eastAsia="宋体" w:cs="宋体"/>
          <w:highlight w:val="none"/>
          <w:lang w:eastAsia="zh-CN"/>
        </w:rPr>
      </w:pPr>
      <w:r>
        <w:rPr>
          <w:rFonts w:hint="eastAsia" w:hAnsi="宋体" w:cs="宋体"/>
          <w:highlight w:val="none"/>
        </w:rPr>
        <w:t>党工委副书记、街道办事处主任：雷毅</w:t>
      </w:r>
    </w:p>
    <w:p w14:paraId="4975AF29">
      <w:pPr>
        <w:rPr>
          <w:rFonts w:hint="eastAsia" w:hAnsi="宋体" w:eastAsia="宋体" w:cs="宋体"/>
          <w:highlight w:val="none"/>
          <w:lang w:eastAsia="zh-CN"/>
        </w:rPr>
      </w:pPr>
      <w:r>
        <w:rPr>
          <w:rFonts w:hint="eastAsia" w:hAnsi="宋体" w:cs="宋体"/>
          <w:highlight w:val="none"/>
        </w:rPr>
        <w:t>纪检监察中心组组长、纪工委书记：廖海泉（4月任）</w:t>
      </w:r>
    </w:p>
    <w:p w14:paraId="585161F9">
      <w:pPr>
        <w:rPr>
          <w:rFonts w:hint="eastAsia" w:hAnsi="宋体" w:eastAsia="宋体" w:cs="宋体"/>
          <w:highlight w:val="none"/>
          <w:lang w:eastAsia="zh-CN"/>
        </w:rPr>
      </w:pPr>
      <w:r>
        <w:rPr>
          <w:rFonts w:hint="eastAsia" w:hAnsi="宋体" w:cs="宋体"/>
          <w:highlight w:val="none"/>
        </w:rPr>
        <w:t>党工委副书记：杨志峰（任至8月）</w:t>
      </w:r>
    </w:p>
    <w:p w14:paraId="673B40BA">
      <w:pPr>
        <w:ind w:firstLine="1890" w:firstLineChars="900"/>
        <w:rPr>
          <w:rFonts w:hint="eastAsia" w:hAnsi="宋体" w:eastAsia="宋体" w:cs="宋体"/>
          <w:highlight w:val="none"/>
          <w:lang w:eastAsia="zh-CN"/>
        </w:rPr>
      </w:pPr>
      <w:r>
        <w:rPr>
          <w:rFonts w:hint="eastAsia" w:hAnsi="宋体" w:cs="宋体"/>
          <w:highlight w:val="none"/>
        </w:rPr>
        <w:t>陈冬生（8月任）</w:t>
      </w:r>
    </w:p>
    <w:p w14:paraId="02FF2D2E">
      <w:pPr>
        <w:rPr>
          <w:rFonts w:hint="eastAsia" w:hAnsi="宋体" w:eastAsia="宋体" w:cs="宋体"/>
          <w:highlight w:val="none"/>
          <w:lang w:eastAsia="zh-CN"/>
        </w:rPr>
      </w:pPr>
      <w:r>
        <w:rPr>
          <w:rFonts w:hint="eastAsia" w:hAnsi="宋体" w:cs="宋体"/>
          <w:highlight w:val="none"/>
        </w:rPr>
        <w:t>组织委员：陈冬生（任至8月）</w:t>
      </w:r>
    </w:p>
    <w:p w14:paraId="5124B721">
      <w:pPr>
        <w:rPr>
          <w:rFonts w:hint="eastAsia" w:hAnsi="宋体" w:eastAsia="宋体" w:cs="宋体"/>
          <w:highlight w:val="none"/>
          <w:lang w:eastAsia="zh-CN"/>
        </w:rPr>
      </w:pPr>
      <w:r>
        <w:rPr>
          <w:rFonts w:hint="eastAsia" w:hAnsi="宋体" w:cs="宋体"/>
          <w:highlight w:val="none"/>
        </w:rPr>
        <w:t>宣传委员：徐春林</w:t>
      </w:r>
    </w:p>
    <w:p w14:paraId="6247E34E">
      <w:pPr>
        <w:rPr>
          <w:rFonts w:hint="eastAsia" w:hAnsi="宋体" w:eastAsia="宋体" w:cs="宋体"/>
          <w:highlight w:val="none"/>
          <w:lang w:eastAsia="zh-CN"/>
        </w:rPr>
      </w:pPr>
      <w:r>
        <w:rPr>
          <w:rFonts w:hint="eastAsia" w:hAnsi="宋体" w:cs="宋体"/>
          <w:highlight w:val="none"/>
        </w:rPr>
        <w:t>人大工委副主任：雷会信</w:t>
      </w:r>
    </w:p>
    <w:p w14:paraId="38813422">
      <w:pPr>
        <w:rPr>
          <w:rFonts w:hint="eastAsia" w:hAnsi="宋体" w:eastAsia="宋体" w:cs="宋体"/>
          <w:highlight w:val="none"/>
          <w:lang w:eastAsia="zh-CN"/>
        </w:rPr>
      </w:pPr>
      <w:r>
        <w:rPr>
          <w:rFonts w:hint="eastAsia" w:hAnsi="宋体" w:cs="宋体"/>
          <w:highlight w:val="none"/>
        </w:rPr>
        <w:t>武装部长：刘烈斌</w:t>
      </w:r>
    </w:p>
    <w:p w14:paraId="26EF6DAF">
      <w:pPr>
        <w:rPr>
          <w:rFonts w:hint="eastAsia" w:hAnsi="宋体" w:eastAsia="宋体" w:cs="宋体"/>
          <w:highlight w:val="none"/>
          <w:lang w:eastAsia="zh-CN"/>
        </w:rPr>
      </w:pPr>
      <w:r>
        <w:rPr>
          <w:rFonts w:hint="eastAsia" w:hAnsi="宋体" w:cs="宋体"/>
          <w:highlight w:val="none"/>
        </w:rPr>
        <w:t>党工委委员：何东红</w:t>
      </w:r>
    </w:p>
    <w:p w14:paraId="5710E4E9">
      <w:pPr>
        <w:rPr>
          <w:rFonts w:hint="eastAsia" w:hAnsi="宋体" w:eastAsia="宋体" w:cs="宋体"/>
          <w:highlight w:val="none"/>
          <w:lang w:eastAsia="zh-CN"/>
        </w:rPr>
      </w:pPr>
      <w:r>
        <w:rPr>
          <w:rFonts w:hint="eastAsia" w:hAnsi="宋体" w:cs="宋体"/>
          <w:highlight w:val="none"/>
        </w:rPr>
        <w:t>党工委委员：刘春伟（4月任）</w:t>
      </w:r>
    </w:p>
    <w:p w14:paraId="0484986E">
      <w:pPr>
        <w:rPr>
          <w:rFonts w:hint="eastAsia" w:hAnsi="宋体" w:eastAsia="宋体" w:cs="宋体"/>
          <w:highlight w:val="none"/>
          <w:lang w:eastAsia="zh-CN"/>
        </w:rPr>
      </w:pPr>
      <w:r>
        <w:rPr>
          <w:rFonts w:hint="eastAsia" w:hAnsi="宋体" w:cs="宋体"/>
          <w:highlight w:val="none"/>
        </w:rPr>
        <w:t>街道办事处副主任：吴楠</w:t>
      </w:r>
      <w:r>
        <w:rPr>
          <w:rFonts w:hint="eastAsia" w:cs="宋体"/>
          <w:highlight w:val="none"/>
          <w:lang w:val="en-US" w:eastAsia="zh-CN"/>
        </w:rPr>
        <w:t xml:space="preserve"> </w:t>
      </w:r>
      <w:r>
        <w:rPr>
          <w:rFonts w:hint="eastAsia" w:hAnsi="宋体" w:cs="宋体"/>
          <w:highlight w:val="none"/>
        </w:rPr>
        <w:t>马南海</w:t>
      </w:r>
      <w:r>
        <w:rPr>
          <w:rFonts w:hint="eastAsia" w:cs="宋体"/>
          <w:highlight w:val="none"/>
          <w:lang w:val="en-US" w:eastAsia="zh-CN"/>
        </w:rPr>
        <w:t xml:space="preserve"> </w:t>
      </w:r>
      <w:r>
        <w:rPr>
          <w:rFonts w:hint="eastAsia" w:hAnsi="宋体" w:cs="宋体"/>
          <w:highlight w:val="none"/>
        </w:rPr>
        <w:t>何钰</w:t>
      </w:r>
    </w:p>
    <w:p w14:paraId="758FB182">
      <w:pPr>
        <w:pStyle w:val="3"/>
        <w:bidi w:val="0"/>
        <w:rPr>
          <w:rFonts w:hint="eastAsia" w:eastAsia="宋体"/>
          <w:highlight w:val="none"/>
          <w:lang w:eastAsia="zh-CN"/>
        </w:rPr>
      </w:pPr>
      <w:r>
        <w:rPr>
          <w:rFonts w:hint="eastAsia"/>
          <w:highlight w:val="none"/>
        </w:rPr>
        <w:t>水口镇</w:t>
      </w:r>
    </w:p>
    <w:p w14:paraId="3720044E">
      <w:pPr>
        <w:pStyle w:val="4"/>
        <w:bidi w:val="0"/>
        <w:rPr>
          <w:rFonts w:hint="eastAsia"/>
          <w:highlight w:val="none"/>
        </w:rPr>
      </w:pPr>
      <w:r>
        <w:rPr>
          <w:rFonts w:hint="eastAsia"/>
          <w:highlight w:val="none"/>
        </w:rPr>
        <w:t>【概况】</w:t>
      </w:r>
    </w:p>
    <w:p w14:paraId="0D895298">
      <w:pPr>
        <w:rPr>
          <w:rFonts w:hint="eastAsia" w:hAnsi="宋体" w:cs="宋体"/>
          <w:highlight w:val="none"/>
        </w:rPr>
      </w:pPr>
      <w:r>
        <w:rPr>
          <w:rFonts w:hint="eastAsia" w:hAnsi="宋体" w:cs="宋体"/>
          <w:highlight w:val="none"/>
        </w:rPr>
        <w:t>水口镇位于南雄市东南部，属革命老区镇，是1932年发生的著名水口战役所在地。镇政府驻地水口墟，距南雄市区21千米，与该市江头、南亩、黄坑、湖口等镇及雄州街道相邻，西南面与江西省全南县接壤。辖区面积114平方公里。2015年末辖云西、篛过、水口、大部、河村、大坪、沙头、下湖、赤岭、群星、石庄、下楼、泷头13个村委会和水口社区1个居委会；下设184个村民小组和1个居民小组。2015年末辖区总户数6525户，总人口25245人，其中农业人口23820人，城镇人口1425人，城镇化率5.8%。总人口中，男性12874人，占51%；女性12371人，占49%。60岁以上3308人，占13.1%。以汉族为主，达24967人，占98.9%；有畲族、壮族、瑶族、苗族、土家族、垌族、布依族、水族等8个少数民族，有278人，占1.1%。除畲族外，其他7个少数民族以外来婚进女性为主。2015年人口出生率11.55%，人均收入10311元。</w:t>
      </w:r>
    </w:p>
    <w:p w14:paraId="45C0019A">
      <w:pPr>
        <w:pStyle w:val="4"/>
        <w:bidi w:val="0"/>
        <w:rPr>
          <w:rFonts w:hint="eastAsia"/>
          <w:highlight w:val="none"/>
        </w:rPr>
      </w:pPr>
      <w:r>
        <w:rPr>
          <w:rFonts w:hint="eastAsia"/>
          <w:highlight w:val="none"/>
        </w:rPr>
        <w:t>【自然条件】</w:t>
      </w:r>
    </w:p>
    <w:p w14:paraId="22BC5587">
      <w:pPr>
        <w:rPr>
          <w:rFonts w:hint="eastAsia" w:hAnsi="宋体" w:cs="宋体"/>
          <w:highlight w:val="none"/>
        </w:rPr>
      </w:pPr>
      <w:r>
        <w:rPr>
          <w:rFonts w:hint="eastAsia" w:hAnsi="宋体" w:cs="宋体"/>
          <w:highlight w:val="none"/>
        </w:rPr>
        <w:t>水口镇地势东南高西北低。除泷头村属山区外，其余12个村属丘陵地带。地质属红色砂砾岩。属亚热带季风湿润气候，四季分明。常年平均气温19℃，年平均降雨量1345毫米左右，年平均日照1850小时，无霜期285天。矿产资源有稀土。浈江河穿镇而过。境内有1宗中型水库，8宗小型水库，蓄水1万立方米以上山塘63宗，陂头、电排众多，灌溉水源充足，水利设施完善。境内有国营泷头林场，林木资源较为丰富。</w:t>
      </w:r>
    </w:p>
    <w:p w14:paraId="6342415F">
      <w:pPr>
        <w:pStyle w:val="4"/>
        <w:bidi w:val="0"/>
        <w:rPr>
          <w:rFonts w:hint="eastAsia"/>
          <w:highlight w:val="none"/>
        </w:rPr>
      </w:pPr>
      <w:r>
        <w:rPr>
          <w:rFonts w:hint="eastAsia"/>
          <w:highlight w:val="none"/>
        </w:rPr>
        <w:t>【经济社会发展】</w:t>
      </w:r>
    </w:p>
    <w:p w14:paraId="7D7402B4">
      <w:pPr>
        <w:rPr>
          <w:rFonts w:hint="eastAsia" w:hAnsi="宋体" w:cs="宋体"/>
          <w:highlight w:val="none"/>
        </w:rPr>
      </w:pPr>
      <w:r>
        <w:rPr>
          <w:rFonts w:hint="eastAsia" w:hAnsi="宋体" w:cs="宋体"/>
          <w:highlight w:val="none"/>
        </w:rPr>
        <w:t>第一产业农业占绝大比重，二、三产业蓬勃发展，不断壮大。全镇耕地面积2.69万亩，农业科学技术得到广泛应用。主要经济作物有黄烟、花生等，烤烟漂浮育苗、地膜覆盖种植、密集式电烤房烘烤烟叶等新科技日益普及，地膜花生栽培技术全面普及。2015年，烟叶种植7611亩，收购总量达1090吨，收购总资金达2660多万元，水稻种植27233亩，产量达11737吨，花生种植5971亩，花生产量约1324吨。水产业主要为鲩鱼、鲢鱼、雄鱼养殖，2015年，水产养殖总产量1092吨。生猪饲养量4.2万头，出栏量2.3万头。“三鸟”出栏量25.2万羽。林果业主要有丛生竹、毛竹、松树、杉树，乔灌杂树和桃、柑、桔、李、梅等果树种植。辖区林地总面积9.04万亩，其中生态公益林面积4.4万亩，商品林面积4.56万亩，森林覆盖率64.8%。</w:t>
      </w:r>
    </w:p>
    <w:p w14:paraId="546D66E8">
      <w:pPr>
        <w:pStyle w:val="4"/>
        <w:bidi w:val="0"/>
        <w:rPr>
          <w:rFonts w:hint="eastAsia"/>
          <w:highlight w:val="none"/>
        </w:rPr>
      </w:pPr>
      <w:r>
        <w:rPr>
          <w:rFonts w:hint="eastAsia"/>
          <w:highlight w:val="none"/>
        </w:rPr>
        <w:t>【社会事业发展】</w:t>
      </w:r>
    </w:p>
    <w:p w14:paraId="5A7A97AB">
      <w:pPr>
        <w:rPr>
          <w:rFonts w:hint="eastAsia" w:hAnsi="宋体" w:cs="宋体"/>
          <w:highlight w:val="none"/>
        </w:rPr>
      </w:pPr>
      <w:r>
        <w:rPr>
          <w:rFonts w:hint="eastAsia" w:hAnsi="宋体" w:cs="宋体"/>
          <w:highlight w:val="none"/>
        </w:rPr>
        <w:t>2015年，全镇享受农村最低生活保障有346户，共538人；农村五保集体、分散供养133人；农村医疗救助33人次，救助资金8.6万元；全年发放2万斤救灾大米到352户困难户中；殡葬火化率达112%，超额完成市下达任务。全镇城乡居民医疗保险参保人数2.09人，完成市下达任务100%；城乡居民养老保险参保人数9543人，其中：城乡居民养老保险16—59周岁缴费人数6081人，完成市下达任务101.2%；企业职工养老保险参保人数29人，完成市下达任务101.2%；村两委干部参加企业职工养老保险完成人数68人，完成率100%。</w:t>
      </w:r>
    </w:p>
    <w:p w14:paraId="0DED0AC8">
      <w:pPr>
        <w:pStyle w:val="4"/>
        <w:bidi w:val="0"/>
        <w:rPr>
          <w:rFonts w:hint="eastAsia"/>
          <w:highlight w:val="none"/>
        </w:rPr>
      </w:pPr>
      <w:r>
        <w:rPr>
          <w:rFonts w:hint="eastAsia"/>
          <w:highlight w:val="none"/>
        </w:rPr>
        <w:t>【城镇化建设】</w:t>
      </w:r>
    </w:p>
    <w:p w14:paraId="6101D071">
      <w:pPr>
        <w:rPr>
          <w:rFonts w:hint="eastAsia" w:hAnsi="宋体" w:cs="宋体"/>
          <w:highlight w:val="none"/>
        </w:rPr>
      </w:pPr>
      <w:r>
        <w:rPr>
          <w:rFonts w:hint="eastAsia" w:hAnsi="宋体" w:cs="宋体"/>
          <w:highlight w:val="none"/>
        </w:rPr>
        <w:t>2015年城镇化建设进展顺利。总投资1800多万元水口农贸市场改造工程开工兴建；利用省环保厅150万元建设资金，做好石庄、下楼、水口村庄整治连片建设项目，该工程正处于施工阶段；投入资金近100万元对全镇范围内农村生活垃圾进行整治。</w:t>
      </w:r>
    </w:p>
    <w:p w14:paraId="76B6C735">
      <w:pPr>
        <w:pStyle w:val="4"/>
        <w:bidi w:val="0"/>
        <w:rPr>
          <w:rFonts w:hint="eastAsia"/>
          <w:highlight w:val="none"/>
        </w:rPr>
      </w:pPr>
      <w:r>
        <w:rPr>
          <w:rFonts w:hint="eastAsia"/>
          <w:highlight w:val="none"/>
        </w:rPr>
        <w:t>【民生项目建设】</w:t>
      </w:r>
    </w:p>
    <w:p w14:paraId="7D929192">
      <w:pPr>
        <w:rPr>
          <w:rFonts w:hint="eastAsia" w:hAnsi="宋体" w:cs="宋体"/>
          <w:highlight w:val="none"/>
        </w:rPr>
      </w:pPr>
      <w:r>
        <w:rPr>
          <w:rFonts w:hint="eastAsia" w:hAnsi="宋体" w:cs="宋体"/>
          <w:highlight w:val="none"/>
        </w:rPr>
        <w:t>亮点工作。2015年，水口</w:t>
      </w:r>
      <w:r>
        <w:rPr>
          <w:rFonts w:hint="eastAsia" w:hAnsi="宋体" w:cs="宋体"/>
          <w:highlight w:val="none"/>
          <w:lang w:eastAsia="zh-CN"/>
        </w:rPr>
        <w:t>镇</w:t>
      </w:r>
      <w:r>
        <w:rPr>
          <w:rFonts w:hint="eastAsia" w:hAnsi="宋体" w:cs="宋体"/>
          <w:highlight w:val="none"/>
        </w:rPr>
        <w:t>“十个一”亮点工作15项，村“四个一”亮点工作44项已全面完成，成绩显著，其中沙头老人活动中心成为全市居家养老示范点。2015年，水口镇在沙头村原有老人活动中心基础上，争取资金110万元，完善老人休息室、办公、消防等设施安装，完成沙头村颐养居院内花园式改造。建设沙头村应急避护场所，建有爱心厨房、老人避护场所，完善相关功能室等基础设施，探索农村居家养老工作得到省市有关部门高度肯定。2015年沙头村老人活动中心被评为国家级减灾示范点。</w:t>
      </w:r>
    </w:p>
    <w:p w14:paraId="71EF5828">
      <w:pPr>
        <w:rPr>
          <w:rFonts w:hint="eastAsia" w:hAnsi="宋体" w:cs="宋体"/>
          <w:highlight w:val="none"/>
        </w:rPr>
      </w:pPr>
      <w:r>
        <w:rPr>
          <w:rFonts w:hint="eastAsia" w:hAnsi="宋体" w:cs="宋体"/>
          <w:highlight w:val="none"/>
        </w:rPr>
        <w:t>“五小场所”建设。2015年水口镇“五小”惠民项目5项，包括水口镇健身广场、篛过森林公园、沙头村文体广场、河村文体广场、下湖文体广场，共投入资金320万元。截至12月，已全面完成“五小场所”项目建设。</w:t>
      </w:r>
    </w:p>
    <w:p w14:paraId="67F07ABE">
      <w:pPr>
        <w:rPr>
          <w:rFonts w:hint="eastAsia" w:hAnsi="宋体" w:cs="宋体"/>
          <w:highlight w:val="none"/>
        </w:rPr>
      </w:pPr>
      <w:r>
        <w:rPr>
          <w:rFonts w:hint="eastAsia" w:hAnsi="宋体" w:cs="宋体"/>
          <w:highlight w:val="none"/>
        </w:rPr>
        <w:t>完善水利工程设施。推进高标准基本农田建设。2015年水口镇完成2014年高标准农田建设9057.42亩，新修建水渠9.6公里，解决大部、云西、水口、篛过等4个村委会农田灌溉难、蓄水防涝能力差问题。另外2015年大坪、群星、篛过3个村委会5000多亩高标准基本农田已进场施工。不断完善农田水利设施。2015年新建三面光水圳6000多米；维修云西深水陂头一座，重修大部当面岭渡槽一座全长120米；石庄小水面新定小二型水库溢洪道维修，河村头渡雷公塘危塘加固已动工建设；投入2500多万元进宝江水河道治理7公里，宝江水库水源泷头河3.3公里已进行两清工作。</w:t>
      </w:r>
    </w:p>
    <w:p w14:paraId="60BB975F">
      <w:pPr>
        <w:pStyle w:val="4"/>
        <w:bidi w:val="0"/>
        <w:rPr>
          <w:rFonts w:hint="eastAsia"/>
          <w:highlight w:val="none"/>
        </w:rPr>
      </w:pPr>
      <w:r>
        <w:rPr>
          <w:rFonts w:hint="eastAsia"/>
          <w:highlight w:val="none"/>
        </w:rPr>
        <w:t>【发展旅游业】</w:t>
      </w:r>
    </w:p>
    <w:p w14:paraId="6D8D4EF0">
      <w:pPr>
        <w:rPr>
          <w:rFonts w:hint="eastAsia" w:hAnsi="宋体" w:cs="宋体"/>
          <w:highlight w:val="none"/>
        </w:rPr>
      </w:pPr>
      <w:r>
        <w:rPr>
          <w:rFonts w:hint="eastAsia" w:hAnsi="宋体" w:cs="宋体"/>
          <w:highlight w:val="none"/>
        </w:rPr>
        <w:t>制定水口镇红色生态旅游线路：水口战役纪念公园缅怀先烈—篛过古村落感受淳朴民风—篛过森林公园有氧漫步—关山蔬菜种植基地采摘绿色果蔬—农家乐享客家美食。水口镇争取上级项目资金10万元完善水口战役纪念公园健身器材。红色旅游建设及革命遗址修复项目方案已报市委、市政府审批通过，投入资金48万元，于12月完成红军烈士雕像抢救性修复工作。成功协办（曾氏）姓氏文化节。11月23日成功协办曾氏姓氏文化节。此次文化节吸引来自五湖四海1450多名曾氏宗亲参加，为打造“姓氏名都”添砖加瓦，社会效应全市排名第二，并以姓氏文化节为契机，吸引更多外出乡贤回乡开发、投资、旅游。</w:t>
      </w:r>
    </w:p>
    <w:p w14:paraId="5232BDDD">
      <w:pPr>
        <w:pStyle w:val="4"/>
        <w:bidi w:val="0"/>
        <w:rPr>
          <w:rFonts w:hint="eastAsia"/>
          <w:highlight w:val="none"/>
        </w:rPr>
      </w:pPr>
      <w:r>
        <w:rPr>
          <w:rFonts w:hint="eastAsia"/>
          <w:highlight w:val="none"/>
        </w:rPr>
        <w:t>【文教卫生事业】</w:t>
      </w:r>
    </w:p>
    <w:p w14:paraId="14311813">
      <w:pPr>
        <w:rPr>
          <w:rFonts w:hint="eastAsia" w:hAnsi="宋体" w:cs="宋体"/>
          <w:highlight w:val="none"/>
        </w:rPr>
      </w:pPr>
      <w:r>
        <w:rPr>
          <w:rFonts w:hint="eastAsia" w:hAnsi="宋体" w:cs="宋体"/>
          <w:highlight w:val="none"/>
        </w:rPr>
        <w:t>2015年末，镇内有九年一贯制学校1所，完全小学1所，村级教学点2个，公办幼儿园2所。初中在校生325人，小学在校生1156人，入园幼儿511人，中小学在编教职工151人。小学适龄儿童入学率100%，小升初升学率100%。镇级卫生院1所、村级卫生站13个，在编职工19人。镇、村医疗机构标准规范化建设工作全面推进，产妇住院分娩率、儿童强制预防接种免疫率分别达100%，妇幼保健水平不断提高，农村初级保健目标基本实现。</w:t>
      </w:r>
    </w:p>
    <w:p w14:paraId="71F46EF3">
      <w:pPr>
        <w:pStyle w:val="4"/>
        <w:bidi w:val="0"/>
        <w:rPr>
          <w:rFonts w:hint="eastAsia"/>
          <w:highlight w:val="none"/>
        </w:rPr>
      </w:pPr>
      <w:r>
        <w:rPr>
          <w:rFonts w:hint="eastAsia"/>
          <w:highlight w:val="none"/>
        </w:rPr>
        <w:t>【计生工作】</w:t>
      </w:r>
    </w:p>
    <w:p w14:paraId="5DCB64CD">
      <w:pPr>
        <w:rPr>
          <w:rFonts w:hint="eastAsia" w:hAnsi="宋体" w:cs="宋体"/>
          <w:highlight w:val="none"/>
        </w:rPr>
      </w:pPr>
      <w:r>
        <w:rPr>
          <w:rFonts w:hint="eastAsia" w:hAnsi="宋体" w:cs="宋体"/>
          <w:highlight w:val="none"/>
        </w:rPr>
        <w:t>2015年全镇计划生育率为92.70%，出生274人，综合性别比为106.02。高标准通过省“飞检”和省社会抚养征收的审计、复查考核验收，并分别荣获韶关市、南雄市2015年度人口与计划生育先进单位荣誉称号。</w:t>
      </w:r>
    </w:p>
    <w:p w14:paraId="7563F155">
      <w:pPr>
        <w:pStyle w:val="4"/>
        <w:bidi w:val="0"/>
        <w:rPr>
          <w:rFonts w:hint="eastAsia"/>
          <w:highlight w:val="none"/>
        </w:rPr>
      </w:pPr>
      <w:r>
        <w:rPr>
          <w:rFonts w:hint="eastAsia"/>
          <w:highlight w:val="none"/>
        </w:rPr>
        <w:t>【各村委会（社区）基本情况】</w:t>
      </w:r>
    </w:p>
    <w:p w14:paraId="62438B3F">
      <w:pPr>
        <w:rPr>
          <w:rFonts w:hint="eastAsia" w:hAnsi="宋体" w:cs="宋体"/>
          <w:b/>
          <w:highlight w:val="none"/>
        </w:rPr>
      </w:pPr>
      <w:r>
        <w:rPr>
          <w:rFonts w:hint="eastAsia" w:hAnsi="宋体" w:cs="宋体"/>
          <w:b/>
          <w:highlight w:val="none"/>
        </w:rPr>
        <w:t>云西村</w:t>
      </w:r>
      <w:r>
        <w:rPr>
          <w:rFonts w:hint="eastAsia" w:hAnsi="宋体" w:cs="宋体"/>
          <w:b/>
          <w:highlight w:val="none"/>
          <w:lang w:val="en-US" w:eastAsia="zh-CN"/>
        </w:rPr>
        <w:t xml:space="preserve">  </w:t>
      </w:r>
      <w:r>
        <w:rPr>
          <w:rFonts w:hint="eastAsia" w:hAnsi="宋体" w:cs="宋体"/>
          <w:highlight w:val="none"/>
        </w:rPr>
        <w:t>位于水口镇东北部。全村耕地1396.5亩，林地8348亩，辖17个村民小组，共1015人，现有村“两委”干部5人，党员34人。全村主要产业以农业为主，主要经济作物有黄烟、水稻、花生等。2015年人均收入8902元</w:t>
      </w:r>
      <w:r>
        <w:rPr>
          <w:rFonts w:hint="eastAsia" w:hAnsi="宋体" w:cs="宋体"/>
          <w:b/>
          <w:highlight w:val="none"/>
        </w:rPr>
        <w:t>。</w:t>
      </w:r>
    </w:p>
    <w:p w14:paraId="66009598">
      <w:pPr>
        <w:rPr>
          <w:rFonts w:hint="eastAsia" w:hAnsi="宋体" w:cs="宋体"/>
          <w:b/>
          <w:highlight w:val="none"/>
        </w:rPr>
      </w:pPr>
      <w:r>
        <w:rPr>
          <w:rFonts w:hint="eastAsia" w:hAnsi="宋体" w:cs="宋体"/>
          <w:b/>
          <w:highlight w:val="none"/>
        </w:rPr>
        <w:t>篛过村</w:t>
      </w:r>
      <w:r>
        <w:rPr>
          <w:rFonts w:hint="eastAsia" w:hAnsi="宋体" w:cs="宋体"/>
          <w:b/>
          <w:highlight w:val="none"/>
          <w:lang w:val="en-US" w:eastAsia="zh-CN"/>
        </w:rPr>
        <w:t xml:space="preserve">  </w:t>
      </w:r>
      <w:r>
        <w:rPr>
          <w:rFonts w:hint="eastAsia" w:hAnsi="宋体" w:cs="宋体"/>
          <w:highlight w:val="none"/>
        </w:rPr>
        <w:t>位于水口镇东北部，是革命老区村。2015年2月，经过一年多的普查、认定、编纂等抢救性工作，著名的粤北革命老区南雄市水口镇篛过村，被广东省文联认定为“第四批广东省古村落（客家地区）”。全村耕地2396亩，林地4362亩，辖18个村民小组，共2211人，现有村“两委”干部5人，党员47人。全村主要产业以农业为主，主要经济作物有黄烟、水稻、花生等。2015年人均收入8838.39元</w:t>
      </w:r>
      <w:r>
        <w:rPr>
          <w:rFonts w:hint="eastAsia" w:hAnsi="宋体" w:cs="宋体"/>
          <w:b/>
          <w:highlight w:val="none"/>
        </w:rPr>
        <w:t>。</w:t>
      </w:r>
    </w:p>
    <w:p w14:paraId="7D04793F">
      <w:pPr>
        <w:rPr>
          <w:rFonts w:hint="eastAsia" w:hAnsi="宋体" w:cs="宋体"/>
          <w:b/>
          <w:highlight w:val="none"/>
        </w:rPr>
      </w:pPr>
      <w:r>
        <w:rPr>
          <w:rFonts w:hint="eastAsia" w:hAnsi="宋体" w:cs="宋体"/>
          <w:b/>
          <w:highlight w:val="none"/>
        </w:rPr>
        <w:t>水口村</w:t>
      </w:r>
      <w:r>
        <w:rPr>
          <w:rFonts w:hint="eastAsia" w:hAnsi="宋体" w:cs="宋体"/>
          <w:b/>
          <w:highlight w:val="none"/>
          <w:lang w:val="en-US" w:eastAsia="zh-CN"/>
        </w:rPr>
        <w:t xml:space="preserve">  </w:t>
      </w:r>
      <w:r>
        <w:rPr>
          <w:rFonts w:hint="eastAsia" w:hAnsi="宋体" w:cs="宋体"/>
          <w:highlight w:val="none"/>
        </w:rPr>
        <w:t>位于水口镇中心，是革命老区村。全村总面积约5平方公里，耕地3540亩，林地18060亩，辖30个村民小组，共3867人，现有村“两委”干部5人，党员82人。全村主要产业以农业为主，主要经济作物有黄烟、水稻、花生等。2015年村集体收入1.9万元，人均收入8805元</w:t>
      </w:r>
      <w:r>
        <w:rPr>
          <w:rFonts w:hint="eastAsia" w:hAnsi="宋体" w:cs="宋体"/>
          <w:b/>
          <w:highlight w:val="none"/>
        </w:rPr>
        <w:t>。</w:t>
      </w:r>
    </w:p>
    <w:p w14:paraId="40844D80">
      <w:pPr>
        <w:rPr>
          <w:rFonts w:hint="eastAsia" w:hAnsi="宋体" w:cs="宋体"/>
          <w:b/>
          <w:highlight w:val="none"/>
        </w:rPr>
      </w:pPr>
      <w:r>
        <w:rPr>
          <w:rFonts w:hint="eastAsia" w:hAnsi="宋体" w:cs="宋体"/>
          <w:b/>
          <w:highlight w:val="none"/>
        </w:rPr>
        <w:t>大部村</w:t>
      </w:r>
      <w:r>
        <w:rPr>
          <w:rFonts w:hint="eastAsia" w:hAnsi="宋体" w:cs="宋体"/>
          <w:b/>
          <w:highlight w:val="none"/>
          <w:lang w:val="en-US" w:eastAsia="zh-CN"/>
        </w:rPr>
        <w:t xml:space="preserve">  </w:t>
      </w:r>
      <w:r>
        <w:rPr>
          <w:rFonts w:hint="eastAsia" w:hAnsi="宋体" w:cs="宋体"/>
          <w:highlight w:val="none"/>
        </w:rPr>
        <w:t>位于水口镇北部，是革命老区村。全村耕地3350亩，林地2600亩，辖16个村民小组，共2478人，现有村“两委”干部5人，党员73人。全村主要产业以农业为主，主要经济作物有黄烟、水稻、花生等。2015年人均收入8925元</w:t>
      </w:r>
      <w:r>
        <w:rPr>
          <w:rFonts w:hint="eastAsia" w:hAnsi="宋体" w:cs="宋体"/>
          <w:b/>
          <w:highlight w:val="none"/>
        </w:rPr>
        <w:t>。</w:t>
      </w:r>
    </w:p>
    <w:p w14:paraId="4C25D101">
      <w:pPr>
        <w:rPr>
          <w:rFonts w:hint="eastAsia" w:hAnsi="宋体" w:cs="宋体"/>
          <w:b/>
          <w:highlight w:val="none"/>
        </w:rPr>
      </w:pPr>
      <w:r>
        <w:rPr>
          <w:rFonts w:hint="eastAsia" w:hAnsi="宋体" w:cs="宋体"/>
          <w:b/>
          <w:highlight w:val="none"/>
        </w:rPr>
        <w:t>河村村</w:t>
      </w:r>
      <w:r>
        <w:rPr>
          <w:rFonts w:hint="eastAsia" w:hAnsi="宋体" w:cs="宋体"/>
          <w:b/>
          <w:highlight w:val="none"/>
          <w:lang w:val="en-US" w:eastAsia="zh-CN"/>
        </w:rPr>
        <w:t xml:space="preserve">  </w:t>
      </w:r>
      <w:r>
        <w:rPr>
          <w:rFonts w:hint="eastAsia" w:hAnsi="宋体" w:cs="宋体"/>
          <w:highlight w:val="none"/>
        </w:rPr>
        <w:t>位于水口镇西部。全村总面积3平方公里，耕地2157亩，林地1050亩，辖13个村民小组，共2139人，现有村“两委”干部5人，党员51人。全村主要产业以农业为主，主要经济作物有黄烟、水稻、花生等。2015年人均收入8990元</w:t>
      </w:r>
      <w:r>
        <w:rPr>
          <w:rFonts w:hint="eastAsia" w:hAnsi="宋体" w:cs="宋体"/>
          <w:b/>
          <w:highlight w:val="none"/>
        </w:rPr>
        <w:t>。</w:t>
      </w:r>
    </w:p>
    <w:p w14:paraId="506CCC55">
      <w:pPr>
        <w:rPr>
          <w:rFonts w:hint="eastAsia" w:hAnsi="宋体" w:cs="宋体"/>
          <w:b/>
          <w:highlight w:val="none"/>
        </w:rPr>
      </w:pPr>
      <w:r>
        <w:rPr>
          <w:rFonts w:hint="eastAsia" w:hAnsi="宋体" w:cs="宋体"/>
          <w:b/>
          <w:highlight w:val="none"/>
        </w:rPr>
        <w:t>大坪村</w:t>
      </w:r>
      <w:r>
        <w:rPr>
          <w:rFonts w:hint="eastAsia" w:hAnsi="宋体" w:cs="宋体"/>
          <w:b/>
          <w:highlight w:val="none"/>
          <w:lang w:val="en-US" w:eastAsia="zh-CN"/>
        </w:rPr>
        <w:t xml:space="preserve">  </w:t>
      </w:r>
      <w:r>
        <w:rPr>
          <w:rFonts w:hint="eastAsia" w:hAnsi="宋体" w:cs="宋体"/>
          <w:highlight w:val="none"/>
        </w:rPr>
        <w:t>位于水口镇中部。全村耕地2686亩，林地1321亩，辖7个村民小组，共1290人，现有村“两委”干部5人，党员43人。全村主要产业以农业为主，主要经济作物有黄烟、水稻、花生等。2015年村集体收入25000元，人均收入8925.03元</w:t>
      </w:r>
      <w:r>
        <w:rPr>
          <w:rFonts w:hint="eastAsia" w:hAnsi="宋体" w:cs="宋体"/>
          <w:b/>
          <w:highlight w:val="none"/>
        </w:rPr>
        <w:t>。</w:t>
      </w:r>
    </w:p>
    <w:p w14:paraId="7CE6778A">
      <w:pPr>
        <w:rPr>
          <w:rFonts w:hint="eastAsia" w:hAnsi="宋体" w:cs="宋体"/>
          <w:b/>
          <w:highlight w:val="none"/>
        </w:rPr>
      </w:pPr>
      <w:r>
        <w:rPr>
          <w:rFonts w:hint="eastAsia" w:hAnsi="宋体" w:cs="宋体"/>
          <w:b/>
          <w:highlight w:val="none"/>
        </w:rPr>
        <w:t>沙头村</w:t>
      </w:r>
      <w:r>
        <w:rPr>
          <w:rFonts w:hint="eastAsia" w:hAnsi="宋体" w:cs="宋体"/>
          <w:b/>
          <w:highlight w:val="none"/>
          <w:lang w:val="en-US" w:eastAsia="zh-CN"/>
        </w:rPr>
        <w:t xml:space="preserve">  </w:t>
      </w:r>
      <w:r>
        <w:rPr>
          <w:rFonts w:hint="eastAsia" w:hAnsi="宋体" w:cs="宋体"/>
          <w:highlight w:val="none"/>
        </w:rPr>
        <w:t>位于水口镇西南部，是革命老区村。全村耕地3082亩，林地160.5亩，辖15个村民小组，共2378人，现有村“两委”干部5人，党员67人。全村主要产业以农业为主，主要经济作物有黄烟、水稻、花生等。2015年村集体收入35000元，人均收入8895元</w:t>
      </w:r>
      <w:r>
        <w:rPr>
          <w:rFonts w:hint="eastAsia" w:hAnsi="宋体" w:cs="宋体"/>
          <w:b/>
          <w:highlight w:val="none"/>
        </w:rPr>
        <w:t>。</w:t>
      </w:r>
    </w:p>
    <w:p w14:paraId="1E66219B">
      <w:pPr>
        <w:rPr>
          <w:rFonts w:hint="eastAsia" w:hAnsi="宋体" w:cs="宋体"/>
          <w:b/>
          <w:highlight w:val="none"/>
        </w:rPr>
      </w:pPr>
      <w:r>
        <w:rPr>
          <w:rFonts w:hint="eastAsia" w:hAnsi="宋体" w:cs="宋体"/>
          <w:b/>
          <w:highlight w:val="none"/>
        </w:rPr>
        <w:t>下湖村</w:t>
      </w:r>
      <w:r>
        <w:rPr>
          <w:rFonts w:hint="eastAsia" w:hAnsi="宋体" w:cs="宋体"/>
          <w:b/>
          <w:highlight w:val="none"/>
          <w:lang w:val="en-US" w:eastAsia="zh-CN"/>
        </w:rPr>
        <w:t xml:space="preserve">  </w:t>
      </w:r>
      <w:r>
        <w:rPr>
          <w:rFonts w:hint="eastAsia" w:hAnsi="宋体" w:cs="宋体"/>
          <w:highlight w:val="none"/>
        </w:rPr>
        <w:t>位于水口镇西南部，是革命老区村。全村耕地1561亩，林地822亩，辖7个村民小组，共1089人，现有村“两委”干部4人，党员35人。全村主要产业以农业为主，主要经济作物有黄烟、水稻、花生等。2015年村集体收入3.5万元，人均收入8918元</w:t>
      </w:r>
      <w:r>
        <w:rPr>
          <w:rFonts w:hint="eastAsia" w:hAnsi="宋体" w:cs="宋体"/>
          <w:b/>
          <w:highlight w:val="none"/>
        </w:rPr>
        <w:t>。</w:t>
      </w:r>
    </w:p>
    <w:p w14:paraId="78E1941B">
      <w:pPr>
        <w:rPr>
          <w:rFonts w:hint="eastAsia" w:hAnsi="宋体" w:cs="宋体"/>
          <w:b/>
          <w:highlight w:val="none"/>
        </w:rPr>
      </w:pPr>
      <w:r>
        <w:rPr>
          <w:rFonts w:hint="eastAsia" w:hAnsi="宋体" w:cs="宋体"/>
          <w:b/>
          <w:highlight w:val="none"/>
        </w:rPr>
        <w:t>赤岭村</w:t>
      </w:r>
      <w:r>
        <w:rPr>
          <w:rFonts w:hint="eastAsia" w:hAnsi="宋体" w:cs="宋体"/>
          <w:b/>
          <w:highlight w:val="none"/>
          <w:lang w:val="en-US" w:eastAsia="zh-CN"/>
        </w:rPr>
        <w:t xml:space="preserve">  </w:t>
      </w:r>
      <w:r>
        <w:rPr>
          <w:rFonts w:hint="eastAsia" w:hAnsi="宋体" w:cs="宋体"/>
          <w:highlight w:val="none"/>
        </w:rPr>
        <w:t>位于水口镇南部，是革命老区村。全村耕地1425亩，林地1108亩，辖12个村民小组，共1418人，现有村“两委”干部5人，党员38人。全村主要产业以农业为主，主要经济作物有黄烟、水稻、花生等。2015年人均收入9050元</w:t>
      </w:r>
      <w:r>
        <w:rPr>
          <w:rFonts w:hint="eastAsia" w:hAnsi="宋体" w:cs="宋体"/>
          <w:b/>
          <w:highlight w:val="none"/>
        </w:rPr>
        <w:t>。</w:t>
      </w:r>
    </w:p>
    <w:p w14:paraId="0B546EC6">
      <w:pPr>
        <w:rPr>
          <w:rFonts w:hint="eastAsia" w:hAnsi="宋体" w:cs="宋体"/>
          <w:b/>
          <w:highlight w:val="none"/>
        </w:rPr>
      </w:pPr>
      <w:r>
        <w:rPr>
          <w:rFonts w:hint="eastAsia" w:hAnsi="宋体" w:cs="宋体"/>
          <w:b/>
          <w:highlight w:val="none"/>
        </w:rPr>
        <w:t>群星村</w:t>
      </w:r>
      <w:r>
        <w:rPr>
          <w:rFonts w:hint="eastAsia" w:hAnsi="宋体" w:cs="宋体"/>
          <w:b/>
          <w:highlight w:val="none"/>
          <w:lang w:val="en-US" w:eastAsia="zh-CN"/>
        </w:rPr>
        <w:t xml:space="preserve">  </w:t>
      </w:r>
      <w:r>
        <w:rPr>
          <w:rFonts w:hint="eastAsia" w:hAnsi="宋体" w:cs="宋体"/>
          <w:highlight w:val="none"/>
        </w:rPr>
        <w:t>位于水口镇南部。全村耕地610亩，林地4360亩，辖6个村民小组，共995人，现有村“两委”干部5人，党员28人。全村主要产业以农业为主，主要经济作物有黄烟、水稻、花生等。2015年村集体收入3000元，人均收入8852.8元</w:t>
      </w:r>
      <w:r>
        <w:rPr>
          <w:rFonts w:hint="eastAsia" w:hAnsi="宋体" w:cs="宋体"/>
          <w:b/>
          <w:highlight w:val="none"/>
        </w:rPr>
        <w:t>。</w:t>
      </w:r>
    </w:p>
    <w:p w14:paraId="3919D56D">
      <w:pPr>
        <w:rPr>
          <w:rFonts w:hint="eastAsia" w:hAnsi="宋体" w:cs="宋体"/>
          <w:b/>
          <w:highlight w:val="none"/>
        </w:rPr>
      </w:pPr>
      <w:r>
        <w:rPr>
          <w:rFonts w:hint="eastAsia" w:hAnsi="宋体" w:cs="宋体"/>
          <w:b/>
          <w:highlight w:val="none"/>
        </w:rPr>
        <w:t>石庄村</w:t>
      </w:r>
      <w:r>
        <w:rPr>
          <w:rFonts w:hint="eastAsia" w:hAnsi="宋体" w:cs="宋体"/>
          <w:b/>
          <w:highlight w:val="none"/>
          <w:lang w:val="en-US" w:eastAsia="zh-CN"/>
        </w:rPr>
        <w:t xml:space="preserve">  </w:t>
      </w:r>
      <w:r>
        <w:rPr>
          <w:rFonts w:hint="eastAsia" w:hAnsi="宋体" w:cs="宋体"/>
          <w:highlight w:val="none"/>
        </w:rPr>
        <w:t>位于水口镇东南部，是革命老区村。全村耕地1490亩，林地15898亩，辖20个村民小组，共1868人，现有村“两委”干部4人，党员45人。全村主要产业以农业为主，主要经济作物有黄烟、水稻、花生等。2015年村集体收入5000元，人均收入8609元</w:t>
      </w:r>
      <w:r>
        <w:rPr>
          <w:rFonts w:hint="eastAsia" w:hAnsi="宋体" w:cs="宋体"/>
          <w:b/>
          <w:highlight w:val="none"/>
        </w:rPr>
        <w:t>。</w:t>
      </w:r>
    </w:p>
    <w:p w14:paraId="63CF6D8A">
      <w:pPr>
        <w:rPr>
          <w:rFonts w:hint="eastAsia" w:hAnsi="宋体" w:cs="宋体"/>
          <w:b/>
          <w:highlight w:val="none"/>
        </w:rPr>
      </w:pPr>
      <w:r>
        <w:rPr>
          <w:rFonts w:hint="eastAsia" w:hAnsi="宋体" w:cs="宋体"/>
          <w:b/>
          <w:highlight w:val="none"/>
        </w:rPr>
        <w:t>下楼村</w:t>
      </w:r>
      <w:r>
        <w:rPr>
          <w:rFonts w:hint="eastAsia" w:hAnsi="宋体" w:cs="宋体"/>
          <w:b/>
          <w:highlight w:val="none"/>
          <w:lang w:val="en-US" w:eastAsia="zh-CN"/>
        </w:rPr>
        <w:t xml:space="preserve">  </w:t>
      </w:r>
      <w:r>
        <w:rPr>
          <w:rFonts w:hint="eastAsia" w:hAnsi="宋体" w:cs="宋体"/>
          <w:highlight w:val="none"/>
        </w:rPr>
        <w:t>位于水口镇东部。全村耕地894亩，林地9360亩，辖15个村民小组，共1420人，现有村“两委”干部5人，党员54人。全村主要产业以农业为主，主要经济作物有黄烟、水稻、花生等。2015年村集体收入3.8万元，人均收入8100元</w:t>
      </w:r>
      <w:r>
        <w:rPr>
          <w:rFonts w:hint="eastAsia" w:hAnsi="宋体" w:cs="宋体"/>
          <w:b/>
          <w:highlight w:val="none"/>
        </w:rPr>
        <w:t>。</w:t>
      </w:r>
    </w:p>
    <w:p w14:paraId="46BA3A5C">
      <w:pPr>
        <w:rPr>
          <w:rFonts w:hint="eastAsia" w:hAnsi="宋体" w:cs="宋体"/>
          <w:b/>
          <w:highlight w:val="none"/>
        </w:rPr>
      </w:pPr>
      <w:r>
        <w:rPr>
          <w:rFonts w:hint="eastAsia" w:hAnsi="宋体" w:cs="宋体"/>
          <w:b/>
          <w:highlight w:val="none"/>
        </w:rPr>
        <w:t>泷头村</w:t>
      </w:r>
      <w:r>
        <w:rPr>
          <w:rFonts w:hint="eastAsia" w:hAnsi="宋体" w:cs="宋体"/>
          <w:b/>
          <w:highlight w:val="none"/>
          <w:lang w:val="en-US" w:eastAsia="zh-CN"/>
        </w:rPr>
        <w:t xml:space="preserve">  </w:t>
      </w:r>
      <w:r>
        <w:rPr>
          <w:rFonts w:hint="eastAsia" w:hAnsi="宋体" w:cs="宋体"/>
          <w:highlight w:val="none"/>
        </w:rPr>
        <w:t>位于水口镇东南部，是革命老区村。全村耕地2521亩，林地26152亩，辖8个村民小组，共1652人，现有村“两委”干部4人，党员54人。全村主要产业以农、林业为主，农业经济作物主要有水稻、花生、西瓜等，林业主要有丛生竹、毛竹、松树、杉树、乔灌杂树等。2015年村集体收入25000元，人均收入8859元。</w:t>
      </w:r>
    </w:p>
    <w:p w14:paraId="66E236FD">
      <w:pPr>
        <w:rPr>
          <w:rFonts w:hint="eastAsia" w:hAnsi="宋体" w:cs="宋体"/>
          <w:highlight w:val="none"/>
        </w:rPr>
      </w:pPr>
      <w:r>
        <w:rPr>
          <w:rFonts w:hint="eastAsia" w:hAnsi="宋体" w:cs="宋体"/>
          <w:b/>
          <w:highlight w:val="none"/>
        </w:rPr>
        <w:t>水口社区</w:t>
      </w:r>
      <w:r>
        <w:rPr>
          <w:rFonts w:hint="eastAsia" w:hAnsi="宋体" w:cs="宋体"/>
          <w:b/>
          <w:highlight w:val="none"/>
          <w:lang w:val="en-US" w:eastAsia="zh-CN"/>
        </w:rPr>
        <w:t xml:space="preserve">  </w:t>
      </w:r>
      <w:r>
        <w:rPr>
          <w:rFonts w:hint="eastAsia" w:hAnsi="宋体" w:cs="宋体"/>
          <w:highlight w:val="none"/>
        </w:rPr>
        <w:t>位于水口镇中部，全社区共有1425人，现有社区“两委”干部3人，党员18人。（卢雄州）</w:t>
      </w:r>
    </w:p>
    <w:p w14:paraId="0B1AB127">
      <w:pPr>
        <w:rPr>
          <w:rFonts w:hint="eastAsia" w:hAnsi="宋体" w:eastAsia="宋体" w:cs="宋体"/>
          <w:highlight w:val="none"/>
          <w:lang w:eastAsia="zh-CN"/>
        </w:rPr>
      </w:pPr>
      <w:r>
        <w:rPr>
          <w:rFonts w:hint="eastAsia" w:hAnsi="宋体" w:cs="宋体"/>
          <w:highlight w:val="none"/>
        </w:rPr>
        <w:t>附：2015年水口镇领导班子成员名单</w:t>
      </w:r>
    </w:p>
    <w:p w14:paraId="73AE3100">
      <w:pPr>
        <w:rPr>
          <w:rFonts w:hint="eastAsia" w:hAnsi="宋体" w:eastAsia="宋体" w:cs="宋体"/>
          <w:highlight w:val="none"/>
          <w:lang w:eastAsia="zh-CN"/>
        </w:rPr>
      </w:pPr>
      <w:r>
        <w:rPr>
          <w:rFonts w:hint="eastAsia" w:hAnsi="宋体" w:cs="宋体"/>
          <w:highlight w:val="none"/>
        </w:rPr>
        <w:t>党委书记、人大主席：温春花</w:t>
      </w:r>
    </w:p>
    <w:p w14:paraId="0C6A013C">
      <w:pPr>
        <w:rPr>
          <w:rFonts w:hint="eastAsia" w:hAnsi="宋体" w:eastAsia="宋体" w:cs="宋体"/>
          <w:highlight w:val="none"/>
          <w:lang w:eastAsia="zh-CN"/>
        </w:rPr>
      </w:pPr>
      <w:r>
        <w:rPr>
          <w:rFonts w:hint="eastAsia" w:hAnsi="宋体" w:cs="宋体"/>
          <w:highlight w:val="none"/>
        </w:rPr>
        <w:t>党委副书记、镇长：陈如华</w:t>
      </w:r>
    </w:p>
    <w:p w14:paraId="1208D512">
      <w:pPr>
        <w:rPr>
          <w:rFonts w:hint="eastAsia" w:hAnsi="宋体" w:eastAsia="宋体" w:cs="宋体"/>
          <w:highlight w:val="none"/>
          <w:lang w:eastAsia="zh-CN"/>
        </w:rPr>
      </w:pPr>
      <w:r>
        <w:rPr>
          <w:rFonts w:hint="eastAsia" w:hAnsi="宋体" w:cs="宋体"/>
          <w:highlight w:val="none"/>
        </w:rPr>
        <w:t>党委副书记：刘光煌</w:t>
      </w:r>
    </w:p>
    <w:p w14:paraId="2DF27CFB">
      <w:pPr>
        <w:rPr>
          <w:rFonts w:hint="eastAsia" w:hAnsi="宋体" w:eastAsia="宋体" w:cs="宋体"/>
          <w:highlight w:val="none"/>
          <w:lang w:eastAsia="zh-CN"/>
        </w:rPr>
      </w:pPr>
      <w:r>
        <w:rPr>
          <w:rFonts w:hint="eastAsia" w:hAnsi="宋体" w:cs="宋体"/>
          <w:highlight w:val="none"/>
        </w:rPr>
        <w:t>水口中心纪检监察组长、镇纪委书记：邓煜煜</w:t>
      </w:r>
    </w:p>
    <w:p w14:paraId="774A02BF">
      <w:pPr>
        <w:rPr>
          <w:rFonts w:hint="eastAsia" w:hAnsi="宋体" w:eastAsia="宋体" w:cs="宋体"/>
          <w:highlight w:val="none"/>
          <w:lang w:eastAsia="zh-CN"/>
        </w:rPr>
      </w:pPr>
      <w:r>
        <w:rPr>
          <w:rFonts w:hint="eastAsia" w:hAnsi="宋体" w:cs="宋体"/>
          <w:highlight w:val="none"/>
        </w:rPr>
        <w:t>组织委员：刘畅</w:t>
      </w:r>
    </w:p>
    <w:p w14:paraId="208DE34A">
      <w:pPr>
        <w:rPr>
          <w:rFonts w:hint="eastAsia" w:hAnsi="宋体" w:eastAsia="宋体" w:cs="宋体"/>
          <w:highlight w:val="none"/>
          <w:lang w:eastAsia="zh-CN"/>
        </w:rPr>
      </w:pPr>
      <w:r>
        <w:rPr>
          <w:rFonts w:hint="eastAsia" w:hAnsi="宋体" w:cs="宋体"/>
          <w:highlight w:val="none"/>
        </w:rPr>
        <w:t>宣传委员：吴英琪</w:t>
      </w:r>
    </w:p>
    <w:p w14:paraId="40706E9D">
      <w:pPr>
        <w:rPr>
          <w:rFonts w:hint="eastAsia" w:hAnsi="宋体" w:eastAsia="宋体" w:cs="宋体"/>
          <w:highlight w:val="none"/>
          <w:lang w:eastAsia="zh-CN"/>
        </w:rPr>
      </w:pPr>
      <w:r>
        <w:rPr>
          <w:rFonts w:hint="eastAsia" w:hAnsi="宋体" w:cs="宋体"/>
          <w:highlight w:val="none"/>
        </w:rPr>
        <w:t>人大副主席：邓国荣</w:t>
      </w:r>
    </w:p>
    <w:p w14:paraId="601C0F18">
      <w:pPr>
        <w:rPr>
          <w:rFonts w:hint="eastAsia" w:hAnsi="宋体" w:eastAsia="宋体" w:cs="宋体"/>
          <w:highlight w:val="none"/>
          <w:lang w:eastAsia="zh-CN"/>
        </w:rPr>
      </w:pPr>
      <w:r>
        <w:rPr>
          <w:rFonts w:hint="eastAsia" w:hAnsi="宋体" w:cs="宋体"/>
          <w:highlight w:val="none"/>
        </w:rPr>
        <w:t>武装部长：杨庆安</w:t>
      </w:r>
    </w:p>
    <w:p w14:paraId="7E1B0F9F">
      <w:pPr>
        <w:rPr>
          <w:rFonts w:hint="eastAsia" w:hAnsi="宋体" w:eastAsia="宋体" w:cs="宋体"/>
          <w:highlight w:val="none"/>
          <w:lang w:eastAsia="zh-CN"/>
        </w:rPr>
      </w:pPr>
      <w:r>
        <w:rPr>
          <w:rFonts w:hint="eastAsia" w:hAnsi="宋体" w:cs="宋体"/>
          <w:highlight w:val="none"/>
        </w:rPr>
        <w:t>党委委员专职副主任：欧阳锋</w:t>
      </w:r>
    </w:p>
    <w:p w14:paraId="15132441">
      <w:pPr>
        <w:rPr>
          <w:rFonts w:hint="eastAsia" w:hAnsi="宋体" w:eastAsia="宋体" w:cs="宋体"/>
          <w:highlight w:val="none"/>
          <w:lang w:eastAsia="zh-CN"/>
        </w:rPr>
      </w:pPr>
      <w:r>
        <w:rPr>
          <w:rFonts w:hint="eastAsia" w:hAnsi="宋体" w:cs="宋体"/>
          <w:highlight w:val="none"/>
        </w:rPr>
        <w:t>副镇长：陈文 王衍明 曾明志</w:t>
      </w:r>
    </w:p>
    <w:p w14:paraId="6D79073F">
      <w:pPr>
        <w:pStyle w:val="3"/>
        <w:bidi w:val="0"/>
        <w:rPr>
          <w:rFonts w:hint="eastAsia" w:eastAsia="宋体"/>
          <w:highlight w:val="none"/>
          <w:lang w:eastAsia="zh-CN"/>
        </w:rPr>
      </w:pPr>
      <w:r>
        <w:rPr>
          <w:rFonts w:hint="eastAsia"/>
          <w:highlight w:val="none"/>
        </w:rPr>
        <w:t>乌迳镇</w:t>
      </w:r>
    </w:p>
    <w:p w14:paraId="4DE933BE">
      <w:pPr>
        <w:pStyle w:val="4"/>
        <w:bidi w:val="0"/>
        <w:rPr>
          <w:rFonts w:hint="eastAsia"/>
          <w:highlight w:val="none"/>
        </w:rPr>
      </w:pPr>
      <w:r>
        <w:rPr>
          <w:rFonts w:hint="eastAsia"/>
          <w:highlight w:val="none"/>
        </w:rPr>
        <w:t>【概况】</w:t>
      </w:r>
    </w:p>
    <w:p w14:paraId="2316DBDC">
      <w:pPr>
        <w:rPr>
          <w:rFonts w:hint="eastAsia" w:hAnsi="宋体" w:cs="宋体"/>
          <w:highlight w:val="none"/>
        </w:rPr>
      </w:pPr>
      <w:r>
        <w:rPr>
          <w:rFonts w:hint="eastAsia" w:hAnsi="宋体" w:cs="宋体"/>
          <w:highlight w:val="none"/>
        </w:rPr>
        <w:t>乌迳镇地处广东省南雄市东北部，面积约158平方公里，辖21个村委会，1个居委会，人口近5.8万人，是南雄市大镇之一，属革命老区。2002年被省政府列为中心镇。镇交通便利，北距江西省信丰县及G105国道，京九铁路42公里，距粤赣高速公路21公里，南离南雄市区及G323国道31公里，省道S342线贯穿全镇。地理位置优越，城镇化建设发展较快，2015年被市委、市政府定为南雄市城市副中心。</w:t>
      </w:r>
    </w:p>
    <w:p w14:paraId="0DD08D08">
      <w:pPr>
        <w:rPr>
          <w:rFonts w:hint="eastAsia" w:hAnsi="宋体" w:cs="宋体"/>
          <w:highlight w:val="none"/>
        </w:rPr>
      </w:pPr>
      <w:r>
        <w:rPr>
          <w:rFonts w:hint="eastAsia" w:hAnsi="宋体" w:cs="宋体"/>
          <w:highlight w:val="none"/>
        </w:rPr>
        <w:t>乌迳镇自然资源较丰富，森林覆盖率68%，四季气候宜人，年平均气温21.5℃左右。有林木、毛竹资源5万多亩，花岗石总储存量超过800万立方米。水力资源可开发电力3000多千瓦，开发电站6座，装机容量1000瓦。乌迳镇黄烟种植历史悠久、品质好。乌迳特产“霸王椒”畅销国内外。旅游景点有孔江国家湿地公园生态旅游区和观音山风景区以及新田古村落。</w:t>
      </w:r>
    </w:p>
    <w:p w14:paraId="047C750A">
      <w:pPr>
        <w:pStyle w:val="4"/>
        <w:bidi w:val="0"/>
        <w:rPr>
          <w:rFonts w:hint="eastAsia"/>
          <w:highlight w:val="none"/>
        </w:rPr>
      </w:pPr>
      <w:r>
        <w:rPr>
          <w:rFonts w:hint="eastAsia"/>
          <w:highlight w:val="none"/>
        </w:rPr>
        <w:t>【经济发展】</w:t>
      </w:r>
    </w:p>
    <w:p w14:paraId="7BDDE2CC">
      <w:pPr>
        <w:rPr>
          <w:rFonts w:hint="eastAsia" w:hAnsi="宋体" w:cs="宋体"/>
          <w:highlight w:val="none"/>
        </w:rPr>
      </w:pPr>
      <w:r>
        <w:rPr>
          <w:rFonts w:hint="eastAsia" w:hAnsi="宋体" w:cs="宋体"/>
          <w:highlight w:val="none"/>
        </w:rPr>
        <w:t>2015年，全镇农村经济总收入8.5亿元，同比增长16％；农民人均纯收入1.1万元，同比增长16％。政府主要收入来源于黄烟税收，种植黄烟6823亩，收购烟叶999.5吨，粮食总播种面积为5.1万亩，其中早稻4136亩，中晚稻3.7万亩。生猪出栏5.1万头，家禽养殖33.7万只。</w:t>
      </w:r>
    </w:p>
    <w:p w14:paraId="4BC2F7E2">
      <w:pPr>
        <w:pStyle w:val="4"/>
        <w:bidi w:val="0"/>
        <w:rPr>
          <w:rFonts w:hint="eastAsia"/>
          <w:highlight w:val="none"/>
        </w:rPr>
      </w:pPr>
      <w:r>
        <w:rPr>
          <w:rFonts w:hint="eastAsia"/>
          <w:highlight w:val="none"/>
        </w:rPr>
        <w:t>【镇污水处理厂建成】</w:t>
      </w:r>
    </w:p>
    <w:p w14:paraId="30AA8139">
      <w:pPr>
        <w:rPr>
          <w:rFonts w:hint="eastAsia" w:hAnsi="宋体" w:cs="宋体"/>
          <w:highlight w:val="none"/>
        </w:rPr>
      </w:pPr>
      <w:r>
        <w:rPr>
          <w:rFonts w:hint="eastAsia" w:hAnsi="宋体" w:cs="宋体"/>
          <w:highlight w:val="none"/>
        </w:rPr>
        <w:t>投资1100万元建设日处理污水4000吨污水处理厂，该项目位于该镇新田村，占地面积1.4公顷，2014年8月开工建设；2015年底建成投入使用。</w:t>
      </w:r>
    </w:p>
    <w:p w14:paraId="2073F3B5">
      <w:pPr>
        <w:pStyle w:val="4"/>
        <w:bidi w:val="0"/>
        <w:rPr>
          <w:rFonts w:hint="eastAsia"/>
          <w:highlight w:val="none"/>
        </w:rPr>
      </w:pPr>
      <w:r>
        <w:rPr>
          <w:rFonts w:hint="eastAsia"/>
          <w:highlight w:val="none"/>
        </w:rPr>
        <w:t>【墟镇建设】</w:t>
      </w:r>
    </w:p>
    <w:p w14:paraId="106DF855">
      <w:pPr>
        <w:rPr>
          <w:rFonts w:hint="eastAsia" w:hAnsi="宋体" w:cs="宋体"/>
          <w:highlight w:val="none"/>
        </w:rPr>
      </w:pPr>
      <w:r>
        <w:rPr>
          <w:rFonts w:hint="eastAsia" w:hAnsi="宋体" w:cs="宋体"/>
          <w:highlight w:val="none"/>
        </w:rPr>
        <w:t>按照“繁荣经济，建靓社区，创优环境，服务群众”理念，高起点定位、高标准策划、高层次运作、高水平管理，抓好城镇化建设。总投资600万元建设乌迳镇新商业大道，规划建设总长1500米、宽为70米的商业大道，大道两旁建成商业街，连接乌迳第二市场，是乌迳副中心建设的重要组成部分；号召外出杰出乡贤回报家乡，回家乡创业，促进乌迳旅游业的发展，投资1600多万元建设观音山聚贤山庄、香莹大酒店等多功能酒店等；投资2000多万元建设一个180套房、2.4万平方米新岭南住宅小区。投资800多万元兴建公路、桥梁、学校、路灯、小公园、广场街道绿化等设施。投资720万元进行圩镇街道建设。新农村示范点建设，投入资金1000多万元在田心村、白胜村新坳背、大竹村高排兴建3个新农村示范点。</w:t>
      </w:r>
    </w:p>
    <w:p w14:paraId="5DB42A98">
      <w:pPr>
        <w:pStyle w:val="4"/>
        <w:bidi w:val="0"/>
        <w:rPr>
          <w:rFonts w:hint="eastAsia"/>
          <w:highlight w:val="none"/>
        </w:rPr>
      </w:pPr>
      <w:r>
        <w:rPr>
          <w:rFonts w:hint="eastAsia"/>
          <w:highlight w:val="none"/>
        </w:rPr>
        <w:t>【亮点工作】</w:t>
      </w:r>
    </w:p>
    <w:p w14:paraId="1C7671C3">
      <w:pPr>
        <w:rPr>
          <w:rFonts w:hint="eastAsia" w:hAnsi="宋体" w:cs="宋体"/>
          <w:highlight w:val="none"/>
        </w:rPr>
      </w:pPr>
      <w:r>
        <w:rPr>
          <w:rFonts w:hint="eastAsia" w:hAnsi="宋体" w:cs="宋体"/>
          <w:highlight w:val="none"/>
        </w:rPr>
        <w:t>投资约300万元建设秤砣岭森林公园，公园占地面积208公顷，其中有林地面积188.6公顷，森林覆盖率高达90.6%；筹集资金80多万元便民路灯建设，在雄信公路至庙前村委会路段安装太阳能路灯200盏，组织工作小组协助李氏举办李氏姓氏文化节；打造庙前村标兵党支部；投资1000多万元，建设一幢集餐饮、住宿、娱乐于一体的休闲生态农庄——观音山聚贤山庄；努力建设“平安乌迳”，结合依法治镇目标，创办白胜村文明法治新村；投资金额340多万元，建设田心村和山下村2个村级老人活动中心；引进深圳市金瑞康公司到兰坵村委会创办兰坵村蔬菜示范基地；打造白龙香米助民致富新路。</w:t>
      </w:r>
    </w:p>
    <w:p w14:paraId="48E88695">
      <w:pPr>
        <w:pStyle w:val="4"/>
        <w:bidi w:val="0"/>
        <w:rPr>
          <w:rFonts w:hint="eastAsia"/>
          <w:highlight w:val="none"/>
        </w:rPr>
      </w:pPr>
      <w:r>
        <w:rPr>
          <w:rFonts w:hint="eastAsia"/>
          <w:highlight w:val="none"/>
        </w:rPr>
        <w:t>【民生社会事业】</w:t>
      </w:r>
    </w:p>
    <w:p w14:paraId="79FC91E3">
      <w:pPr>
        <w:rPr>
          <w:rFonts w:hint="eastAsia" w:hAnsi="宋体" w:cs="宋体"/>
          <w:highlight w:val="none"/>
        </w:rPr>
      </w:pPr>
      <w:r>
        <w:rPr>
          <w:rFonts w:hint="eastAsia" w:hAnsi="宋体" w:cs="宋体"/>
          <w:highlight w:val="none"/>
        </w:rPr>
        <w:t>2015年白胜、庙前、白龙村3个重点帮扶村投入帮扶资金2239万元，其中到村资金2198万元，到户资金41万元，平均每村达到746万元。2015年资金下达214万元，其中到村160万元，到户54万元，主要开展住房改造、农村基础设施和公共服务设施建设等重点民生工程。2015年城居养老保险完成总人数为10432人，完成市下达任务101.3%；城乡居民医保共完成总人数37657人；社保扩面完成45人，完成市下达任务基金223%。</w:t>
      </w:r>
    </w:p>
    <w:p w14:paraId="355ACB55">
      <w:pPr>
        <w:pStyle w:val="4"/>
        <w:bidi w:val="0"/>
        <w:rPr>
          <w:rFonts w:hint="eastAsia"/>
          <w:highlight w:val="none"/>
        </w:rPr>
      </w:pPr>
      <w:r>
        <w:rPr>
          <w:rFonts w:hint="eastAsia"/>
          <w:highlight w:val="none"/>
        </w:rPr>
        <w:t>【林业工作】</w:t>
      </w:r>
    </w:p>
    <w:p w14:paraId="527FC0C3">
      <w:pPr>
        <w:rPr>
          <w:rFonts w:hint="eastAsia" w:hAnsi="宋体" w:cs="宋体"/>
          <w:highlight w:val="none"/>
        </w:rPr>
      </w:pPr>
      <w:r>
        <w:rPr>
          <w:rFonts w:hint="eastAsia" w:hAnsi="宋体" w:cs="宋体"/>
          <w:highlight w:val="none"/>
        </w:rPr>
        <w:t>2015年秤砣岭县级森林公园申报成功，完成2014年生态公益林补偿资金发放造册工作，完成田心村委会田心新村、松木塘村2个美化绿化造林示范村和庙前、田心、黄洞村委会300亩3个荒山造林示范点，美化绿化庙前、黄洞、田心、孔江村委会4条乡村道路。</w:t>
      </w:r>
    </w:p>
    <w:p w14:paraId="444F9B8E">
      <w:pPr>
        <w:pStyle w:val="4"/>
        <w:bidi w:val="0"/>
        <w:rPr>
          <w:rFonts w:hint="eastAsia"/>
          <w:highlight w:val="none"/>
        </w:rPr>
      </w:pPr>
      <w:r>
        <w:rPr>
          <w:rFonts w:hint="eastAsia"/>
          <w:highlight w:val="none"/>
        </w:rPr>
        <w:t>【计划生育】</w:t>
      </w:r>
    </w:p>
    <w:p w14:paraId="324EFE69">
      <w:pPr>
        <w:rPr>
          <w:rFonts w:hint="eastAsia" w:hAnsi="宋体" w:cs="宋体"/>
          <w:highlight w:val="none"/>
        </w:rPr>
      </w:pPr>
      <w:r>
        <w:rPr>
          <w:rFonts w:hint="eastAsia" w:hAnsi="宋体" w:cs="宋体"/>
          <w:highlight w:val="none"/>
        </w:rPr>
        <w:t>2015年参加国家孕前优生健康检查554人次，跟踪随访人次为2079人次。</w:t>
      </w:r>
    </w:p>
    <w:p w14:paraId="1EB9280E">
      <w:pPr>
        <w:pStyle w:val="4"/>
        <w:bidi w:val="0"/>
        <w:rPr>
          <w:rFonts w:hint="eastAsia"/>
          <w:highlight w:val="none"/>
        </w:rPr>
      </w:pPr>
      <w:r>
        <w:rPr>
          <w:rFonts w:hint="eastAsia"/>
          <w:highlight w:val="none"/>
        </w:rPr>
        <w:t>【党风廉政】</w:t>
      </w:r>
    </w:p>
    <w:p w14:paraId="427DFEFD">
      <w:pPr>
        <w:rPr>
          <w:rFonts w:hint="eastAsia" w:hAnsi="宋体" w:cs="宋体"/>
          <w:highlight w:val="none"/>
        </w:rPr>
      </w:pPr>
      <w:r>
        <w:rPr>
          <w:rFonts w:hint="eastAsia" w:hAnsi="宋体" w:cs="宋体"/>
          <w:highlight w:val="none"/>
        </w:rPr>
        <w:t>贯彻落实“党委统一领导，党政齐抓共管，纪委组织协调，部门各负其责，群众支持与参与”工作机制。加强明察暗访和督查力度，制定《乌迳镇作风建设督查办法》，2015年，排查出违纪违法线索13条，核实7条，核实了结线索6条，涉及党员干部16人次。镇纪委查处水松村党员董杨林赌博行为。镇纪委开通微信公众平台。（施金威）</w:t>
      </w:r>
    </w:p>
    <w:p w14:paraId="194CCA05">
      <w:pPr>
        <w:pStyle w:val="4"/>
        <w:bidi w:val="0"/>
        <w:rPr>
          <w:rFonts w:hint="eastAsia"/>
          <w:highlight w:val="none"/>
        </w:rPr>
      </w:pPr>
      <w:r>
        <w:rPr>
          <w:rFonts w:hint="eastAsia"/>
          <w:highlight w:val="none"/>
        </w:rPr>
        <w:t>【各村（居）委会基本情况】</w:t>
      </w:r>
    </w:p>
    <w:p w14:paraId="7564DD44">
      <w:pPr>
        <w:rPr>
          <w:rFonts w:hint="eastAsia" w:hAnsi="宋体" w:cs="宋体"/>
          <w:highlight w:val="none"/>
        </w:rPr>
      </w:pPr>
      <w:r>
        <w:rPr>
          <w:rFonts w:hint="eastAsia" w:hAnsi="宋体" w:cs="宋体"/>
          <w:highlight w:val="none"/>
        </w:rPr>
        <w:t>见下表。</w:t>
      </w:r>
    </w:p>
    <w:p w14:paraId="0B69D2AC">
      <w:pPr>
        <w:jc w:val="center"/>
        <w:rPr>
          <w:rFonts w:hint="eastAsia" w:hAnsi="宋体" w:cs="宋体"/>
          <w:highlight w:val="none"/>
        </w:rPr>
      </w:pPr>
      <w:r>
        <w:rPr>
          <w:rFonts w:hint="eastAsia" w:hAnsi="宋体" w:cs="宋体"/>
          <w:highlight w:val="none"/>
        </w:rPr>
        <w:t>2015年乌迳镇各村（居）委会基本情况</w:t>
      </w:r>
    </w:p>
    <w:p w14:paraId="5DC266C4">
      <w:pPr>
        <w:rPr>
          <w:rFonts w:hint="eastAsia" w:hAnsi="宋体" w:eastAsia="宋体" w:cs="宋体"/>
          <w:highlight w:val="none"/>
          <w:lang w:eastAsia="zh-CN"/>
        </w:rPr>
      </w:pPr>
      <w:r>
        <w:rPr>
          <w:rFonts w:hint="eastAsia" w:hAnsi="宋体" w:cs="宋体"/>
          <w:highlight w:val="none"/>
        </w:rPr>
        <w:t>表31</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4"/>
        <w:gridCol w:w="889"/>
        <w:gridCol w:w="561"/>
        <w:gridCol w:w="704"/>
        <w:gridCol w:w="704"/>
        <w:gridCol w:w="682"/>
        <w:gridCol w:w="737"/>
        <w:gridCol w:w="662"/>
        <w:gridCol w:w="756"/>
        <w:gridCol w:w="942"/>
        <w:gridCol w:w="1035"/>
      </w:tblGrid>
      <w:tr w14:paraId="2309D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4" w:hRule="atLeast"/>
          <w:jc w:val="center"/>
        </w:trPr>
        <w:tc>
          <w:tcPr>
            <w:tcW w:w="944" w:type="dxa"/>
            <w:vMerge w:val="restart"/>
            <w:noWrap w:val="0"/>
            <w:vAlign w:val="center"/>
          </w:tcPr>
          <w:p w14:paraId="2B49AA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村名</w:t>
            </w:r>
          </w:p>
        </w:tc>
        <w:tc>
          <w:tcPr>
            <w:tcW w:w="889" w:type="dxa"/>
            <w:vMerge w:val="restart"/>
            <w:noWrap w:val="0"/>
            <w:vAlign w:val="center"/>
          </w:tcPr>
          <w:p w14:paraId="7032A9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区域面积</w:t>
            </w:r>
            <w:r>
              <w:rPr>
                <w:rFonts w:hint="eastAsia"/>
                <w:highlight w:val="none"/>
              </w:rPr>
              <w:br w:type="textWrapping"/>
            </w:r>
            <w:r>
              <w:rPr>
                <w:rFonts w:hint="eastAsia"/>
                <w:highlight w:val="none"/>
              </w:rPr>
              <w:t>（平方公里）</w:t>
            </w:r>
          </w:p>
        </w:tc>
        <w:tc>
          <w:tcPr>
            <w:tcW w:w="561" w:type="dxa"/>
            <w:vMerge w:val="restart"/>
            <w:noWrap w:val="0"/>
            <w:vAlign w:val="center"/>
          </w:tcPr>
          <w:p w14:paraId="431A40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村小组数</w:t>
            </w:r>
            <w:r>
              <w:rPr>
                <w:rFonts w:hint="eastAsia"/>
                <w:highlight w:val="none"/>
              </w:rPr>
              <w:br w:type="textWrapping"/>
            </w:r>
            <w:r>
              <w:rPr>
                <w:rFonts w:hint="eastAsia"/>
                <w:highlight w:val="none"/>
                <w:lang w:eastAsia="zh-CN"/>
              </w:rPr>
              <w:t>（</w:t>
            </w:r>
            <w:r>
              <w:rPr>
                <w:rFonts w:hint="eastAsia"/>
                <w:highlight w:val="none"/>
              </w:rPr>
              <w:t>个）</w:t>
            </w:r>
          </w:p>
        </w:tc>
        <w:tc>
          <w:tcPr>
            <w:tcW w:w="704" w:type="dxa"/>
            <w:vMerge w:val="restart"/>
            <w:noWrap w:val="0"/>
            <w:vAlign w:val="center"/>
          </w:tcPr>
          <w:p w14:paraId="563727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户数</w:t>
            </w:r>
          </w:p>
        </w:tc>
        <w:tc>
          <w:tcPr>
            <w:tcW w:w="704" w:type="dxa"/>
            <w:vMerge w:val="restart"/>
            <w:noWrap w:val="0"/>
            <w:vAlign w:val="center"/>
          </w:tcPr>
          <w:p w14:paraId="12CE61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人口</w:t>
            </w:r>
          </w:p>
        </w:tc>
        <w:tc>
          <w:tcPr>
            <w:tcW w:w="682" w:type="dxa"/>
            <w:vMerge w:val="restart"/>
            <w:noWrap w:val="0"/>
            <w:vAlign w:val="center"/>
          </w:tcPr>
          <w:p w14:paraId="2BDB89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外出人口</w:t>
            </w:r>
          </w:p>
        </w:tc>
        <w:tc>
          <w:tcPr>
            <w:tcW w:w="737" w:type="dxa"/>
            <w:vMerge w:val="restart"/>
            <w:noWrap w:val="0"/>
            <w:vAlign w:val="center"/>
          </w:tcPr>
          <w:p w14:paraId="29F5E6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耕地面积</w:t>
            </w:r>
            <w:r>
              <w:rPr>
                <w:rFonts w:hint="eastAsia"/>
                <w:highlight w:val="none"/>
                <w:lang w:eastAsia="zh-CN"/>
              </w:rPr>
              <w:t>（</w:t>
            </w:r>
            <w:r>
              <w:rPr>
                <w:rFonts w:hint="eastAsia"/>
                <w:highlight w:val="none"/>
              </w:rPr>
              <w:t>亩</w:t>
            </w:r>
            <w:r>
              <w:rPr>
                <w:rFonts w:hint="eastAsia"/>
                <w:highlight w:val="none"/>
                <w:lang w:eastAsia="zh-CN"/>
              </w:rPr>
              <w:t>）</w:t>
            </w:r>
          </w:p>
        </w:tc>
        <w:tc>
          <w:tcPr>
            <w:tcW w:w="1418" w:type="dxa"/>
            <w:gridSpan w:val="2"/>
            <w:noWrap w:val="0"/>
            <w:vAlign w:val="center"/>
          </w:tcPr>
          <w:p w14:paraId="77B42E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其中</w:t>
            </w:r>
          </w:p>
        </w:tc>
        <w:tc>
          <w:tcPr>
            <w:tcW w:w="942" w:type="dxa"/>
            <w:vMerge w:val="restart"/>
            <w:noWrap w:val="0"/>
            <w:vAlign w:val="center"/>
          </w:tcPr>
          <w:p w14:paraId="1FF453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经济总收入</w:t>
            </w:r>
            <w:r>
              <w:rPr>
                <w:rFonts w:hint="eastAsia"/>
                <w:highlight w:val="none"/>
              </w:rPr>
              <w:br w:type="textWrapping"/>
            </w:r>
            <w:r>
              <w:rPr>
                <w:rFonts w:hint="eastAsia"/>
                <w:highlight w:val="none"/>
              </w:rPr>
              <w:t>（万元）</w:t>
            </w:r>
          </w:p>
        </w:tc>
        <w:tc>
          <w:tcPr>
            <w:tcW w:w="1035" w:type="dxa"/>
            <w:vMerge w:val="restart"/>
            <w:noWrap w:val="0"/>
            <w:vAlign w:val="center"/>
          </w:tcPr>
          <w:p w14:paraId="66FE4D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人均纯收入</w:t>
            </w:r>
            <w:r>
              <w:rPr>
                <w:rFonts w:hint="eastAsia"/>
                <w:highlight w:val="none"/>
              </w:rPr>
              <w:br w:type="textWrapping"/>
            </w:r>
            <w:r>
              <w:rPr>
                <w:rFonts w:hint="eastAsia"/>
                <w:highlight w:val="none"/>
              </w:rPr>
              <w:t>（元）</w:t>
            </w:r>
          </w:p>
        </w:tc>
      </w:tr>
      <w:tr w14:paraId="15001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944" w:type="dxa"/>
            <w:vMerge w:val="continue"/>
            <w:noWrap w:val="0"/>
            <w:vAlign w:val="center"/>
          </w:tcPr>
          <w:p w14:paraId="2FE251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889" w:type="dxa"/>
            <w:vMerge w:val="continue"/>
            <w:noWrap w:val="0"/>
            <w:vAlign w:val="center"/>
          </w:tcPr>
          <w:p w14:paraId="698B39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61" w:type="dxa"/>
            <w:vMerge w:val="continue"/>
            <w:noWrap w:val="0"/>
            <w:vAlign w:val="center"/>
          </w:tcPr>
          <w:p w14:paraId="655CFB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04" w:type="dxa"/>
            <w:vMerge w:val="continue"/>
            <w:noWrap w:val="0"/>
            <w:vAlign w:val="center"/>
          </w:tcPr>
          <w:p w14:paraId="553004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04" w:type="dxa"/>
            <w:vMerge w:val="continue"/>
            <w:noWrap w:val="0"/>
            <w:vAlign w:val="center"/>
          </w:tcPr>
          <w:p w14:paraId="706284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82" w:type="dxa"/>
            <w:vMerge w:val="continue"/>
            <w:noWrap w:val="0"/>
            <w:vAlign w:val="center"/>
          </w:tcPr>
          <w:p w14:paraId="538287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37" w:type="dxa"/>
            <w:vMerge w:val="continue"/>
            <w:noWrap w:val="0"/>
            <w:vAlign w:val="center"/>
          </w:tcPr>
          <w:p w14:paraId="1A60D7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62" w:type="dxa"/>
            <w:noWrap w:val="0"/>
            <w:vAlign w:val="center"/>
          </w:tcPr>
          <w:p w14:paraId="3A9EF4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水田</w:t>
            </w:r>
          </w:p>
        </w:tc>
        <w:tc>
          <w:tcPr>
            <w:tcW w:w="756" w:type="dxa"/>
            <w:noWrap w:val="0"/>
            <w:vAlign w:val="center"/>
          </w:tcPr>
          <w:p w14:paraId="4248EE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旱地</w:t>
            </w:r>
          </w:p>
        </w:tc>
        <w:tc>
          <w:tcPr>
            <w:tcW w:w="942" w:type="dxa"/>
            <w:vMerge w:val="continue"/>
            <w:noWrap w:val="0"/>
            <w:vAlign w:val="center"/>
          </w:tcPr>
          <w:p w14:paraId="6AAFD4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035" w:type="dxa"/>
            <w:vMerge w:val="continue"/>
            <w:noWrap w:val="0"/>
            <w:vAlign w:val="center"/>
          </w:tcPr>
          <w:p w14:paraId="03CEC8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r w14:paraId="047FE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944" w:type="dxa"/>
            <w:noWrap w:val="0"/>
            <w:vAlign w:val="center"/>
          </w:tcPr>
          <w:p w14:paraId="1E9F2B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居委会</w:t>
            </w:r>
          </w:p>
        </w:tc>
        <w:tc>
          <w:tcPr>
            <w:tcW w:w="889" w:type="dxa"/>
            <w:noWrap w:val="0"/>
            <w:vAlign w:val="center"/>
          </w:tcPr>
          <w:p w14:paraId="115E20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561" w:type="dxa"/>
            <w:noWrap w:val="0"/>
            <w:vAlign w:val="center"/>
          </w:tcPr>
          <w:p w14:paraId="2B1ECE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04" w:type="dxa"/>
            <w:noWrap w:val="0"/>
            <w:vAlign w:val="center"/>
          </w:tcPr>
          <w:p w14:paraId="4F2611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2185</w:t>
            </w:r>
          </w:p>
        </w:tc>
        <w:tc>
          <w:tcPr>
            <w:tcW w:w="704" w:type="dxa"/>
            <w:noWrap w:val="0"/>
            <w:vAlign w:val="center"/>
          </w:tcPr>
          <w:p w14:paraId="132BE4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3396</w:t>
            </w:r>
          </w:p>
        </w:tc>
        <w:tc>
          <w:tcPr>
            <w:tcW w:w="682" w:type="dxa"/>
            <w:noWrap w:val="0"/>
            <w:vAlign w:val="center"/>
          </w:tcPr>
          <w:p w14:paraId="2C2AC4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2420</w:t>
            </w:r>
          </w:p>
        </w:tc>
        <w:tc>
          <w:tcPr>
            <w:tcW w:w="737" w:type="dxa"/>
            <w:noWrap w:val="0"/>
            <w:vAlign w:val="center"/>
          </w:tcPr>
          <w:p w14:paraId="0EAE91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662" w:type="dxa"/>
            <w:noWrap w:val="0"/>
            <w:vAlign w:val="center"/>
          </w:tcPr>
          <w:p w14:paraId="147F25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756" w:type="dxa"/>
            <w:noWrap w:val="0"/>
            <w:vAlign w:val="center"/>
          </w:tcPr>
          <w:p w14:paraId="7A040A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942" w:type="dxa"/>
            <w:noWrap w:val="0"/>
            <w:vAlign w:val="center"/>
          </w:tcPr>
          <w:p w14:paraId="61E7A3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035" w:type="dxa"/>
            <w:noWrap w:val="0"/>
            <w:vAlign w:val="center"/>
          </w:tcPr>
          <w:p w14:paraId="52BE60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r w14:paraId="517C0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12BE92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乌迳</w:t>
            </w:r>
          </w:p>
        </w:tc>
        <w:tc>
          <w:tcPr>
            <w:tcW w:w="889" w:type="dxa"/>
            <w:noWrap w:val="0"/>
            <w:vAlign w:val="center"/>
          </w:tcPr>
          <w:p w14:paraId="06B8FC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3.16</w:t>
            </w:r>
          </w:p>
        </w:tc>
        <w:tc>
          <w:tcPr>
            <w:tcW w:w="561" w:type="dxa"/>
            <w:noWrap w:val="0"/>
            <w:vAlign w:val="center"/>
          </w:tcPr>
          <w:p w14:paraId="4791D0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704" w:type="dxa"/>
            <w:noWrap w:val="0"/>
            <w:vAlign w:val="bottom"/>
          </w:tcPr>
          <w:p w14:paraId="23F2CC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633</w:t>
            </w:r>
          </w:p>
        </w:tc>
        <w:tc>
          <w:tcPr>
            <w:tcW w:w="704" w:type="dxa"/>
            <w:noWrap w:val="0"/>
            <w:vAlign w:val="bottom"/>
          </w:tcPr>
          <w:p w14:paraId="554BA3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2369</w:t>
            </w:r>
          </w:p>
        </w:tc>
        <w:tc>
          <w:tcPr>
            <w:tcW w:w="682" w:type="dxa"/>
            <w:noWrap w:val="0"/>
            <w:vAlign w:val="center"/>
          </w:tcPr>
          <w:p w14:paraId="406BB7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962</w:t>
            </w:r>
          </w:p>
        </w:tc>
        <w:tc>
          <w:tcPr>
            <w:tcW w:w="737" w:type="dxa"/>
            <w:noWrap w:val="0"/>
            <w:vAlign w:val="center"/>
          </w:tcPr>
          <w:p w14:paraId="744EED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1825</w:t>
            </w:r>
          </w:p>
        </w:tc>
        <w:tc>
          <w:tcPr>
            <w:tcW w:w="662" w:type="dxa"/>
            <w:noWrap w:val="0"/>
            <w:vAlign w:val="center"/>
          </w:tcPr>
          <w:p w14:paraId="6798C9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1118</w:t>
            </w:r>
          </w:p>
        </w:tc>
        <w:tc>
          <w:tcPr>
            <w:tcW w:w="756" w:type="dxa"/>
            <w:noWrap w:val="0"/>
            <w:vAlign w:val="center"/>
          </w:tcPr>
          <w:p w14:paraId="0A19C7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707</w:t>
            </w:r>
          </w:p>
        </w:tc>
        <w:tc>
          <w:tcPr>
            <w:tcW w:w="942" w:type="dxa"/>
            <w:noWrap w:val="0"/>
            <w:vAlign w:val="center"/>
          </w:tcPr>
          <w:p w14:paraId="191307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5406</w:t>
            </w:r>
          </w:p>
        </w:tc>
        <w:tc>
          <w:tcPr>
            <w:tcW w:w="1035" w:type="dxa"/>
            <w:noWrap w:val="0"/>
            <w:vAlign w:val="center"/>
          </w:tcPr>
          <w:p w14:paraId="72F0E3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12345</w:t>
            </w:r>
          </w:p>
        </w:tc>
      </w:tr>
      <w:tr w14:paraId="61DC8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28A8FA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山下</w:t>
            </w:r>
          </w:p>
        </w:tc>
        <w:tc>
          <w:tcPr>
            <w:tcW w:w="889" w:type="dxa"/>
            <w:noWrap w:val="0"/>
            <w:vAlign w:val="center"/>
          </w:tcPr>
          <w:p w14:paraId="798117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3.8</w:t>
            </w:r>
          </w:p>
        </w:tc>
        <w:tc>
          <w:tcPr>
            <w:tcW w:w="561" w:type="dxa"/>
            <w:noWrap w:val="0"/>
            <w:vAlign w:val="center"/>
          </w:tcPr>
          <w:p w14:paraId="0C6190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w:t>
            </w:r>
          </w:p>
        </w:tc>
        <w:tc>
          <w:tcPr>
            <w:tcW w:w="704" w:type="dxa"/>
            <w:noWrap w:val="0"/>
            <w:vAlign w:val="bottom"/>
          </w:tcPr>
          <w:p w14:paraId="2141D6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711</w:t>
            </w:r>
          </w:p>
        </w:tc>
        <w:tc>
          <w:tcPr>
            <w:tcW w:w="704" w:type="dxa"/>
            <w:noWrap w:val="0"/>
            <w:vAlign w:val="bottom"/>
          </w:tcPr>
          <w:p w14:paraId="6A112F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2115</w:t>
            </w:r>
          </w:p>
        </w:tc>
        <w:tc>
          <w:tcPr>
            <w:tcW w:w="682" w:type="dxa"/>
            <w:noWrap w:val="0"/>
            <w:vAlign w:val="center"/>
          </w:tcPr>
          <w:p w14:paraId="32FE93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561</w:t>
            </w:r>
          </w:p>
        </w:tc>
        <w:tc>
          <w:tcPr>
            <w:tcW w:w="737" w:type="dxa"/>
            <w:noWrap w:val="0"/>
            <w:vAlign w:val="center"/>
          </w:tcPr>
          <w:p w14:paraId="4FCAE4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2263</w:t>
            </w:r>
          </w:p>
        </w:tc>
        <w:tc>
          <w:tcPr>
            <w:tcW w:w="662" w:type="dxa"/>
            <w:noWrap w:val="0"/>
            <w:vAlign w:val="center"/>
          </w:tcPr>
          <w:p w14:paraId="4D7733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1266</w:t>
            </w:r>
          </w:p>
        </w:tc>
        <w:tc>
          <w:tcPr>
            <w:tcW w:w="756" w:type="dxa"/>
            <w:noWrap w:val="0"/>
            <w:vAlign w:val="center"/>
          </w:tcPr>
          <w:p w14:paraId="2E96A5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997</w:t>
            </w:r>
          </w:p>
        </w:tc>
        <w:tc>
          <w:tcPr>
            <w:tcW w:w="942" w:type="dxa"/>
            <w:noWrap w:val="0"/>
            <w:vAlign w:val="center"/>
          </w:tcPr>
          <w:p w14:paraId="1A0E2D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5179</w:t>
            </w:r>
          </w:p>
        </w:tc>
        <w:tc>
          <w:tcPr>
            <w:tcW w:w="1035" w:type="dxa"/>
            <w:noWrap w:val="0"/>
            <w:vAlign w:val="center"/>
          </w:tcPr>
          <w:p w14:paraId="20ED6F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11845</w:t>
            </w:r>
          </w:p>
        </w:tc>
      </w:tr>
      <w:tr w14:paraId="3A5F0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48E08C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鱼塘</w:t>
            </w:r>
          </w:p>
        </w:tc>
        <w:tc>
          <w:tcPr>
            <w:tcW w:w="889" w:type="dxa"/>
            <w:noWrap w:val="0"/>
            <w:vAlign w:val="center"/>
          </w:tcPr>
          <w:p w14:paraId="054084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561" w:type="dxa"/>
            <w:noWrap w:val="0"/>
            <w:vAlign w:val="center"/>
          </w:tcPr>
          <w:p w14:paraId="32A9BC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704" w:type="dxa"/>
            <w:noWrap w:val="0"/>
            <w:vAlign w:val="bottom"/>
          </w:tcPr>
          <w:p w14:paraId="739219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749</w:t>
            </w:r>
          </w:p>
        </w:tc>
        <w:tc>
          <w:tcPr>
            <w:tcW w:w="704" w:type="dxa"/>
            <w:noWrap w:val="0"/>
            <w:vAlign w:val="bottom"/>
          </w:tcPr>
          <w:p w14:paraId="229497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2331</w:t>
            </w:r>
          </w:p>
        </w:tc>
        <w:tc>
          <w:tcPr>
            <w:tcW w:w="682" w:type="dxa"/>
            <w:noWrap w:val="0"/>
            <w:vAlign w:val="center"/>
          </w:tcPr>
          <w:p w14:paraId="1746CD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965</w:t>
            </w:r>
          </w:p>
        </w:tc>
        <w:tc>
          <w:tcPr>
            <w:tcW w:w="737" w:type="dxa"/>
            <w:noWrap w:val="0"/>
            <w:vAlign w:val="center"/>
          </w:tcPr>
          <w:p w14:paraId="600358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2697</w:t>
            </w:r>
          </w:p>
        </w:tc>
        <w:tc>
          <w:tcPr>
            <w:tcW w:w="662" w:type="dxa"/>
            <w:noWrap w:val="0"/>
            <w:vAlign w:val="center"/>
          </w:tcPr>
          <w:p w14:paraId="6CCA78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2244</w:t>
            </w:r>
          </w:p>
        </w:tc>
        <w:tc>
          <w:tcPr>
            <w:tcW w:w="756" w:type="dxa"/>
            <w:noWrap w:val="0"/>
            <w:vAlign w:val="center"/>
          </w:tcPr>
          <w:p w14:paraId="5ADBEF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453</w:t>
            </w:r>
          </w:p>
        </w:tc>
        <w:tc>
          <w:tcPr>
            <w:tcW w:w="942" w:type="dxa"/>
            <w:noWrap w:val="0"/>
            <w:vAlign w:val="center"/>
          </w:tcPr>
          <w:p w14:paraId="2FA7EE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4657</w:t>
            </w:r>
          </w:p>
        </w:tc>
        <w:tc>
          <w:tcPr>
            <w:tcW w:w="1035" w:type="dxa"/>
            <w:noWrap w:val="0"/>
            <w:vAlign w:val="center"/>
          </w:tcPr>
          <w:p w14:paraId="0B42D9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10607</w:t>
            </w:r>
          </w:p>
        </w:tc>
      </w:tr>
      <w:tr w14:paraId="513CD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77DEF1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新田</w:t>
            </w:r>
          </w:p>
        </w:tc>
        <w:tc>
          <w:tcPr>
            <w:tcW w:w="889" w:type="dxa"/>
            <w:noWrap w:val="0"/>
            <w:vAlign w:val="center"/>
          </w:tcPr>
          <w:p w14:paraId="032B92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6.68</w:t>
            </w:r>
          </w:p>
        </w:tc>
        <w:tc>
          <w:tcPr>
            <w:tcW w:w="561" w:type="dxa"/>
            <w:noWrap w:val="0"/>
            <w:vAlign w:val="center"/>
          </w:tcPr>
          <w:p w14:paraId="49F76F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704" w:type="dxa"/>
            <w:noWrap w:val="0"/>
            <w:vAlign w:val="bottom"/>
          </w:tcPr>
          <w:p w14:paraId="0A3A99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776</w:t>
            </w:r>
          </w:p>
        </w:tc>
        <w:tc>
          <w:tcPr>
            <w:tcW w:w="704" w:type="dxa"/>
            <w:noWrap w:val="0"/>
            <w:vAlign w:val="bottom"/>
          </w:tcPr>
          <w:p w14:paraId="44BF33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2447</w:t>
            </w:r>
          </w:p>
        </w:tc>
        <w:tc>
          <w:tcPr>
            <w:tcW w:w="682" w:type="dxa"/>
            <w:noWrap w:val="0"/>
            <w:vAlign w:val="center"/>
          </w:tcPr>
          <w:p w14:paraId="6DA5CE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725</w:t>
            </w:r>
          </w:p>
        </w:tc>
        <w:tc>
          <w:tcPr>
            <w:tcW w:w="737" w:type="dxa"/>
            <w:noWrap w:val="0"/>
            <w:vAlign w:val="center"/>
          </w:tcPr>
          <w:p w14:paraId="3BB53B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2970</w:t>
            </w:r>
          </w:p>
        </w:tc>
        <w:tc>
          <w:tcPr>
            <w:tcW w:w="662" w:type="dxa"/>
            <w:noWrap w:val="0"/>
            <w:vAlign w:val="center"/>
          </w:tcPr>
          <w:p w14:paraId="56B0BC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1601</w:t>
            </w:r>
          </w:p>
        </w:tc>
        <w:tc>
          <w:tcPr>
            <w:tcW w:w="756" w:type="dxa"/>
            <w:noWrap w:val="0"/>
            <w:vAlign w:val="center"/>
          </w:tcPr>
          <w:p w14:paraId="798CBC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1369</w:t>
            </w:r>
          </w:p>
        </w:tc>
        <w:tc>
          <w:tcPr>
            <w:tcW w:w="942" w:type="dxa"/>
            <w:noWrap w:val="0"/>
            <w:vAlign w:val="center"/>
          </w:tcPr>
          <w:p w14:paraId="0698AC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4715</w:t>
            </w:r>
          </w:p>
        </w:tc>
        <w:tc>
          <w:tcPr>
            <w:tcW w:w="1035" w:type="dxa"/>
            <w:noWrap w:val="0"/>
            <w:vAlign w:val="center"/>
          </w:tcPr>
          <w:p w14:paraId="1B389E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10556</w:t>
            </w:r>
          </w:p>
        </w:tc>
      </w:tr>
      <w:tr w14:paraId="25BC7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40AB90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高溯</w:t>
            </w:r>
          </w:p>
        </w:tc>
        <w:tc>
          <w:tcPr>
            <w:tcW w:w="889" w:type="dxa"/>
            <w:noWrap w:val="0"/>
            <w:vAlign w:val="center"/>
          </w:tcPr>
          <w:p w14:paraId="073C24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4.41</w:t>
            </w:r>
          </w:p>
        </w:tc>
        <w:tc>
          <w:tcPr>
            <w:tcW w:w="561" w:type="dxa"/>
            <w:noWrap w:val="0"/>
            <w:vAlign w:val="center"/>
          </w:tcPr>
          <w:p w14:paraId="1B58CA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704" w:type="dxa"/>
            <w:noWrap w:val="0"/>
            <w:vAlign w:val="bottom"/>
          </w:tcPr>
          <w:p w14:paraId="502109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855</w:t>
            </w:r>
          </w:p>
        </w:tc>
        <w:tc>
          <w:tcPr>
            <w:tcW w:w="704" w:type="dxa"/>
            <w:noWrap w:val="0"/>
            <w:vAlign w:val="bottom"/>
          </w:tcPr>
          <w:p w14:paraId="253773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2647</w:t>
            </w:r>
          </w:p>
        </w:tc>
        <w:tc>
          <w:tcPr>
            <w:tcW w:w="682" w:type="dxa"/>
            <w:noWrap w:val="0"/>
            <w:vAlign w:val="center"/>
          </w:tcPr>
          <w:p w14:paraId="2B28F2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456</w:t>
            </w:r>
          </w:p>
        </w:tc>
        <w:tc>
          <w:tcPr>
            <w:tcW w:w="737" w:type="dxa"/>
            <w:noWrap w:val="0"/>
            <w:vAlign w:val="center"/>
          </w:tcPr>
          <w:p w14:paraId="4A5DB2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2650</w:t>
            </w:r>
          </w:p>
        </w:tc>
        <w:tc>
          <w:tcPr>
            <w:tcW w:w="662" w:type="dxa"/>
            <w:noWrap w:val="0"/>
            <w:vAlign w:val="center"/>
          </w:tcPr>
          <w:p w14:paraId="76C38C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1696</w:t>
            </w:r>
          </w:p>
        </w:tc>
        <w:tc>
          <w:tcPr>
            <w:tcW w:w="756" w:type="dxa"/>
            <w:noWrap w:val="0"/>
            <w:vAlign w:val="center"/>
          </w:tcPr>
          <w:p w14:paraId="60BC61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954</w:t>
            </w:r>
          </w:p>
        </w:tc>
        <w:tc>
          <w:tcPr>
            <w:tcW w:w="942" w:type="dxa"/>
            <w:noWrap w:val="0"/>
            <w:vAlign w:val="center"/>
          </w:tcPr>
          <w:p w14:paraId="622C26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5371</w:t>
            </w:r>
          </w:p>
        </w:tc>
        <w:tc>
          <w:tcPr>
            <w:tcW w:w="1035" w:type="dxa"/>
            <w:noWrap w:val="0"/>
            <w:vAlign w:val="center"/>
          </w:tcPr>
          <w:p w14:paraId="50670F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10733</w:t>
            </w:r>
          </w:p>
        </w:tc>
      </w:tr>
      <w:tr w14:paraId="6E620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5DFF55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长龙</w:t>
            </w:r>
          </w:p>
        </w:tc>
        <w:tc>
          <w:tcPr>
            <w:tcW w:w="889" w:type="dxa"/>
            <w:noWrap w:val="0"/>
            <w:vAlign w:val="center"/>
          </w:tcPr>
          <w:p w14:paraId="5C073A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5.82</w:t>
            </w:r>
          </w:p>
        </w:tc>
        <w:tc>
          <w:tcPr>
            <w:tcW w:w="561" w:type="dxa"/>
            <w:noWrap w:val="0"/>
            <w:vAlign w:val="center"/>
          </w:tcPr>
          <w:p w14:paraId="20E828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704" w:type="dxa"/>
            <w:noWrap w:val="0"/>
            <w:vAlign w:val="bottom"/>
          </w:tcPr>
          <w:p w14:paraId="3DE76F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786</w:t>
            </w:r>
          </w:p>
        </w:tc>
        <w:tc>
          <w:tcPr>
            <w:tcW w:w="704" w:type="dxa"/>
            <w:noWrap w:val="0"/>
            <w:vAlign w:val="bottom"/>
          </w:tcPr>
          <w:p w14:paraId="5C9E69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2331</w:t>
            </w:r>
          </w:p>
        </w:tc>
        <w:tc>
          <w:tcPr>
            <w:tcW w:w="682" w:type="dxa"/>
            <w:noWrap w:val="0"/>
            <w:vAlign w:val="center"/>
          </w:tcPr>
          <w:p w14:paraId="4CCE20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984</w:t>
            </w:r>
          </w:p>
        </w:tc>
        <w:tc>
          <w:tcPr>
            <w:tcW w:w="737" w:type="dxa"/>
            <w:noWrap w:val="0"/>
            <w:vAlign w:val="center"/>
          </w:tcPr>
          <w:p w14:paraId="671B51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3130</w:t>
            </w:r>
          </w:p>
        </w:tc>
        <w:tc>
          <w:tcPr>
            <w:tcW w:w="662" w:type="dxa"/>
            <w:noWrap w:val="0"/>
            <w:vAlign w:val="center"/>
          </w:tcPr>
          <w:p w14:paraId="1A5AC5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1887</w:t>
            </w:r>
          </w:p>
        </w:tc>
        <w:tc>
          <w:tcPr>
            <w:tcW w:w="756" w:type="dxa"/>
            <w:noWrap w:val="0"/>
            <w:vAlign w:val="center"/>
          </w:tcPr>
          <w:p w14:paraId="4E7BAA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1243</w:t>
            </w:r>
          </w:p>
        </w:tc>
        <w:tc>
          <w:tcPr>
            <w:tcW w:w="942" w:type="dxa"/>
            <w:noWrap w:val="0"/>
            <w:vAlign w:val="center"/>
          </w:tcPr>
          <w:p w14:paraId="40D6B7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4850</w:t>
            </w:r>
          </w:p>
        </w:tc>
        <w:tc>
          <w:tcPr>
            <w:tcW w:w="1035" w:type="dxa"/>
            <w:noWrap w:val="0"/>
            <w:vAlign w:val="center"/>
          </w:tcPr>
          <w:p w14:paraId="5E41E2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11412</w:t>
            </w:r>
          </w:p>
        </w:tc>
      </w:tr>
      <w:tr w14:paraId="7060B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7ECA5E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白龙</w:t>
            </w:r>
          </w:p>
        </w:tc>
        <w:tc>
          <w:tcPr>
            <w:tcW w:w="889" w:type="dxa"/>
            <w:noWrap w:val="0"/>
            <w:vAlign w:val="center"/>
          </w:tcPr>
          <w:p w14:paraId="29338E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6.11</w:t>
            </w:r>
          </w:p>
        </w:tc>
        <w:tc>
          <w:tcPr>
            <w:tcW w:w="561" w:type="dxa"/>
            <w:noWrap w:val="0"/>
            <w:vAlign w:val="center"/>
          </w:tcPr>
          <w:p w14:paraId="6B9788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704" w:type="dxa"/>
            <w:noWrap w:val="0"/>
            <w:vAlign w:val="bottom"/>
          </w:tcPr>
          <w:p w14:paraId="0044E6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403</w:t>
            </w:r>
          </w:p>
        </w:tc>
        <w:tc>
          <w:tcPr>
            <w:tcW w:w="704" w:type="dxa"/>
            <w:noWrap w:val="0"/>
            <w:vAlign w:val="bottom"/>
          </w:tcPr>
          <w:p w14:paraId="4F0DB8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1166</w:t>
            </w:r>
          </w:p>
        </w:tc>
        <w:tc>
          <w:tcPr>
            <w:tcW w:w="682" w:type="dxa"/>
            <w:noWrap w:val="0"/>
            <w:vAlign w:val="center"/>
          </w:tcPr>
          <w:p w14:paraId="663513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736</w:t>
            </w:r>
          </w:p>
        </w:tc>
        <w:tc>
          <w:tcPr>
            <w:tcW w:w="737" w:type="dxa"/>
            <w:noWrap w:val="0"/>
            <w:vAlign w:val="center"/>
          </w:tcPr>
          <w:p w14:paraId="394A1F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1933</w:t>
            </w:r>
          </w:p>
        </w:tc>
        <w:tc>
          <w:tcPr>
            <w:tcW w:w="662" w:type="dxa"/>
            <w:noWrap w:val="0"/>
            <w:vAlign w:val="center"/>
          </w:tcPr>
          <w:p w14:paraId="553B68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1096</w:t>
            </w:r>
          </w:p>
        </w:tc>
        <w:tc>
          <w:tcPr>
            <w:tcW w:w="756" w:type="dxa"/>
            <w:noWrap w:val="0"/>
            <w:vAlign w:val="center"/>
          </w:tcPr>
          <w:p w14:paraId="560FC8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837</w:t>
            </w:r>
          </w:p>
        </w:tc>
        <w:tc>
          <w:tcPr>
            <w:tcW w:w="942" w:type="dxa"/>
            <w:noWrap w:val="0"/>
            <w:vAlign w:val="center"/>
          </w:tcPr>
          <w:p w14:paraId="7B21D1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2493</w:t>
            </w:r>
          </w:p>
        </w:tc>
        <w:tc>
          <w:tcPr>
            <w:tcW w:w="1035" w:type="dxa"/>
            <w:noWrap w:val="0"/>
            <w:vAlign w:val="center"/>
          </w:tcPr>
          <w:p w14:paraId="4102BD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11856</w:t>
            </w:r>
          </w:p>
        </w:tc>
      </w:tr>
      <w:tr w14:paraId="5F922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13BF65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坪塘</w:t>
            </w:r>
          </w:p>
        </w:tc>
        <w:tc>
          <w:tcPr>
            <w:tcW w:w="889" w:type="dxa"/>
            <w:noWrap w:val="0"/>
            <w:vAlign w:val="center"/>
          </w:tcPr>
          <w:p w14:paraId="664EA9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5.07</w:t>
            </w:r>
          </w:p>
        </w:tc>
        <w:tc>
          <w:tcPr>
            <w:tcW w:w="561" w:type="dxa"/>
            <w:noWrap w:val="0"/>
            <w:vAlign w:val="center"/>
          </w:tcPr>
          <w:p w14:paraId="4143BB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704" w:type="dxa"/>
            <w:noWrap w:val="0"/>
            <w:vAlign w:val="bottom"/>
          </w:tcPr>
          <w:p w14:paraId="3541F2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779</w:t>
            </w:r>
          </w:p>
        </w:tc>
        <w:tc>
          <w:tcPr>
            <w:tcW w:w="704" w:type="dxa"/>
            <w:noWrap w:val="0"/>
            <w:vAlign w:val="bottom"/>
          </w:tcPr>
          <w:p w14:paraId="72A3F9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2177</w:t>
            </w:r>
          </w:p>
        </w:tc>
        <w:tc>
          <w:tcPr>
            <w:tcW w:w="682" w:type="dxa"/>
            <w:noWrap w:val="0"/>
            <w:vAlign w:val="center"/>
          </w:tcPr>
          <w:p w14:paraId="7DADC2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773</w:t>
            </w:r>
          </w:p>
        </w:tc>
        <w:tc>
          <w:tcPr>
            <w:tcW w:w="737" w:type="dxa"/>
            <w:noWrap w:val="0"/>
            <w:vAlign w:val="center"/>
          </w:tcPr>
          <w:p w14:paraId="214DEB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2866</w:t>
            </w:r>
          </w:p>
        </w:tc>
        <w:tc>
          <w:tcPr>
            <w:tcW w:w="662" w:type="dxa"/>
            <w:noWrap w:val="0"/>
            <w:vAlign w:val="center"/>
          </w:tcPr>
          <w:p w14:paraId="3CB3AF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1560</w:t>
            </w:r>
          </w:p>
        </w:tc>
        <w:tc>
          <w:tcPr>
            <w:tcW w:w="756" w:type="dxa"/>
            <w:noWrap w:val="0"/>
            <w:vAlign w:val="center"/>
          </w:tcPr>
          <w:p w14:paraId="7FC434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1306</w:t>
            </w:r>
          </w:p>
        </w:tc>
        <w:tc>
          <w:tcPr>
            <w:tcW w:w="942" w:type="dxa"/>
            <w:noWrap w:val="0"/>
            <w:vAlign w:val="center"/>
          </w:tcPr>
          <w:p w14:paraId="29699A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5075</w:t>
            </w:r>
          </w:p>
        </w:tc>
        <w:tc>
          <w:tcPr>
            <w:tcW w:w="1035" w:type="dxa"/>
            <w:noWrap w:val="0"/>
            <w:vAlign w:val="center"/>
          </w:tcPr>
          <w:p w14:paraId="4508AE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11191</w:t>
            </w:r>
          </w:p>
        </w:tc>
      </w:tr>
      <w:tr w14:paraId="0BA7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46B3C0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响联</w:t>
            </w:r>
          </w:p>
        </w:tc>
        <w:tc>
          <w:tcPr>
            <w:tcW w:w="889" w:type="dxa"/>
            <w:noWrap w:val="0"/>
            <w:vAlign w:val="center"/>
          </w:tcPr>
          <w:p w14:paraId="6030AB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3.91</w:t>
            </w:r>
          </w:p>
        </w:tc>
        <w:tc>
          <w:tcPr>
            <w:tcW w:w="561" w:type="dxa"/>
            <w:noWrap w:val="0"/>
            <w:vAlign w:val="center"/>
          </w:tcPr>
          <w:p w14:paraId="2CFD3D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704" w:type="dxa"/>
            <w:noWrap w:val="0"/>
            <w:vAlign w:val="bottom"/>
          </w:tcPr>
          <w:p w14:paraId="6D3FEC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414</w:t>
            </w:r>
          </w:p>
        </w:tc>
        <w:tc>
          <w:tcPr>
            <w:tcW w:w="704" w:type="dxa"/>
            <w:noWrap w:val="0"/>
            <w:vAlign w:val="bottom"/>
          </w:tcPr>
          <w:p w14:paraId="05EC3F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1294</w:t>
            </w:r>
          </w:p>
        </w:tc>
        <w:tc>
          <w:tcPr>
            <w:tcW w:w="682" w:type="dxa"/>
            <w:noWrap w:val="0"/>
            <w:vAlign w:val="center"/>
          </w:tcPr>
          <w:p w14:paraId="31DD95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392</w:t>
            </w:r>
          </w:p>
        </w:tc>
        <w:tc>
          <w:tcPr>
            <w:tcW w:w="737" w:type="dxa"/>
            <w:noWrap w:val="0"/>
            <w:vAlign w:val="center"/>
          </w:tcPr>
          <w:p w14:paraId="0CD7B9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1785</w:t>
            </w:r>
          </w:p>
        </w:tc>
        <w:tc>
          <w:tcPr>
            <w:tcW w:w="662" w:type="dxa"/>
            <w:noWrap w:val="0"/>
            <w:vAlign w:val="center"/>
          </w:tcPr>
          <w:p w14:paraId="433DCA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853</w:t>
            </w:r>
          </w:p>
        </w:tc>
        <w:tc>
          <w:tcPr>
            <w:tcW w:w="756" w:type="dxa"/>
            <w:noWrap w:val="0"/>
            <w:vAlign w:val="center"/>
          </w:tcPr>
          <w:p w14:paraId="4D3116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932</w:t>
            </w:r>
          </w:p>
        </w:tc>
        <w:tc>
          <w:tcPr>
            <w:tcW w:w="942" w:type="dxa"/>
            <w:noWrap w:val="0"/>
            <w:vAlign w:val="center"/>
          </w:tcPr>
          <w:p w14:paraId="55CA28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2585</w:t>
            </w:r>
          </w:p>
        </w:tc>
        <w:tc>
          <w:tcPr>
            <w:tcW w:w="1035" w:type="dxa"/>
            <w:noWrap w:val="0"/>
            <w:vAlign w:val="center"/>
          </w:tcPr>
          <w:p w14:paraId="02ADDA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11741</w:t>
            </w:r>
          </w:p>
        </w:tc>
      </w:tr>
      <w:tr w14:paraId="40C08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1B3E27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龙迳</w:t>
            </w:r>
          </w:p>
        </w:tc>
        <w:tc>
          <w:tcPr>
            <w:tcW w:w="889" w:type="dxa"/>
            <w:noWrap w:val="0"/>
            <w:vAlign w:val="center"/>
          </w:tcPr>
          <w:p w14:paraId="6956BC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3.8</w:t>
            </w:r>
          </w:p>
        </w:tc>
        <w:tc>
          <w:tcPr>
            <w:tcW w:w="561" w:type="dxa"/>
            <w:noWrap w:val="0"/>
            <w:vAlign w:val="center"/>
          </w:tcPr>
          <w:p w14:paraId="6368BA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704" w:type="dxa"/>
            <w:noWrap w:val="0"/>
            <w:vAlign w:val="bottom"/>
          </w:tcPr>
          <w:p w14:paraId="14F53D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443</w:t>
            </w:r>
          </w:p>
        </w:tc>
        <w:tc>
          <w:tcPr>
            <w:tcW w:w="704" w:type="dxa"/>
            <w:noWrap w:val="0"/>
            <w:vAlign w:val="bottom"/>
          </w:tcPr>
          <w:p w14:paraId="350115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1343</w:t>
            </w:r>
          </w:p>
        </w:tc>
        <w:tc>
          <w:tcPr>
            <w:tcW w:w="682" w:type="dxa"/>
            <w:noWrap w:val="0"/>
            <w:vAlign w:val="center"/>
          </w:tcPr>
          <w:p w14:paraId="4E8A71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465</w:t>
            </w:r>
          </w:p>
        </w:tc>
        <w:tc>
          <w:tcPr>
            <w:tcW w:w="737" w:type="dxa"/>
            <w:noWrap w:val="0"/>
            <w:vAlign w:val="center"/>
          </w:tcPr>
          <w:p w14:paraId="3579D5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1991</w:t>
            </w:r>
          </w:p>
        </w:tc>
        <w:tc>
          <w:tcPr>
            <w:tcW w:w="662" w:type="dxa"/>
            <w:noWrap w:val="0"/>
            <w:vAlign w:val="center"/>
          </w:tcPr>
          <w:p w14:paraId="591D47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957</w:t>
            </w:r>
          </w:p>
        </w:tc>
        <w:tc>
          <w:tcPr>
            <w:tcW w:w="756" w:type="dxa"/>
            <w:noWrap w:val="0"/>
            <w:vAlign w:val="center"/>
          </w:tcPr>
          <w:p w14:paraId="75F64E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1034</w:t>
            </w:r>
          </w:p>
        </w:tc>
        <w:tc>
          <w:tcPr>
            <w:tcW w:w="942" w:type="dxa"/>
            <w:noWrap w:val="0"/>
            <w:vAlign w:val="center"/>
          </w:tcPr>
          <w:p w14:paraId="4A13C3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2777</w:t>
            </w:r>
          </w:p>
        </w:tc>
        <w:tc>
          <w:tcPr>
            <w:tcW w:w="1035" w:type="dxa"/>
            <w:noWrap w:val="0"/>
            <w:vAlign w:val="center"/>
          </w:tcPr>
          <w:p w14:paraId="66D253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11535</w:t>
            </w:r>
          </w:p>
        </w:tc>
      </w:tr>
      <w:tr w14:paraId="74C33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79D020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黄塘</w:t>
            </w:r>
          </w:p>
        </w:tc>
        <w:tc>
          <w:tcPr>
            <w:tcW w:w="889" w:type="dxa"/>
            <w:noWrap w:val="0"/>
            <w:vAlign w:val="center"/>
          </w:tcPr>
          <w:p w14:paraId="4544E9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4.96</w:t>
            </w:r>
          </w:p>
        </w:tc>
        <w:tc>
          <w:tcPr>
            <w:tcW w:w="561" w:type="dxa"/>
            <w:noWrap w:val="0"/>
            <w:vAlign w:val="center"/>
          </w:tcPr>
          <w:p w14:paraId="1708DC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704" w:type="dxa"/>
            <w:noWrap w:val="0"/>
            <w:vAlign w:val="bottom"/>
          </w:tcPr>
          <w:p w14:paraId="1809A6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804</w:t>
            </w:r>
          </w:p>
        </w:tc>
        <w:tc>
          <w:tcPr>
            <w:tcW w:w="704" w:type="dxa"/>
            <w:noWrap w:val="0"/>
            <w:vAlign w:val="bottom"/>
          </w:tcPr>
          <w:p w14:paraId="5AC25E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2643</w:t>
            </w:r>
          </w:p>
        </w:tc>
        <w:tc>
          <w:tcPr>
            <w:tcW w:w="682" w:type="dxa"/>
            <w:noWrap w:val="0"/>
            <w:vAlign w:val="center"/>
          </w:tcPr>
          <w:p w14:paraId="45B5FE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1387</w:t>
            </w:r>
          </w:p>
        </w:tc>
        <w:tc>
          <w:tcPr>
            <w:tcW w:w="737" w:type="dxa"/>
            <w:noWrap w:val="0"/>
            <w:vAlign w:val="center"/>
          </w:tcPr>
          <w:p w14:paraId="20B822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3396</w:t>
            </w:r>
          </w:p>
        </w:tc>
        <w:tc>
          <w:tcPr>
            <w:tcW w:w="662" w:type="dxa"/>
            <w:noWrap w:val="0"/>
            <w:vAlign w:val="center"/>
          </w:tcPr>
          <w:p w14:paraId="29619D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1140</w:t>
            </w:r>
          </w:p>
        </w:tc>
        <w:tc>
          <w:tcPr>
            <w:tcW w:w="756" w:type="dxa"/>
            <w:noWrap w:val="0"/>
            <w:vAlign w:val="center"/>
          </w:tcPr>
          <w:p w14:paraId="24742A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2256</w:t>
            </w:r>
          </w:p>
        </w:tc>
        <w:tc>
          <w:tcPr>
            <w:tcW w:w="942" w:type="dxa"/>
            <w:noWrap w:val="0"/>
            <w:vAlign w:val="center"/>
          </w:tcPr>
          <w:p w14:paraId="4E55D7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5352</w:t>
            </w:r>
          </w:p>
        </w:tc>
        <w:tc>
          <w:tcPr>
            <w:tcW w:w="1035" w:type="dxa"/>
            <w:noWrap w:val="0"/>
            <w:vAlign w:val="center"/>
          </w:tcPr>
          <w:p w14:paraId="0A226F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11484</w:t>
            </w:r>
          </w:p>
        </w:tc>
      </w:tr>
      <w:tr w14:paraId="2E1D1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333C25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官门楼</w:t>
            </w:r>
          </w:p>
        </w:tc>
        <w:tc>
          <w:tcPr>
            <w:tcW w:w="889" w:type="dxa"/>
            <w:noWrap w:val="0"/>
            <w:vAlign w:val="center"/>
          </w:tcPr>
          <w:p w14:paraId="269689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3.1</w:t>
            </w:r>
          </w:p>
        </w:tc>
        <w:tc>
          <w:tcPr>
            <w:tcW w:w="561" w:type="dxa"/>
            <w:noWrap w:val="0"/>
            <w:vAlign w:val="center"/>
          </w:tcPr>
          <w:p w14:paraId="1CC444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704" w:type="dxa"/>
            <w:noWrap w:val="0"/>
            <w:vAlign w:val="bottom"/>
          </w:tcPr>
          <w:p w14:paraId="12D34E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506</w:t>
            </w:r>
          </w:p>
        </w:tc>
        <w:tc>
          <w:tcPr>
            <w:tcW w:w="704" w:type="dxa"/>
            <w:noWrap w:val="0"/>
            <w:vAlign w:val="bottom"/>
          </w:tcPr>
          <w:p w14:paraId="6228A3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1619</w:t>
            </w:r>
          </w:p>
        </w:tc>
        <w:tc>
          <w:tcPr>
            <w:tcW w:w="682" w:type="dxa"/>
            <w:noWrap w:val="0"/>
            <w:vAlign w:val="center"/>
          </w:tcPr>
          <w:p w14:paraId="1386D8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680</w:t>
            </w:r>
          </w:p>
        </w:tc>
        <w:tc>
          <w:tcPr>
            <w:tcW w:w="737" w:type="dxa"/>
            <w:noWrap w:val="0"/>
            <w:vAlign w:val="center"/>
          </w:tcPr>
          <w:p w14:paraId="65D89B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1943</w:t>
            </w:r>
          </w:p>
        </w:tc>
        <w:tc>
          <w:tcPr>
            <w:tcW w:w="662" w:type="dxa"/>
            <w:noWrap w:val="0"/>
            <w:vAlign w:val="center"/>
          </w:tcPr>
          <w:p w14:paraId="2DEC83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1101</w:t>
            </w:r>
          </w:p>
        </w:tc>
        <w:tc>
          <w:tcPr>
            <w:tcW w:w="756" w:type="dxa"/>
            <w:noWrap w:val="0"/>
            <w:vAlign w:val="center"/>
          </w:tcPr>
          <w:p w14:paraId="37C2C1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842</w:t>
            </w:r>
          </w:p>
        </w:tc>
        <w:tc>
          <w:tcPr>
            <w:tcW w:w="942" w:type="dxa"/>
            <w:noWrap w:val="0"/>
            <w:vAlign w:val="center"/>
          </w:tcPr>
          <w:p w14:paraId="768870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3185</w:t>
            </w:r>
          </w:p>
        </w:tc>
        <w:tc>
          <w:tcPr>
            <w:tcW w:w="1035" w:type="dxa"/>
            <w:noWrap w:val="0"/>
            <w:vAlign w:val="center"/>
          </w:tcPr>
          <w:p w14:paraId="7C01D2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10542</w:t>
            </w:r>
          </w:p>
        </w:tc>
      </w:tr>
      <w:tr w14:paraId="21BDB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483E62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孔塘</w:t>
            </w:r>
          </w:p>
        </w:tc>
        <w:tc>
          <w:tcPr>
            <w:tcW w:w="889" w:type="dxa"/>
            <w:noWrap w:val="0"/>
            <w:vAlign w:val="center"/>
          </w:tcPr>
          <w:p w14:paraId="77F2C6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10.26</w:t>
            </w:r>
          </w:p>
        </w:tc>
        <w:tc>
          <w:tcPr>
            <w:tcW w:w="561" w:type="dxa"/>
            <w:noWrap w:val="0"/>
            <w:vAlign w:val="center"/>
          </w:tcPr>
          <w:p w14:paraId="3E0B0C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w:t>
            </w:r>
          </w:p>
        </w:tc>
        <w:tc>
          <w:tcPr>
            <w:tcW w:w="704" w:type="dxa"/>
            <w:noWrap w:val="0"/>
            <w:vAlign w:val="bottom"/>
          </w:tcPr>
          <w:p w14:paraId="4DEE55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634</w:t>
            </w:r>
          </w:p>
        </w:tc>
        <w:tc>
          <w:tcPr>
            <w:tcW w:w="704" w:type="dxa"/>
            <w:noWrap w:val="0"/>
            <w:vAlign w:val="bottom"/>
          </w:tcPr>
          <w:p w14:paraId="78E78E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2302</w:t>
            </w:r>
          </w:p>
        </w:tc>
        <w:tc>
          <w:tcPr>
            <w:tcW w:w="682" w:type="dxa"/>
            <w:noWrap w:val="0"/>
            <w:vAlign w:val="center"/>
          </w:tcPr>
          <w:p w14:paraId="7964F6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829</w:t>
            </w:r>
          </w:p>
        </w:tc>
        <w:tc>
          <w:tcPr>
            <w:tcW w:w="737" w:type="dxa"/>
            <w:noWrap w:val="0"/>
            <w:vAlign w:val="center"/>
          </w:tcPr>
          <w:p w14:paraId="1DEE25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2197</w:t>
            </w:r>
          </w:p>
        </w:tc>
        <w:tc>
          <w:tcPr>
            <w:tcW w:w="662" w:type="dxa"/>
            <w:noWrap w:val="0"/>
            <w:vAlign w:val="center"/>
          </w:tcPr>
          <w:p w14:paraId="764314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1933</w:t>
            </w:r>
          </w:p>
        </w:tc>
        <w:tc>
          <w:tcPr>
            <w:tcW w:w="756" w:type="dxa"/>
            <w:noWrap w:val="0"/>
            <w:vAlign w:val="center"/>
          </w:tcPr>
          <w:p w14:paraId="3A4D08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264</w:t>
            </w:r>
          </w:p>
        </w:tc>
        <w:tc>
          <w:tcPr>
            <w:tcW w:w="942" w:type="dxa"/>
            <w:noWrap w:val="0"/>
            <w:vAlign w:val="center"/>
          </w:tcPr>
          <w:p w14:paraId="3216D5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4627</w:t>
            </w:r>
          </w:p>
        </w:tc>
        <w:tc>
          <w:tcPr>
            <w:tcW w:w="1035" w:type="dxa"/>
            <w:noWrap w:val="0"/>
            <w:vAlign w:val="center"/>
          </w:tcPr>
          <w:p w14:paraId="3C95BA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10749</w:t>
            </w:r>
          </w:p>
        </w:tc>
      </w:tr>
      <w:tr w14:paraId="75DA7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67A208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庙前</w:t>
            </w:r>
          </w:p>
        </w:tc>
        <w:tc>
          <w:tcPr>
            <w:tcW w:w="889" w:type="dxa"/>
            <w:noWrap w:val="0"/>
            <w:vAlign w:val="center"/>
          </w:tcPr>
          <w:p w14:paraId="1AD16E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8.44</w:t>
            </w:r>
          </w:p>
        </w:tc>
        <w:tc>
          <w:tcPr>
            <w:tcW w:w="561" w:type="dxa"/>
            <w:noWrap w:val="0"/>
            <w:vAlign w:val="center"/>
          </w:tcPr>
          <w:p w14:paraId="335012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704" w:type="dxa"/>
            <w:noWrap w:val="0"/>
            <w:vAlign w:val="bottom"/>
          </w:tcPr>
          <w:p w14:paraId="1B3514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479</w:t>
            </w:r>
          </w:p>
        </w:tc>
        <w:tc>
          <w:tcPr>
            <w:tcW w:w="704" w:type="dxa"/>
            <w:noWrap w:val="0"/>
            <w:vAlign w:val="bottom"/>
          </w:tcPr>
          <w:p w14:paraId="1938A1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1739</w:t>
            </w:r>
          </w:p>
        </w:tc>
        <w:tc>
          <w:tcPr>
            <w:tcW w:w="682" w:type="dxa"/>
            <w:noWrap w:val="0"/>
            <w:vAlign w:val="center"/>
          </w:tcPr>
          <w:p w14:paraId="28420B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530</w:t>
            </w:r>
          </w:p>
        </w:tc>
        <w:tc>
          <w:tcPr>
            <w:tcW w:w="737" w:type="dxa"/>
            <w:noWrap w:val="0"/>
            <w:vAlign w:val="center"/>
          </w:tcPr>
          <w:p w14:paraId="39E1E6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1895</w:t>
            </w:r>
          </w:p>
        </w:tc>
        <w:tc>
          <w:tcPr>
            <w:tcW w:w="662" w:type="dxa"/>
            <w:noWrap w:val="0"/>
            <w:vAlign w:val="center"/>
          </w:tcPr>
          <w:p w14:paraId="20C6DF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1574</w:t>
            </w:r>
          </w:p>
        </w:tc>
        <w:tc>
          <w:tcPr>
            <w:tcW w:w="756" w:type="dxa"/>
            <w:noWrap w:val="0"/>
            <w:vAlign w:val="center"/>
          </w:tcPr>
          <w:p w14:paraId="60F31F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321</w:t>
            </w:r>
          </w:p>
        </w:tc>
        <w:tc>
          <w:tcPr>
            <w:tcW w:w="942" w:type="dxa"/>
            <w:noWrap w:val="0"/>
            <w:vAlign w:val="center"/>
          </w:tcPr>
          <w:p w14:paraId="4EBCDC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3434</w:t>
            </w:r>
          </w:p>
        </w:tc>
        <w:tc>
          <w:tcPr>
            <w:tcW w:w="1035" w:type="dxa"/>
            <w:noWrap w:val="0"/>
            <w:vAlign w:val="center"/>
          </w:tcPr>
          <w:p w14:paraId="225538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11487</w:t>
            </w:r>
          </w:p>
        </w:tc>
      </w:tr>
      <w:tr w14:paraId="6C7F5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6232FC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水松</w:t>
            </w:r>
          </w:p>
        </w:tc>
        <w:tc>
          <w:tcPr>
            <w:tcW w:w="889" w:type="dxa"/>
            <w:noWrap w:val="0"/>
            <w:vAlign w:val="center"/>
          </w:tcPr>
          <w:p w14:paraId="58C178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7.27</w:t>
            </w:r>
          </w:p>
        </w:tc>
        <w:tc>
          <w:tcPr>
            <w:tcW w:w="561" w:type="dxa"/>
            <w:noWrap w:val="0"/>
            <w:vAlign w:val="center"/>
          </w:tcPr>
          <w:p w14:paraId="689E08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w:t>
            </w:r>
          </w:p>
        </w:tc>
        <w:tc>
          <w:tcPr>
            <w:tcW w:w="704" w:type="dxa"/>
            <w:noWrap w:val="0"/>
            <w:vAlign w:val="bottom"/>
          </w:tcPr>
          <w:p w14:paraId="64DE8F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769</w:t>
            </w:r>
          </w:p>
        </w:tc>
        <w:tc>
          <w:tcPr>
            <w:tcW w:w="704" w:type="dxa"/>
            <w:noWrap w:val="0"/>
            <w:vAlign w:val="bottom"/>
          </w:tcPr>
          <w:p w14:paraId="4E2AD6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2462</w:t>
            </w:r>
          </w:p>
        </w:tc>
        <w:tc>
          <w:tcPr>
            <w:tcW w:w="682" w:type="dxa"/>
            <w:noWrap w:val="0"/>
            <w:vAlign w:val="center"/>
          </w:tcPr>
          <w:p w14:paraId="4FAE5C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973</w:t>
            </w:r>
          </w:p>
        </w:tc>
        <w:tc>
          <w:tcPr>
            <w:tcW w:w="737" w:type="dxa"/>
            <w:noWrap w:val="0"/>
            <w:vAlign w:val="center"/>
          </w:tcPr>
          <w:p w14:paraId="51AD41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2963</w:t>
            </w:r>
          </w:p>
        </w:tc>
        <w:tc>
          <w:tcPr>
            <w:tcW w:w="662" w:type="dxa"/>
            <w:noWrap w:val="0"/>
            <w:vAlign w:val="center"/>
          </w:tcPr>
          <w:p w14:paraId="0531E2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1920</w:t>
            </w:r>
          </w:p>
        </w:tc>
        <w:tc>
          <w:tcPr>
            <w:tcW w:w="756" w:type="dxa"/>
            <w:noWrap w:val="0"/>
            <w:vAlign w:val="center"/>
          </w:tcPr>
          <w:p w14:paraId="56F982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1043</w:t>
            </w:r>
          </w:p>
        </w:tc>
        <w:tc>
          <w:tcPr>
            <w:tcW w:w="942" w:type="dxa"/>
            <w:noWrap w:val="0"/>
            <w:vAlign w:val="center"/>
          </w:tcPr>
          <w:p w14:paraId="1A9DFE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5146</w:t>
            </w:r>
          </w:p>
        </w:tc>
        <w:tc>
          <w:tcPr>
            <w:tcW w:w="1035" w:type="dxa"/>
            <w:noWrap w:val="0"/>
            <w:vAlign w:val="center"/>
          </w:tcPr>
          <w:p w14:paraId="18CB06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11866</w:t>
            </w:r>
          </w:p>
        </w:tc>
      </w:tr>
      <w:tr w14:paraId="62C18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263E2E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黄洞</w:t>
            </w:r>
          </w:p>
        </w:tc>
        <w:tc>
          <w:tcPr>
            <w:tcW w:w="889" w:type="dxa"/>
            <w:noWrap w:val="0"/>
            <w:vAlign w:val="center"/>
          </w:tcPr>
          <w:p w14:paraId="61B6C6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4.41</w:t>
            </w:r>
          </w:p>
        </w:tc>
        <w:tc>
          <w:tcPr>
            <w:tcW w:w="561" w:type="dxa"/>
            <w:noWrap w:val="0"/>
            <w:vAlign w:val="center"/>
          </w:tcPr>
          <w:p w14:paraId="1C21EF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704" w:type="dxa"/>
            <w:noWrap w:val="0"/>
            <w:vAlign w:val="bottom"/>
          </w:tcPr>
          <w:p w14:paraId="5FFB47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359</w:t>
            </w:r>
          </w:p>
        </w:tc>
        <w:tc>
          <w:tcPr>
            <w:tcW w:w="704" w:type="dxa"/>
            <w:noWrap w:val="0"/>
            <w:vAlign w:val="bottom"/>
          </w:tcPr>
          <w:p w14:paraId="2F1826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1085</w:t>
            </w:r>
          </w:p>
        </w:tc>
        <w:tc>
          <w:tcPr>
            <w:tcW w:w="682" w:type="dxa"/>
            <w:noWrap w:val="0"/>
            <w:vAlign w:val="center"/>
          </w:tcPr>
          <w:p w14:paraId="470EF4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301</w:t>
            </w:r>
          </w:p>
        </w:tc>
        <w:tc>
          <w:tcPr>
            <w:tcW w:w="737" w:type="dxa"/>
            <w:noWrap w:val="0"/>
            <w:vAlign w:val="center"/>
          </w:tcPr>
          <w:p w14:paraId="1C7A35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1597</w:t>
            </w:r>
          </w:p>
        </w:tc>
        <w:tc>
          <w:tcPr>
            <w:tcW w:w="662" w:type="dxa"/>
            <w:noWrap w:val="0"/>
            <w:vAlign w:val="center"/>
          </w:tcPr>
          <w:p w14:paraId="0CE7F9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1312</w:t>
            </w:r>
          </w:p>
        </w:tc>
        <w:tc>
          <w:tcPr>
            <w:tcW w:w="756" w:type="dxa"/>
            <w:noWrap w:val="0"/>
            <w:vAlign w:val="center"/>
          </w:tcPr>
          <w:p w14:paraId="3BA3D4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285</w:t>
            </w:r>
          </w:p>
        </w:tc>
        <w:tc>
          <w:tcPr>
            <w:tcW w:w="942" w:type="dxa"/>
            <w:noWrap w:val="0"/>
            <w:vAlign w:val="center"/>
          </w:tcPr>
          <w:p w14:paraId="5A9729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2282</w:t>
            </w:r>
          </w:p>
        </w:tc>
        <w:tc>
          <w:tcPr>
            <w:tcW w:w="1035" w:type="dxa"/>
            <w:noWrap w:val="0"/>
            <w:vAlign w:val="center"/>
          </w:tcPr>
          <w:p w14:paraId="6A66B2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12161</w:t>
            </w:r>
          </w:p>
        </w:tc>
      </w:tr>
      <w:tr w14:paraId="1FF7E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055828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白胜</w:t>
            </w:r>
          </w:p>
        </w:tc>
        <w:tc>
          <w:tcPr>
            <w:tcW w:w="889" w:type="dxa"/>
            <w:noWrap w:val="0"/>
            <w:vAlign w:val="center"/>
          </w:tcPr>
          <w:p w14:paraId="662D38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13.79</w:t>
            </w:r>
          </w:p>
        </w:tc>
        <w:tc>
          <w:tcPr>
            <w:tcW w:w="561" w:type="dxa"/>
            <w:noWrap w:val="0"/>
            <w:vAlign w:val="center"/>
          </w:tcPr>
          <w:p w14:paraId="6923DA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w:t>
            </w:r>
          </w:p>
        </w:tc>
        <w:tc>
          <w:tcPr>
            <w:tcW w:w="704" w:type="dxa"/>
            <w:noWrap w:val="0"/>
            <w:vAlign w:val="bottom"/>
          </w:tcPr>
          <w:p w14:paraId="19B64F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922</w:t>
            </w:r>
          </w:p>
        </w:tc>
        <w:tc>
          <w:tcPr>
            <w:tcW w:w="704" w:type="dxa"/>
            <w:noWrap w:val="0"/>
            <w:vAlign w:val="bottom"/>
          </w:tcPr>
          <w:p w14:paraId="21E108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2593</w:t>
            </w:r>
          </w:p>
        </w:tc>
        <w:tc>
          <w:tcPr>
            <w:tcW w:w="682" w:type="dxa"/>
            <w:noWrap w:val="0"/>
            <w:vAlign w:val="center"/>
          </w:tcPr>
          <w:p w14:paraId="11AA4B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1113</w:t>
            </w:r>
          </w:p>
        </w:tc>
        <w:tc>
          <w:tcPr>
            <w:tcW w:w="737" w:type="dxa"/>
            <w:noWrap w:val="0"/>
            <w:vAlign w:val="center"/>
          </w:tcPr>
          <w:p w14:paraId="134D8A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3385</w:t>
            </w:r>
          </w:p>
        </w:tc>
        <w:tc>
          <w:tcPr>
            <w:tcW w:w="662" w:type="dxa"/>
            <w:noWrap w:val="0"/>
            <w:vAlign w:val="center"/>
          </w:tcPr>
          <w:p w14:paraId="340CE2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3341</w:t>
            </w:r>
          </w:p>
        </w:tc>
        <w:tc>
          <w:tcPr>
            <w:tcW w:w="756" w:type="dxa"/>
            <w:noWrap w:val="0"/>
            <w:vAlign w:val="center"/>
          </w:tcPr>
          <w:p w14:paraId="67372B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w:t>
            </w:r>
          </w:p>
        </w:tc>
        <w:tc>
          <w:tcPr>
            <w:tcW w:w="942" w:type="dxa"/>
            <w:noWrap w:val="0"/>
            <w:vAlign w:val="center"/>
          </w:tcPr>
          <w:p w14:paraId="175C12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5577</w:t>
            </w:r>
          </w:p>
        </w:tc>
        <w:tc>
          <w:tcPr>
            <w:tcW w:w="1035" w:type="dxa"/>
            <w:noWrap w:val="0"/>
            <w:vAlign w:val="center"/>
          </w:tcPr>
          <w:p w14:paraId="0338BF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10853</w:t>
            </w:r>
          </w:p>
        </w:tc>
      </w:tr>
      <w:tr w14:paraId="07493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28273C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田心</w:t>
            </w:r>
          </w:p>
        </w:tc>
        <w:tc>
          <w:tcPr>
            <w:tcW w:w="889" w:type="dxa"/>
            <w:noWrap w:val="0"/>
            <w:vAlign w:val="center"/>
          </w:tcPr>
          <w:p w14:paraId="2CE33F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7.47</w:t>
            </w:r>
          </w:p>
        </w:tc>
        <w:tc>
          <w:tcPr>
            <w:tcW w:w="561" w:type="dxa"/>
            <w:noWrap w:val="0"/>
            <w:vAlign w:val="center"/>
          </w:tcPr>
          <w:p w14:paraId="684B3B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704" w:type="dxa"/>
            <w:noWrap w:val="0"/>
            <w:vAlign w:val="bottom"/>
          </w:tcPr>
          <w:p w14:paraId="0FB4AC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582</w:t>
            </w:r>
          </w:p>
        </w:tc>
        <w:tc>
          <w:tcPr>
            <w:tcW w:w="704" w:type="dxa"/>
            <w:noWrap w:val="0"/>
            <w:vAlign w:val="bottom"/>
          </w:tcPr>
          <w:p w14:paraId="4E1FE1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1998</w:t>
            </w:r>
          </w:p>
        </w:tc>
        <w:tc>
          <w:tcPr>
            <w:tcW w:w="682" w:type="dxa"/>
            <w:noWrap w:val="0"/>
            <w:vAlign w:val="center"/>
          </w:tcPr>
          <w:p w14:paraId="23EFB9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649</w:t>
            </w:r>
          </w:p>
        </w:tc>
        <w:tc>
          <w:tcPr>
            <w:tcW w:w="737" w:type="dxa"/>
            <w:noWrap w:val="0"/>
            <w:vAlign w:val="center"/>
          </w:tcPr>
          <w:p w14:paraId="4C1D31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1860</w:t>
            </w:r>
          </w:p>
        </w:tc>
        <w:tc>
          <w:tcPr>
            <w:tcW w:w="662" w:type="dxa"/>
            <w:noWrap w:val="0"/>
            <w:vAlign w:val="center"/>
          </w:tcPr>
          <w:p w14:paraId="18C463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1435</w:t>
            </w:r>
          </w:p>
        </w:tc>
        <w:tc>
          <w:tcPr>
            <w:tcW w:w="756" w:type="dxa"/>
            <w:noWrap w:val="0"/>
            <w:vAlign w:val="center"/>
          </w:tcPr>
          <w:p w14:paraId="79847A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425</w:t>
            </w:r>
          </w:p>
        </w:tc>
        <w:tc>
          <w:tcPr>
            <w:tcW w:w="942" w:type="dxa"/>
            <w:noWrap w:val="0"/>
            <w:vAlign w:val="center"/>
          </w:tcPr>
          <w:p w14:paraId="35672D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3999</w:t>
            </w:r>
          </w:p>
        </w:tc>
        <w:tc>
          <w:tcPr>
            <w:tcW w:w="1035" w:type="dxa"/>
            <w:noWrap w:val="0"/>
            <w:vAlign w:val="center"/>
          </w:tcPr>
          <w:p w14:paraId="1E1A8A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11128</w:t>
            </w:r>
          </w:p>
        </w:tc>
      </w:tr>
      <w:tr w14:paraId="050D7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77B203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大竹</w:t>
            </w:r>
          </w:p>
        </w:tc>
        <w:tc>
          <w:tcPr>
            <w:tcW w:w="889" w:type="dxa"/>
            <w:noWrap w:val="0"/>
            <w:vAlign w:val="center"/>
          </w:tcPr>
          <w:p w14:paraId="15723F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14.79</w:t>
            </w:r>
          </w:p>
        </w:tc>
        <w:tc>
          <w:tcPr>
            <w:tcW w:w="561" w:type="dxa"/>
            <w:noWrap w:val="0"/>
            <w:vAlign w:val="center"/>
          </w:tcPr>
          <w:p w14:paraId="34FD22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w:t>
            </w:r>
          </w:p>
        </w:tc>
        <w:tc>
          <w:tcPr>
            <w:tcW w:w="704" w:type="dxa"/>
            <w:noWrap w:val="0"/>
            <w:vAlign w:val="bottom"/>
          </w:tcPr>
          <w:p w14:paraId="36436B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494</w:t>
            </w:r>
          </w:p>
        </w:tc>
        <w:tc>
          <w:tcPr>
            <w:tcW w:w="704" w:type="dxa"/>
            <w:noWrap w:val="0"/>
            <w:vAlign w:val="bottom"/>
          </w:tcPr>
          <w:p w14:paraId="671F4B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1729</w:t>
            </w:r>
          </w:p>
        </w:tc>
        <w:tc>
          <w:tcPr>
            <w:tcW w:w="682" w:type="dxa"/>
            <w:noWrap w:val="0"/>
            <w:vAlign w:val="center"/>
          </w:tcPr>
          <w:p w14:paraId="0F68B5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631</w:t>
            </w:r>
          </w:p>
        </w:tc>
        <w:tc>
          <w:tcPr>
            <w:tcW w:w="737" w:type="dxa"/>
            <w:noWrap w:val="0"/>
            <w:vAlign w:val="center"/>
          </w:tcPr>
          <w:p w14:paraId="0F0559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1791</w:t>
            </w:r>
          </w:p>
        </w:tc>
        <w:tc>
          <w:tcPr>
            <w:tcW w:w="662" w:type="dxa"/>
            <w:noWrap w:val="0"/>
            <w:vAlign w:val="center"/>
          </w:tcPr>
          <w:p w14:paraId="5EBE57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1763</w:t>
            </w:r>
          </w:p>
        </w:tc>
        <w:tc>
          <w:tcPr>
            <w:tcW w:w="756" w:type="dxa"/>
            <w:noWrap w:val="0"/>
            <w:vAlign w:val="center"/>
          </w:tcPr>
          <w:p w14:paraId="6FFE10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28</w:t>
            </w:r>
          </w:p>
        </w:tc>
        <w:tc>
          <w:tcPr>
            <w:tcW w:w="942" w:type="dxa"/>
            <w:noWrap w:val="0"/>
            <w:vAlign w:val="center"/>
          </w:tcPr>
          <w:p w14:paraId="2267B4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3471</w:t>
            </w:r>
          </w:p>
        </w:tc>
        <w:tc>
          <w:tcPr>
            <w:tcW w:w="1035" w:type="dxa"/>
            <w:noWrap w:val="0"/>
            <w:vAlign w:val="center"/>
          </w:tcPr>
          <w:p w14:paraId="17ADB4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10761</w:t>
            </w:r>
          </w:p>
        </w:tc>
      </w:tr>
      <w:tr w14:paraId="04D66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23E347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孔江</w:t>
            </w:r>
          </w:p>
        </w:tc>
        <w:tc>
          <w:tcPr>
            <w:tcW w:w="889" w:type="dxa"/>
            <w:noWrap w:val="0"/>
            <w:vAlign w:val="center"/>
          </w:tcPr>
          <w:p w14:paraId="173FF5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16.89</w:t>
            </w:r>
          </w:p>
        </w:tc>
        <w:tc>
          <w:tcPr>
            <w:tcW w:w="561" w:type="dxa"/>
            <w:noWrap w:val="0"/>
            <w:vAlign w:val="center"/>
          </w:tcPr>
          <w:p w14:paraId="7EC0CF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704" w:type="dxa"/>
            <w:noWrap w:val="0"/>
            <w:vAlign w:val="bottom"/>
          </w:tcPr>
          <w:p w14:paraId="1F4786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541</w:t>
            </w:r>
          </w:p>
        </w:tc>
        <w:tc>
          <w:tcPr>
            <w:tcW w:w="704" w:type="dxa"/>
            <w:noWrap w:val="0"/>
            <w:vAlign w:val="bottom"/>
          </w:tcPr>
          <w:p w14:paraId="2D5D4C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1701</w:t>
            </w:r>
          </w:p>
        </w:tc>
        <w:tc>
          <w:tcPr>
            <w:tcW w:w="682" w:type="dxa"/>
            <w:noWrap w:val="0"/>
            <w:vAlign w:val="center"/>
          </w:tcPr>
          <w:p w14:paraId="46B3A7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1007</w:t>
            </w:r>
          </w:p>
        </w:tc>
        <w:tc>
          <w:tcPr>
            <w:tcW w:w="737" w:type="dxa"/>
            <w:noWrap w:val="0"/>
            <w:vAlign w:val="center"/>
          </w:tcPr>
          <w:p w14:paraId="68AC5D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2027</w:t>
            </w:r>
          </w:p>
        </w:tc>
        <w:tc>
          <w:tcPr>
            <w:tcW w:w="662" w:type="dxa"/>
            <w:noWrap w:val="0"/>
            <w:vAlign w:val="center"/>
          </w:tcPr>
          <w:p w14:paraId="2B11D5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1787</w:t>
            </w:r>
          </w:p>
        </w:tc>
        <w:tc>
          <w:tcPr>
            <w:tcW w:w="756" w:type="dxa"/>
            <w:noWrap w:val="0"/>
            <w:vAlign w:val="center"/>
          </w:tcPr>
          <w:p w14:paraId="571644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240</w:t>
            </w:r>
          </w:p>
        </w:tc>
        <w:tc>
          <w:tcPr>
            <w:tcW w:w="942" w:type="dxa"/>
            <w:noWrap w:val="0"/>
            <w:vAlign w:val="center"/>
          </w:tcPr>
          <w:p w14:paraId="423FEC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3583</w:t>
            </w:r>
          </w:p>
        </w:tc>
        <w:tc>
          <w:tcPr>
            <w:tcW w:w="1035" w:type="dxa"/>
            <w:noWrap w:val="0"/>
            <w:vAlign w:val="center"/>
          </w:tcPr>
          <w:p w14:paraId="6166F7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11303</w:t>
            </w:r>
          </w:p>
        </w:tc>
      </w:tr>
      <w:tr w14:paraId="548A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44" w:type="dxa"/>
            <w:noWrap w:val="0"/>
            <w:vAlign w:val="center"/>
          </w:tcPr>
          <w:p w14:paraId="433EDA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兰坵</w:t>
            </w:r>
          </w:p>
        </w:tc>
        <w:tc>
          <w:tcPr>
            <w:tcW w:w="889" w:type="dxa"/>
            <w:noWrap w:val="0"/>
            <w:vAlign w:val="center"/>
          </w:tcPr>
          <w:p w14:paraId="1F413E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9.79</w:t>
            </w:r>
          </w:p>
        </w:tc>
        <w:tc>
          <w:tcPr>
            <w:tcW w:w="561" w:type="dxa"/>
            <w:noWrap w:val="0"/>
            <w:vAlign w:val="center"/>
          </w:tcPr>
          <w:p w14:paraId="7FC945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704" w:type="dxa"/>
            <w:noWrap w:val="0"/>
            <w:vAlign w:val="bottom"/>
          </w:tcPr>
          <w:p w14:paraId="09E04B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319</w:t>
            </w:r>
          </w:p>
        </w:tc>
        <w:tc>
          <w:tcPr>
            <w:tcW w:w="704" w:type="dxa"/>
            <w:noWrap w:val="0"/>
            <w:vAlign w:val="bottom"/>
          </w:tcPr>
          <w:p w14:paraId="7E8D28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976</w:t>
            </w:r>
          </w:p>
        </w:tc>
        <w:tc>
          <w:tcPr>
            <w:tcW w:w="682" w:type="dxa"/>
            <w:noWrap w:val="0"/>
            <w:vAlign w:val="center"/>
          </w:tcPr>
          <w:p w14:paraId="327CD1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790</w:t>
            </w:r>
          </w:p>
        </w:tc>
        <w:tc>
          <w:tcPr>
            <w:tcW w:w="737" w:type="dxa"/>
            <w:noWrap w:val="0"/>
            <w:vAlign w:val="center"/>
          </w:tcPr>
          <w:p w14:paraId="6771B4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1171</w:t>
            </w:r>
          </w:p>
        </w:tc>
        <w:tc>
          <w:tcPr>
            <w:tcW w:w="662" w:type="dxa"/>
            <w:noWrap w:val="0"/>
            <w:vAlign w:val="center"/>
          </w:tcPr>
          <w:p w14:paraId="4A5D69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928</w:t>
            </w:r>
          </w:p>
        </w:tc>
        <w:tc>
          <w:tcPr>
            <w:tcW w:w="756" w:type="dxa"/>
            <w:noWrap w:val="0"/>
            <w:vAlign w:val="center"/>
          </w:tcPr>
          <w:p w14:paraId="184E7A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243</w:t>
            </w:r>
          </w:p>
        </w:tc>
        <w:tc>
          <w:tcPr>
            <w:tcW w:w="942" w:type="dxa"/>
            <w:noWrap w:val="0"/>
            <w:vAlign w:val="center"/>
          </w:tcPr>
          <w:p w14:paraId="5B68CA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2089</w:t>
            </w:r>
          </w:p>
        </w:tc>
        <w:tc>
          <w:tcPr>
            <w:tcW w:w="1035" w:type="dxa"/>
            <w:noWrap w:val="0"/>
            <w:vAlign w:val="center"/>
          </w:tcPr>
          <w:p w14:paraId="568E28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12330</w:t>
            </w:r>
          </w:p>
        </w:tc>
      </w:tr>
    </w:tbl>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6"/>
      </w:tblGrid>
      <w:tr w14:paraId="1ED77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7B19DDD">
            <w:pPr>
              <w:keepNext w:val="0"/>
              <w:keepLines w:val="0"/>
              <w:pageBreakBefore w:val="0"/>
              <w:widowControl w:val="0"/>
              <w:kinsoku/>
              <w:wordWrap/>
              <w:overflowPunct/>
              <w:topLinePunct w:val="0"/>
              <w:autoSpaceDE/>
              <w:autoSpaceDN/>
              <w:bidi w:val="0"/>
              <w:adjustRightInd/>
              <w:snapToGrid/>
              <w:jc w:val="center"/>
              <w:textAlignment w:val="auto"/>
              <w:rPr>
                <w:rFonts w:hint="eastAsia"/>
                <w:highlight w:val="none"/>
                <w:vertAlign w:val="baseline"/>
              </w:rPr>
            </w:pPr>
            <w:r>
              <w:rPr>
                <w:rFonts w:hAnsi="宋体" w:cs="宋体"/>
                <w:highlight w:val="none"/>
              </w:rPr>
              <w:drawing>
                <wp:inline distT="0" distB="0" distL="114300" distR="114300">
                  <wp:extent cx="3420110" cy="1045210"/>
                  <wp:effectExtent l="0" t="0" r="8890" b="2540"/>
                  <wp:docPr id="111" name="图片 279" descr="乌迳镇全景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79" descr="乌迳镇全景45"/>
                          <pic:cNvPicPr>
                            <a:picLocks noChangeAspect="1"/>
                          </pic:cNvPicPr>
                        </pic:nvPicPr>
                        <pic:blipFill>
                          <a:blip r:embed="rId116"/>
                          <a:stretch>
                            <a:fillRect/>
                          </a:stretch>
                        </pic:blipFill>
                        <pic:spPr>
                          <a:xfrm>
                            <a:off x="0" y="0"/>
                            <a:ext cx="3420110" cy="1045210"/>
                          </a:xfrm>
                          <a:prstGeom prst="rect">
                            <a:avLst/>
                          </a:prstGeom>
                          <a:noFill/>
                          <a:ln>
                            <a:noFill/>
                          </a:ln>
                        </pic:spPr>
                      </pic:pic>
                    </a:graphicData>
                  </a:graphic>
                </wp:inline>
              </w:drawing>
            </w:r>
          </w:p>
        </w:tc>
      </w:tr>
      <w:tr w14:paraId="40F9C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2592BE6">
            <w:pPr>
              <w:keepNext w:val="0"/>
              <w:keepLines w:val="0"/>
              <w:pageBreakBefore w:val="0"/>
              <w:widowControl w:val="0"/>
              <w:kinsoku/>
              <w:wordWrap/>
              <w:overflowPunct/>
              <w:topLinePunct w:val="0"/>
              <w:autoSpaceDE/>
              <w:autoSpaceDN/>
              <w:bidi w:val="0"/>
              <w:adjustRightInd/>
              <w:snapToGrid/>
              <w:jc w:val="center"/>
              <w:textAlignment w:val="auto"/>
              <w:rPr>
                <w:rFonts w:hint="eastAsia"/>
                <w:highlight w:val="none"/>
                <w:vertAlign w:val="baseline"/>
              </w:rPr>
            </w:pPr>
            <w:r>
              <w:rPr>
                <w:rFonts w:hint="eastAsia"/>
                <w:highlight w:val="none"/>
                <w:vertAlign w:val="baseline"/>
              </w:rPr>
              <w:t>乌迳镇全景</w:t>
            </w:r>
          </w:p>
        </w:tc>
      </w:tr>
    </w:tbl>
    <w:p w14:paraId="427088E4">
      <w:pPr>
        <w:ind w:firstLine="420"/>
        <w:rPr>
          <w:rFonts w:hint="eastAsia" w:hAnsi="宋体" w:eastAsia="宋体" w:cs="宋体"/>
          <w:highlight w:val="none"/>
          <w:lang w:eastAsia="zh-CN"/>
        </w:rPr>
      </w:pPr>
      <w:r>
        <w:rPr>
          <w:rFonts w:hint="eastAsia" w:hAnsi="宋体" w:cs="宋体"/>
          <w:highlight w:val="none"/>
        </w:rPr>
        <w:t>附：2015年乌迳镇领导班子成员名单</w:t>
      </w:r>
    </w:p>
    <w:p w14:paraId="0E1FF8DA">
      <w:pPr>
        <w:rPr>
          <w:rFonts w:hint="eastAsia" w:hAnsi="宋体" w:eastAsia="宋体" w:cs="宋体"/>
          <w:highlight w:val="none"/>
          <w:lang w:eastAsia="zh-CN"/>
        </w:rPr>
      </w:pPr>
      <w:r>
        <w:rPr>
          <w:rFonts w:hint="eastAsia" w:hAnsi="宋体" w:cs="宋体"/>
          <w:highlight w:val="none"/>
        </w:rPr>
        <w:t>党委书记、人大主席：周铁山</w:t>
      </w:r>
    </w:p>
    <w:p w14:paraId="6BDA8F08">
      <w:pPr>
        <w:rPr>
          <w:rFonts w:hint="eastAsia" w:hAnsi="宋体" w:eastAsia="宋体" w:cs="宋体"/>
          <w:highlight w:val="none"/>
          <w:lang w:eastAsia="zh-CN"/>
        </w:rPr>
      </w:pPr>
      <w:r>
        <w:rPr>
          <w:rFonts w:hint="eastAsia" w:hAnsi="宋体" w:cs="宋体"/>
          <w:highlight w:val="none"/>
        </w:rPr>
        <w:t>党委副书记、镇长：李泉洲（任至2月）陈光文（2月任）</w:t>
      </w:r>
    </w:p>
    <w:p w14:paraId="5FF8652E">
      <w:pPr>
        <w:rPr>
          <w:rFonts w:hint="eastAsia" w:hAnsi="宋体" w:eastAsia="宋体" w:cs="宋体"/>
          <w:highlight w:val="none"/>
          <w:lang w:eastAsia="zh-CN"/>
        </w:rPr>
      </w:pPr>
      <w:r>
        <w:rPr>
          <w:rFonts w:hint="eastAsia" w:hAnsi="宋体" w:cs="宋体"/>
          <w:highlight w:val="none"/>
        </w:rPr>
        <w:t>党委副书记：郭君（任至5月）朱慧（5月任）</w:t>
      </w:r>
    </w:p>
    <w:p w14:paraId="0FB37940">
      <w:pPr>
        <w:rPr>
          <w:rFonts w:hint="eastAsia" w:hAnsi="宋体" w:eastAsia="宋体" w:cs="宋体"/>
          <w:highlight w:val="none"/>
          <w:lang w:eastAsia="zh-CN"/>
        </w:rPr>
      </w:pPr>
      <w:r>
        <w:rPr>
          <w:rFonts w:hint="eastAsia" w:hAnsi="宋体" w:cs="宋体"/>
          <w:highlight w:val="none"/>
        </w:rPr>
        <w:t>中心纪检组组长、纪委书记：刘发华</w:t>
      </w:r>
    </w:p>
    <w:p w14:paraId="78D7CBB8">
      <w:pPr>
        <w:rPr>
          <w:rFonts w:hint="eastAsia" w:hAnsi="宋体" w:eastAsia="宋体" w:cs="宋体"/>
          <w:highlight w:val="none"/>
          <w:lang w:eastAsia="zh-CN"/>
        </w:rPr>
      </w:pPr>
      <w:r>
        <w:rPr>
          <w:rFonts w:hint="eastAsia" w:hAnsi="宋体" w:cs="宋体"/>
          <w:highlight w:val="none"/>
        </w:rPr>
        <w:t>党委组织委员：卢德斌</w:t>
      </w:r>
    </w:p>
    <w:p w14:paraId="22823C6C">
      <w:pPr>
        <w:rPr>
          <w:rFonts w:hint="eastAsia" w:hAnsi="宋体" w:eastAsia="宋体" w:cs="宋体"/>
          <w:highlight w:val="none"/>
          <w:lang w:eastAsia="zh-CN"/>
        </w:rPr>
      </w:pPr>
      <w:r>
        <w:rPr>
          <w:rFonts w:hint="eastAsia" w:hAnsi="宋体" w:cs="宋体"/>
          <w:highlight w:val="none"/>
        </w:rPr>
        <w:t>党委委员、武装部长：张卫平</w:t>
      </w:r>
    </w:p>
    <w:p w14:paraId="0041A464">
      <w:pPr>
        <w:rPr>
          <w:rFonts w:hint="eastAsia" w:hAnsi="宋体" w:eastAsia="宋体" w:cs="宋体"/>
          <w:highlight w:val="none"/>
          <w:lang w:eastAsia="zh-CN"/>
        </w:rPr>
      </w:pPr>
      <w:r>
        <w:rPr>
          <w:rFonts w:hint="eastAsia" w:hAnsi="宋体" w:cs="宋体"/>
          <w:highlight w:val="none"/>
        </w:rPr>
        <w:t>党委委员、综治中心专职副主任：董书怡</w:t>
      </w:r>
    </w:p>
    <w:p w14:paraId="383C16B4">
      <w:pPr>
        <w:rPr>
          <w:rFonts w:hint="eastAsia" w:hAnsi="宋体" w:eastAsia="宋体" w:cs="宋体"/>
          <w:highlight w:val="none"/>
          <w:lang w:eastAsia="zh-CN"/>
        </w:rPr>
      </w:pPr>
      <w:r>
        <w:rPr>
          <w:rFonts w:hint="eastAsia" w:hAnsi="宋体" w:cs="宋体"/>
          <w:highlight w:val="none"/>
        </w:rPr>
        <w:t>党委委员：谢章文</w:t>
      </w:r>
    </w:p>
    <w:p w14:paraId="28028625">
      <w:pPr>
        <w:rPr>
          <w:rFonts w:hint="eastAsia" w:hAnsi="宋体" w:eastAsia="宋体" w:cs="宋体"/>
          <w:highlight w:val="none"/>
          <w:lang w:eastAsia="zh-CN"/>
        </w:rPr>
      </w:pPr>
      <w:r>
        <w:rPr>
          <w:rFonts w:hint="eastAsia" w:hAnsi="宋体" w:cs="宋体"/>
          <w:highlight w:val="none"/>
        </w:rPr>
        <w:t>党委委员、副镇长：沈建强</w:t>
      </w:r>
    </w:p>
    <w:p w14:paraId="0D41771F">
      <w:pPr>
        <w:rPr>
          <w:rFonts w:hint="eastAsia" w:hAnsi="宋体" w:eastAsia="宋体" w:cs="宋体"/>
          <w:highlight w:val="none"/>
          <w:lang w:eastAsia="zh-CN"/>
        </w:rPr>
      </w:pPr>
      <w:r>
        <w:rPr>
          <w:rFonts w:hint="eastAsia" w:hAnsi="宋体" w:cs="宋体"/>
          <w:highlight w:val="none"/>
        </w:rPr>
        <w:t>副镇长：叶永明 刘海燕</w:t>
      </w:r>
    </w:p>
    <w:p w14:paraId="72E51A75">
      <w:pPr>
        <w:pStyle w:val="3"/>
        <w:bidi w:val="0"/>
        <w:rPr>
          <w:rFonts w:hint="eastAsia" w:eastAsia="宋体"/>
          <w:highlight w:val="none"/>
          <w:lang w:eastAsia="zh-CN"/>
        </w:rPr>
      </w:pPr>
      <w:r>
        <w:rPr>
          <w:rFonts w:hint="eastAsia"/>
          <w:highlight w:val="none"/>
        </w:rPr>
        <w:t>邓坊镇</w:t>
      </w:r>
    </w:p>
    <w:p w14:paraId="465F4FD6">
      <w:pPr>
        <w:pStyle w:val="4"/>
        <w:bidi w:val="0"/>
        <w:rPr>
          <w:rFonts w:hint="eastAsia"/>
          <w:highlight w:val="none"/>
        </w:rPr>
      </w:pPr>
      <w:r>
        <w:rPr>
          <w:rFonts w:hint="eastAsia"/>
          <w:highlight w:val="none"/>
        </w:rPr>
        <w:t>【概况】</w:t>
      </w:r>
    </w:p>
    <w:p w14:paraId="1BC48925">
      <w:pPr>
        <w:rPr>
          <w:rFonts w:hint="eastAsia" w:hAnsi="宋体" w:cs="宋体"/>
          <w:highlight w:val="none"/>
        </w:rPr>
      </w:pPr>
      <w:r>
        <w:rPr>
          <w:rFonts w:hint="eastAsia" w:hAnsi="宋体" w:cs="宋体"/>
          <w:highlight w:val="none"/>
        </w:rPr>
        <w:t>邓坊镇，政府所在地邓坊圩距城区雄州26公里，是革命老区，东与油山、南与黄坑、湖口、西与珠玑交界，有9个村委会和1个居委会，106个村小组，人口16789人，总户数5522户，其中常住人口11956人，占71.21%。耕地总面积1831.6公顷，山林总面积7387.2公顷。境内公路除各自然村道路外，有梅岭至黄坑、湖口至大塘2条过境公路，全部硬底化。境内有杨梅、洋西、南山、兰田4条水系，其中杨梅水系源头有一小型水库。水系除兰田属赣江水系流入长江外，其他3条均属浈江水系流入珠江。</w:t>
      </w:r>
    </w:p>
    <w:p w14:paraId="62FBAB4F">
      <w:pPr>
        <w:pStyle w:val="4"/>
        <w:bidi w:val="0"/>
        <w:rPr>
          <w:rFonts w:hint="eastAsia"/>
          <w:highlight w:val="none"/>
        </w:rPr>
      </w:pPr>
      <w:r>
        <w:rPr>
          <w:rFonts w:hint="eastAsia"/>
          <w:highlight w:val="none"/>
        </w:rPr>
        <w:t>【历史沿革】</w:t>
      </w:r>
    </w:p>
    <w:p w14:paraId="23528DFF">
      <w:pPr>
        <w:rPr>
          <w:rFonts w:hint="eastAsia" w:hAnsi="宋体" w:cs="宋体"/>
          <w:highlight w:val="none"/>
        </w:rPr>
      </w:pPr>
      <w:r>
        <w:rPr>
          <w:rFonts w:hint="eastAsia" w:hAnsi="宋体" w:cs="宋体"/>
          <w:highlight w:val="none"/>
        </w:rPr>
        <w:t>邓坊镇，因相传明末清初时，有苟石村邓文公在邓坊河边开基经营磨坊业，以后渐成集市，故而得名。位于东经114°25′9.38″至114°30′52.5″，北纬25°13′22.33″至25°23′17″之间。</w:t>
      </w:r>
    </w:p>
    <w:p w14:paraId="528DB062">
      <w:pPr>
        <w:rPr>
          <w:rFonts w:hint="eastAsia" w:hAnsi="宋体" w:cs="宋体"/>
          <w:highlight w:val="none"/>
        </w:rPr>
      </w:pPr>
      <w:r>
        <w:rPr>
          <w:rFonts w:hint="eastAsia" w:hAnsi="宋体" w:cs="宋体"/>
          <w:highlight w:val="none"/>
        </w:rPr>
        <w:t>邓坊镇辖境明代属于望梅乡杨律都。清康熙二十年（1681年）属杨律一都。咸丰四年（1854年）废都建约。民国属镇平乡。中华人民共和国成立后，历经数次合并。1957年6月建邓坊乡。1958年5月属火箭（黄坑）人民公社。1962年改设为邓坊人民公社。1980年10月改名为邓坊区公所，1986年3月改设为邓坊乡（划出4个村委会归油山镇管辖，自辖6个村委会），1994年6月改设为邓坊镇（辖6个村委会）。2001年12月镇乡调整，油山镇的4个村委会划回邓坊管辖，使邓坊镇辖境恢复到1962年邓坊人民公社所辖范围。</w:t>
      </w:r>
    </w:p>
    <w:p w14:paraId="2DFB8062">
      <w:pPr>
        <w:pStyle w:val="4"/>
        <w:bidi w:val="0"/>
        <w:rPr>
          <w:rFonts w:hint="eastAsia"/>
          <w:highlight w:val="none"/>
        </w:rPr>
      </w:pPr>
      <w:r>
        <w:rPr>
          <w:rFonts w:hint="eastAsia"/>
          <w:highlight w:val="none"/>
        </w:rPr>
        <w:t>【民族宗教】</w:t>
      </w:r>
    </w:p>
    <w:p w14:paraId="6468B9BF">
      <w:pPr>
        <w:rPr>
          <w:rFonts w:hint="eastAsia" w:hAnsi="宋体" w:cs="宋体"/>
          <w:highlight w:val="none"/>
        </w:rPr>
      </w:pPr>
      <w:r>
        <w:rPr>
          <w:rFonts w:hint="eastAsia" w:hAnsi="宋体" w:cs="宋体"/>
          <w:highlight w:val="none"/>
        </w:rPr>
        <w:t>邓坊镇居民以汉族为主，少数居民主要有畲族。畲族主要分布在邓坊村和洋西村，人口400人。</w:t>
      </w:r>
    </w:p>
    <w:p w14:paraId="1CE025A4">
      <w:pPr>
        <w:pStyle w:val="4"/>
        <w:bidi w:val="0"/>
        <w:rPr>
          <w:rFonts w:hint="eastAsia"/>
          <w:highlight w:val="none"/>
        </w:rPr>
      </w:pPr>
      <w:r>
        <w:rPr>
          <w:rFonts w:hint="eastAsia"/>
          <w:highlight w:val="none"/>
        </w:rPr>
        <w:t>【自然条件】</w:t>
      </w:r>
    </w:p>
    <w:p w14:paraId="5321D410">
      <w:pPr>
        <w:rPr>
          <w:rFonts w:hint="eastAsia" w:hAnsi="宋体" w:cs="宋体"/>
          <w:highlight w:val="none"/>
        </w:rPr>
      </w:pPr>
      <w:r>
        <w:rPr>
          <w:rFonts w:hint="eastAsia" w:hAnsi="宋体" w:cs="宋体"/>
          <w:highlight w:val="none"/>
        </w:rPr>
        <w:t>境内气候属亚热带季风气候，干湿季节分明。1月均温8.7℃，7月均温28.5℃，年平均降水量1554.9毫米。地形地貌以半山区为主，平原、丘陵、河流、坡地相互交错，最高海拔湖山850米。区域内主要经济作物有黄烟、水稻、玉米、花生、辣椒、香芋、西瓜、三华李等；矿产资源有钨、铁、铀、稀土、花岗岩等，其中花岗岩蓄量较大；特产有香菇、木耳、竹笋；野生动物有黄猄、野猪、野牛等。</w:t>
      </w:r>
    </w:p>
    <w:p w14:paraId="3D1D0492">
      <w:pPr>
        <w:pStyle w:val="4"/>
        <w:bidi w:val="0"/>
        <w:rPr>
          <w:rFonts w:hint="eastAsia"/>
          <w:highlight w:val="none"/>
        </w:rPr>
      </w:pPr>
      <w:r>
        <w:rPr>
          <w:rFonts w:hint="eastAsia"/>
          <w:highlight w:val="none"/>
        </w:rPr>
        <w:t>【经济发展】</w:t>
      </w:r>
    </w:p>
    <w:p w14:paraId="7B7F6521">
      <w:pPr>
        <w:rPr>
          <w:rFonts w:hint="eastAsia" w:hAnsi="宋体" w:cs="宋体"/>
          <w:highlight w:val="none"/>
        </w:rPr>
      </w:pPr>
      <w:r>
        <w:rPr>
          <w:rFonts w:hint="eastAsia" w:hAnsi="宋体" w:cs="宋体"/>
          <w:highlight w:val="none"/>
        </w:rPr>
        <w:t>2015年，邓坊镇经济总收入35304万元，同比增长15.7%，农民人均纯收入9515元，同比增长17.1%，其中黄烟种植344.2公顷；收购755.45吨；蔬菜种植473.1公顷，产量11857吨；水果种植820公顷，粮食种植1933.3公顷，产量1.5万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B79F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81374DB">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68550"/>
                  <wp:effectExtent l="0" t="0" r="8890" b="12700"/>
                  <wp:docPr id="112" name="图片 280" descr="中心建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80" descr="中心建设"/>
                          <pic:cNvPicPr>
                            <a:picLocks noChangeAspect="1"/>
                          </pic:cNvPicPr>
                        </pic:nvPicPr>
                        <pic:blipFill>
                          <a:blip r:embed="rId117"/>
                          <a:stretch>
                            <a:fillRect/>
                          </a:stretch>
                        </pic:blipFill>
                        <pic:spPr>
                          <a:xfrm>
                            <a:off x="0" y="0"/>
                            <a:ext cx="3420110" cy="2368550"/>
                          </a:xfrm>
                          <a:prstGeom prst="rect">
                            <a:avLst/>
                          </a:prstGeom>
                          <a:noFill/>
                          <a:ln>
                            <a:noFill/>
                          </a:ln>
                        </pic:spPr>
                      </pic:pic>
                    </a:graphicData>
                  </a:graphic>
                </wp:inline>
              </w:drawing>
            </w:r>
          </w:p>
        </w:tc>
      </w:tr>
      <w:tr w14:paraId="4AF9D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FE3B808">
            <w:pPr>
              <w:jc w:val="center"/>
              <w:rPr>
                <w:rFonts w:hint="eastAsia" w:hAnsi="宋体" w:cs="宋体"/>
                <w:highlight w:val="none"/>
                <w:vertAlign w:val="baseline"/>
              </w:rPr>
            </w:pPr>
            <w:r>
              <w:rPr>
                <w:rFonts w:hint="eastAsia" w:hAnsi="宋体" w:cs="宋体"/>
                <w:highlight w:val="none"/>
                <w:vertAlign w:val="baseline"/>
              </w:rPr>
              <w:t>邓坊镇党委书记郭才标和镇长刘小弘检查邓坊文化活动中心建设情况</w:t>
            </w:r>
          </w:p>
        </w:tc>
      </w:tr>
    </w:tbl>
    <w:p w14:paraId="14EE6DD3">
      <w:pPr>
        <w:pStyle w:val="4"/>
        <w:bidi w:val="0"/>
        <w:rPr>
          <w:rFonts w:hint="eastAsia"/>
          <w:highlight w:val="none"/>
        </w:rPr>
      </w:pPr>
      <w:r>
        <w:rPr>
          <w:rFonts w:hint="eastAsia"/>
          <w:highlight w:val="none"/>
        </w:rPr>
        <w:t>【事业发展】</w:t>
      </w:r>
    </w:p>
    <w:p w14:paraId="4B977E34">
      <w:pPr>
        <w:rPr>
          <w:rFonts w:hint="eastAsia" w:hAnsi="宋体" w:eastAsia="宋体" w:cs="宋体"/>
          <w:highlight w:val="none"/>
          <w:lang w:eastAsia="zh-CN"/>
        </w:rPr>
      </w:pPr>
      <w:r>
        <w:rPr>
          <w:rFonts w:hint="eastAsia" w:hAnsi="宋体" w:cs="宋体"/>
          <w:highlight w:val="none"/>
        </w:rPr>
        <w:t>2015年，投资350万元扩建邓坊农贸市场；投资595万元用于赤马中小河流域治理；投资530万元新装太阳能路灯700盏；投资105万元用于邓坊、洋西、马战道路硬底化建设；赤马、马战、里源高标准农田5月投入使用，中烟公司为邓坊、马战建设70间烤烟房5月投入使用；邓坊圩镇二期街道建设3月完工。</w:t>
      </w:r>
    </w:p>
    <w:p w14:paraId="1BB69CDB">
      <w:pPr>
        <w:pStyle w:val="4"/>
        <w:bidi w:val="0"/>
        <w:rPr>
          <w:rFonts w:hint="eastAsia"/>
          <w:highlight w:val="none"/>
        </w:rPr>
      </w:pPr>
      <w:r>
        <w:rPr>
          <w:rFonts w:hint="eastAsia"/>
          <w:highlight w:val="none"/>
        </w:rPr>
        <w:t>【惠民政策落实】</w:t>
      </w:r>
    </w:p>
    <w:p w14:paraId="62981780">
      <w:pPr>
        <w:rPr>
          <w:rFonts w:hint="eastAsia" w:hAnsi="宋体" w:cs="宋体"/>
          <w:highlight w:val="none"/>
        </w:rPr>
      </w:pPr>
      <w:r>
        <w:rPr>
          <w:rFonts w:hint="eastAsia" w:hAnsi="宋体" w:cs="宋体"/>
          <w:highlight w:val="none"/>
        </w:rPr>
        <w:t>2015年，中烟公司投资800万扶贫资金为马战村建设30套贫困户住房。镇政府落实城乡建设用地增减挂钩征地6.13公顷；新增低保对象11户17人，五保户新增2人，80岁以上享受津贴补助有7人。</w:t>
      </w:r>
    </w:p>
    <w:p w14:paraId="00031BD6">
      <w:pPr>
        <w:pStyle w:val="4"/>
        <w:bidi w:val="0"/>
        <w:rPr>
          <w:rFonts w:hint="eastAsia"/>
          <w:highlight w:val="none"/>
        </w:rPr>
      </w:pPr>
      <w:r>
        <w:rPr>
          <w:rFonts w:hint="eastAsia"/>
          <w:highlight w:val="none"/>
        </w:rPr>
        <w:t>【固定投资】</w:t>
      </w:r>
    </w:p>
    <w:p w14:paraId="42DA5062">
      <w:pPr>
        <w:rPr>
          <w:rFonts w:hint="eastAsia" w:hAnsi="宋体" w:cs="宋体"/>
          <w:highlight w:val="none"/>
        </w:rPr>
      </w:pPr>
      <w:r>
        <w:rPr>
          <w:rFonts w:hint="eastAsia" w:hAnsi="宋体" w:cs="宋体"/>
          <w:highlight w:val="none"/>
        </w:rPr>
        <w:t>中国能源建设集团公司投资4.5亿元建设犁牛坪风电场项目。风电场项目于2015年11月3日开工。风电场首台风机并网发电预计时间2016年12月，年发电量1亿千瓦时；南雄市鸿盛投资有限公司建设泉水谷漂流2015年5月竣工和对外营运。2015年夏季泉水谷漂流接客6.5万人次，旅游收入350万元；邓坊泉水谷漂流带动当地人就业120人。</w:t>
      </w:r>
    </w:p>
    <w:p w14:paraId="609C00C4">
      <w:pPr>
        <w:pStyle w:val="4"/>
        <w:bidi w:val="0"/>
        <w:rPr>
          <w:rFonts w:hint="eastAsia"/>
          <w:highlight w:val="none"/>
        </w:rPr>
      </w:pPr>
      <w:r>
        <w:rPr>
          <w:rFonts w:hint="eastAsia"/>
          <w:highlight w:val="none"/>
        </w:rPr>
        <w:t>【创建卫生村】</w:t>
      </w:r>
    </w:p>
    <w:p w14:paraId="64729766">
      <w:pPr>
        <w:rPr>
          <w:rFonts w:hint="eastAsia" w:hAnsi="宋体" w:cs="宋体"/>
          <w:highlight w:val="none"/>
        </w:rPr>
      </w:pPr>
      <w:r>
        <w:rPr>
          <w:rFonts w:hint="eastAsia" w:hAnsi="宋体" w:cs="宋体"/>
          <w:highlight w:val="none"/>
        </w:rPr>
        <w:t>2015年，邓坊镇里源村创建韶关市卫生村验收合格。投资1.5万元组建里源村保洁队伍；专人负责垃圾综合处理。</w:t>
      </w:r>
    </w:p>
    <w:p w14:paraId="54FA2402">
      <w:pPr>
        <w:pStyle w:val="4"/>
        <w:bidi w:val="0"/>
        <w:rPr>
          <w:rFonts w:hint="eastAsia"/>
          <w:highlight w:val="none"/>
        </w:rPr>
      </w:pPr>
      <w:r>
        <w:rPr>
          <w:rFonts w:hint="eastAsia"/>
          <w:highlight w:val="none"/>
        </w:rPr>
        <w:t>【公益基金会】</w:t>
      </w:r>
    </w:p>
    <w:p w14:paraId="10BDD6DB">
      <w:pPr>
        <w:rPr>
          <w:rFonts w:hint="eastAsia" w:hAnsi="宋体" w:cs="宋体"/>
          <w:highlight w:val="none"/>
        </w:rPr>
      </w:pPr>
      <w:r>
        <w:rPr>
          <w:rFonts w:hint="eastAsia" w:hAnsi="宋体" w:cs="宋体"/>
          <w:highlight w:val="none"/>
        </w:rPr>
        <w:t>2015年12月，邓坊镇马战村和里源村成立首届村老人公益基金会。里源村外出乡贤捐资6.5万元为里源村首届老人公益基金启动资金；马战鹅公岭村外出乡贤捐资1.5万元为该村首届老人公益基金启动资金。里源村享受公益基金会福利的寿星有79人，马战鹅公岭享受公益基金会福利的寿星有28人，寿星每年在基金会享受一次寿宴和200元红包利是。</w:t>
      </w:r>
    </w:p>
    <w:p w14:paraId="694FDE96">
      <w:pPr>
        <w:pStyle w:val="4"/>
        <w:bidi w:val="0"/>
        <w:rPr>
          <w:rFonts w:hint="eastAsia"/>
          <w:highlight w:val="none"/>
        </w:rPr>
      </w:pPr>
      <w:r>
        <w:rPr>
          <w:rFonts w:hint="eastAsia"/>
          <w:highlight w:val="none"/>
        </w:rPr>
        <w:t>【林业工作】</w:t>
      </w:r>
    </w:p>
    <w:p w14:paraId="6F3F4B06">
      <w:pPr>
        <w:rPr>
          <w:rFonts w:hint="eastAsia" w:hAnsi="宋体" w:cs="宋体"/>
          <w:highlight w:val="none"/>
        </w:rPr>
      </w:pPr>
      <w:r>
        <w:rPr>
          <w:rFonts w:hint="eastAsia" w:hAnsi="宋体" w:cs="宋体"/>
          <w:highlight w:val="none"/>
        </w:rPr>
        <w:t>2015年，改造1800亩残次林，义务植树3000株。</w:t>
      </w:r>
    </w:p>
    <w:p w14:paraId="62CABC47">
      <w:pPr>
        <w:pStyle w:val="4"/>
        <w:bidi w:val="0"/>
        <w:rPr>
          <w:rFonts w:hint="eastAsia"/>
          <w:highlight w:val="none"/>
        </w:rPr>
      </w:pPr>
      <w:r>
        <w:rPr>
          <w:rFonts w:hint="eastAsia"/>
          <w:highlight w:val="none"/>
        </w:rPr>
        <w:t>【计生工作】</w:t>
      </w:r>
    </w:p>
    <w:p w14:paraId="5530ACC1">
      <w:pPr>
        <w:rPr>
          <w:rFonts w:hint="eastAsia" w:hAnsi="宋体" w:cs="宋体"/>
          <w:highlight w:val="none"/>
        </w:rPr>
      </w:pPr>
      <w:r>
        <w:rPr>
          <w:rFonts w:hint="eastAsia" w:hAnsi="宋体" w:cs="宋体"/>
          <w:highlight w:val="none"/>
        </w:rPr>
        <w:t>2014年10月至2015年10月，邓坊镇有育龄夫妇3537人，新出生209人，其中政策内出生191人，政策生育率91.51%，死亡率6.19‰，自然增长率6.6‰。</w:t>
      </w:r>
    </w:p>
    <w:p w14:paraId="4AB3C472">
      <w:pPr>
        <w:pStyle w:val="4"/>
        <w:bidi w:val="0"/>
        <w:rPr>
          <w:rFonts w:hint="eastAsia"/>
          <w:highlight w:val="none"/>
        </w:rPr>
      </w:pPr>
      <w:r>
        <w:rPr>
          <w:rFonts w:hint="eastAsia"/>
          <w:highlight w:val="none"/>
        </w:rPr>
        <w:t>【党建工作】</w:t>
      </w:r>
    </w:p>
    <w:p w14:paraId="27B24015">
      <w:pPr>
        <w:rPr>
          <w:rFonts w:hint="eastAsia" w:hAnsi="宋体" w:eastAsia="宋体" w:cs="宋体"/>
          <w:highlight w:val="none"/>
          <w:lang w:eastAsia="zh-CN"/>
        </w:rPr>
      </w:pPr>
      <w:r>
        <w:rPr>
          <w:rFonts w:hint="eastAsia" w:hAnsi="宋体" w:cs="宋体"/>
          <w:highlight w:val="none"/>
        </w:rPr>
        <w:t>2015年，驻点普遍联系群众活动走访4915户16273人，收集群众反映问题200条，解决问题187条。发展考察对象10名，预备党员转正1名。</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D648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DAF90E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9130"/>
                  <wp:effectExtent l="0" t="0" r="8890" b="13970"/>
                  <wp:docPr id="113" name="图片 281" descr="参赛队伍大合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81" descr="参赛队伍大合唱"/>
                          <pic:cNvPicPr>
                            <a:picLocks noChangeAspect="1"/>
                          </pic:cNvPicPr>
                        </pic:nvPicPr>
                        <pic:blipFill>
                          <a:blip r:embed="rId118"/>
                          <a:stretch>
                            <a:fillRect/>
                          </a:stretch>
                        </pic:blipFill>
                        <pic:spPr>
                          <a:xfrm>
                            <a:off x="0" y="0"/>
                            <a:ext cx="3420110" cy="1929130"/>
                          </a:xfrm>
                          <a:prstGeom prst="rect">
                            <a:avLst/>
                          </a:prstGeom>
                          <a:noFill/>
                          <a:ln>
                            <a:noFill/>
                          </a:ln>
                        </pic:spPr>
                      </pic:pic>
                    </a:graphicData>
                  </a:graphic>
                </wp:inline>
              </w:drawing>
            </w:r>
          </w:p>
        </w:tc>
      </w:tr>
      <w:tr w14:paraId="15E6E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306AA15">
            <w:pPr>
              <w:jc w:val="center"/>
              <w:rPr>
                <w:rFonts w:hint="eastAsia" w:hAnsi="宋体" w:cs="宋体"/>
                <w:highlight w:val="none"/>
                <w:vertAlign w:val="baseline"/>
              </w:rPr>
            </w:pPr>
            <w:r>
              <w:rPr>
                <w:rFonts w:hint="eastAsia" w:hAnsi="宋体" w:cs="宋体"/>
                <w:highlight w:val="none"/>
                <w:vertAlign w:val="baseline"/>
              </w:rPr>
              <w:t>2015年12月25日，邓坊镇举办“双学双比”为主题的文艺汇演，图为参赛队伍大合唱</w:t>
            </w:r>
          </w:p>
        </w:tc>
      </w:tr>
    </w:tbl>
    <w:p w14:paraId="7B8A4482">
      <w:pPr>
        <w:pStyle w:val="4"/>
        <w:bidi w:val="0"/>
        <w:rPr>
          <w:rFonts w:hint="eastAsia"/>
          <w:highlight w:val="none"/>
        </w:rPr>
      </w:pPr>
      <w:r>
        <w:rPr>
          <w:rFonts w:hint="eastAsia"/>
          <w:highlight w:val="none"/>
        </w:rPr>
        <w:t>【廉政工作】</w:t>
      </w:r>
    </w:p>
    <w:p w14:paraId="049EEC04">
      <w:pPr>
        <w:rPr>
          <w:rFonts w:hint="eastAsia" w:hAnsi="宋体" w:cs="宋体"/>
          <w:highlight w:val="none"/>
        </w:rPr>
      </w:pPr>
      <w:r>
        <w:rPr>
          <w:rFonts w:hint="eastAsia" w:hAnsi="宋体" w:cs="宋体"/>
          <w:highlight w:val="none"/>
        </w:rPr>
        <w:t>2015年，处理严重警告违规党员1名，纪委同下级部门负责人谈话15人次，廉政谈话30人，诫勉谈话1人，提供党风廉政意见30人。</w:t>
      </w:r>
    </w:p>
    <w:p w14:paraId="1AC06667">
      <w:pPr>
        <w:pStyle w:val="4"/>
        <w:bidi w:val="0"/>
        <w:rPr>
          <w:rFonts w:hint="eastAsia"/>
          <w:highlight w:val="none"/>
        </w:rPr>
      </w:pPr>
      <w:r>
        <w:rPr>
          <w:rFonts w:hint="eastAsia"/>
          <w:highlight w:val="none"/>
        </w:rPr>
        <w:t>【文体活动】</w:t>
      </w:r>
    </w:p>
    <w:p w14:paraId="098EF1F3">
      <w:pPr>
        <w:rPr>
          <w:rFonts w:hint="eastAsia" w:hAnsi="宋体" w:cs="宋体"/>
          <w:highlight w:val="none"/>
        </w:rPr>
      </w:pPr>
      <w:r>
        <w:rPr>
          <w:rFonts w:hint="eastAsia" w:hAnsi="宋体" w:cs="宋体"/>
          <w:highlight w:val="none"/>
        </w:rPr>
        <w:t>2015年12月，举办首届广场舞大赛。参加广场舞的队伍有10个，人数150人；参加的单位有市文联、市文化局、市宣传部、镇政府、邓坊卫生院、邓坊中小学、幼儿园、村委会。</w:t>
      </w:r>
    </w:p>
    <w:p w14:paraId="40247FAC">
      <w:pPr>
        <w:pStyle w:val="4"/>
        <w:bidi w:val="0"/>
        <w:rPr>
          <w:rFonts w:hint="eastAsia"/>
          <w:highlight w:val="none"/>
        </w:rPr>
      </w:pPr>
      <w:r>
        <w:rPr>
          <w:rFonts w:hint="eastAsia"/>
          <w:highlight w:val="none"/>
        </w:rPr>
        <w:t>【各村（居）委会基本情况】</w:t>
      </w:r>
    </w:p>
    <w:p w14:paraId="15CC46F8">
      <w:pPr>
        <w:rPr>
          <w:rFonts w:hint="eastAsia" w:hAnsi="宋体" w:cs="宋体"/>
          <w:b/>
          <w:highlight w:val="none"/>
        </w:rPr>
      </w:pPr>
      <w:r>
        <w:rPr>
          <w:rFonts w:hint="eastAsia" w:hAnsi="宋体" w:cs="宋体"/>
          <w:b/>
          <w:highlight w:val="none"/>
        </w:rPr>
        <w:t>茶头背</w:t>
      </w:r>
      <w:r>
        <w:rPr>
          <w:rFonts w:hint="eastAsia" w:hAnsi="宋体" w:cs="宋体"/>
          <w:b/>
          <w:highlight w:val="none"/>
          <w:lang w:val="en-US" w:eastAsia="zh-CN"/>
        </w:rPr>
        <w:t xml:space="preserve">  </w:t>
      </w:r>
      <w:r>
        <w:rPr>
          <w:rFonts w:hint="eastAsia" w:hAnsi="宋体" w:cs="宋体"/>
          <w:highlight w:val="none"/>
        </w:rPr>
        <w:t>村位于镇西北部，距政府所在地8公里，有10个村民小组，223户806人。土地面积735公顷，其中旱地25.2公顷，水田86公顷，林地600公顷，其他25公顷。主要发展粮食、西瓜、香芋、小辣椒等经济作物。有2个专业合作社，1个发展果菜，1个发展毛竹</w:t>
      </w:r>
      <w:r>
        <w:rPr>
          <w:rFonts w:hint="eastAsia" w:hAnsi="宋体" w:cs="宋体"/>
          <w:b/>
          <w:highlight w:val="none"/>
        </w:rPr>
        <w:t>。</w:t>
      </w:r>
    </w:p>
    <w:p w14:paraId="271A8C94">
      <w:pPr>
        <w:rPr>
          <w:rFonts w:hint="eastAsia" w:hAnsi="宋体" w:cs="宋体"/>
          <w:b/>
          <w:highlight w:val="none"/>
        </w:rPr>
      </w:pPr>
      <w:r>
        <w:rPr>
          <w:rFonts w:hint="eastAsia" w:hAnsi="宋体" w:cs="宋体"/>
          <w:b/>
          <w:highlight w:val="none"/>
        </w:rPr>
        <w:t>兰田村</w:t>
      </w:r>
      <w:r>
        <w:rPr>
          <w:rFonts w:hint="eastAsia" w:hAnsi="宋体" w:cs="宋体"/>
          <w:b/>
          <w:highlight w:val="none"/>
          <w:lang w:val="en-US" w:eastAsia="zh-CN"/>
        </w:rPr>
        <w:t xml:space="preserve">  </w:t>
      </w:r>
      <w:r>
        <w:rPr>
          <w:rFonts w:hint="eastAsia" w:hAnsi="宋体" w:cs="宋体"/>
          <w:highlight w:val="none"/>
        </w:rPr>
        <w:t>位于镇西北部，距政府所在地16公里，有12个村民小组，451户1702人。土地面积296公顷，其中耕地90公顷，旱地9.9公顷，水田158公顷，林地267.3公顷，其他119.3公顷。特产有黑米、香菇、竹笋。矿产资源有钨砂</w:t>
      </w:r>
      <w:r>
        <w:rPr>
          <w:rFonts w:hint="eastAsia" w:hAnsi="宋体" w:cs="宋体"/>
          <w:b/>
          <w:highlight w:val="none"/>
        </w:rPr>
        <w:t>。</w:t>
      </w:r>
    </w:p>
    <w:p w14:paraId="1EDF0A85">
      <w:pPr>
        <w:rPr>
          <w:rFonts w:hint="eastAsia" w:hAnsi="宋体" w:cs="宋体"/>
          <w:b/>
          <w:highlight w:val="none"/>
        </w:rPr>
      </w:pPr>
      <w:r>
        <w:rPr>
          <w:rFonts w:hint="eastAsia" w:hAnsi="宋体" w:cs="宋体"/>
          <w:b/>
          <w:highlight w:val="none"/>
        </w:rPr>
        <w:t>上湖村</w:t>
      </w:r>
      <w:r>
        <w:rPr>
          <w:rFonts w:hint="eastAsia" w:hAnsi="宋体" w:cs="宋体"/>
          <w:b/>
          <w:highlight w:val="none"/>
          <w:lang w:val="en-US" w:eastAsia="zh-CN"/>
        </w:rPr>
        <w:t xml:space="preserve">  </w:t>
      </w:r>
      <w:r>
        <w:rPr>
          <w:rFonts w:hint="eastAsia" w:hAnsi="宋体" w:cs="宋体"/>
          <w:highlight w:val="none"/>
        </w:rPr>
        <w:t>位于镇西北部，距镇政府所在地14公里，有10个村民小组，247户887人。有山林面积1400公顷，耕地面积91公顷，特产有茶油、高山果；矿产资源有铁矿</w:t>
      </w:r>
      <w:r>
        <w:rPr>
          <w:rFonts w:hint="eastAsia" w:hAnsi="宋体" w:cs="宋体"/>
          <w:b/>
          <w:highlight w:val="none"/>
        </w:rPr>
        <w:t>。</w:t>
      </w:r>
    </w:p>
    <w:p w14:paraId="6FE31451">
      <w:pPr>
        <w:rPr>
          <w:rFonts w:hint="eastAsia" w:hAnsi="宋体" w:cs="宋体"/>
          <w:b/>
          <w:highlight w:val="none"/>
        </w:rPr>
      </w:pPr>
      <w:r>
        <w:rPr>
          <w:rFonts w:hint="eastAsia" w:hAnsi="宋体" w:cs="宋体"/>
          <w:b/>
          <w:highlight w:val="none"/>
        </w:rPr>
        <w:t>洋西村</w:t>
      </w:r>
      <w:r>
        <w:rPr>
          <w:rFonts w:hint="eastAsia" w:hAnsi="宋体" w:cs="宋体"/>
          <w:b/>
          <w:highlight w:val="none"/>
          <w:lang w:val="en-US" w:eastAsia="zh-CN"/>
        </w:rPr>
        <w:t xml:space="preserve">  </w:t>
      </w:r>
      <w:r>
        <w:rPr>
          <w:rFonts w:hint="eastAsia" w:hAnsi="宋体" w:cs="宋体"/>
          <w:highlight w:val="none"/>
        </w:rPr>
        <w:t>位于镇东部，距政府所在地3公里，辖18个村民小组，592户人口2005人。总面积1163.2公顷，其中耕地面积168.5公顷，林地面积724.4公顷，种黄烟为主</w:t>
      </w:r>
      <w:r>
        <w:rPr>
          <w:rFonts w:hint="eastAsia" w:hAnsi="宋体" w:cs="宋体"/>
          <w:b/>
          <w:highlight w:val="none"/>
        </w:rPr>
        <w:t>。</w:t>
      </w:r>
    </w:p>
    <w:p w14:paraId="0220E1E8">
      <w:pPr>
        <w:rPr>
          <w:rFonts w:hint="eastAsia" w:hAnsi="宋体" w:eastAsia="宋体" w:cs="宋体"/>
          <w:b/>
          <w:highlight w:val="none"/>
          <w:lang w:eastAsia="zh-CN"/>
        </w:rPr>
      </w:pPr>
      <w:r>
        <w:rPr>
          <w:rFonts w:hint="eastAsia" w:hAnsi="宋体" w:cs="宋体"/>
          <w:b/>
          <w:highlight w:val="none"/>
        </w:rPr>
        <w:t>邓坊村</w:t>
      </w:r>
      <w:r>
        <w:rPr>
          <w:rFonts w:hint="eastAsia" w:hAnsi="宋体" w:cs="宋体"/>
          <w:b/>
          <w:highlight w:val="none"/>
          <w:lang w:val="en-US" w:eastAsia="zh-CN"/>
        </w:rPr>
        <w:t xml:space="preserve">  </w:t>
      </w:r>
      <w:r>
        <w:rPr>
          <w:rFonts w:hint="eastAsia" w:hAnsi="宋体" w:cs="宋体"/>
          <w:highlight w:val="none"/>
        </w:rPr>
        <w:t>位于镇中心，是镇政府所在地。总面积1051.3公顷，其中耕地面积191.3公顷，林地面积556.2公顷，辖14个村民小组，706户2531人。特产有米香粘，矿产有花岗岩</w:t>
      </w:r>
      <w:r>
        <w:rPr>
          <w:rFonts w:hint="eastAsia" w:hAnsi="宋体" w:cs="宋体"/>
          <w:b/>
          <w:highlight w:val="none"/>
        </w:rPr>
        <w:t>。</w:t>
      </w:r>
    </w:p>
    <w:p w14:paraId="6F1EABB7">
      <w:pPr>
        <w:rPr>
          <w:rFonts w:hint="eastAsia" w:hAnsi="宋体" w:cs="宋体"/>
          <w:b/>
          <w:highlight w:val="none"/>
        </w:rPr>
      </w:pPr>
      <w:r>
        <w:rPr>
          <w:rFonts w:hint="eastAsia" w:hAnsi="宋体" w:cs="宋体"/>
          <w:b/>
          <w:highlight w:val="none"/>
        </w:rPr>
        <w:t>赤石村</w:t>
      </w:r>
      <w:r>
        <w:rPr>
          <w:rFonts w:hint="eastAsia" w:hAnsi="宋体" w:cs="宋体"/>
          <w:b/>
          <w:highlight w:val="none"/>
          <w:lang w:val="en-US" w:eastAsia="zh-CN"/>
        </w:rPr>
        <w:t xml:space="preserve">  </w:t>
      </w:r>
      <w:r>
        <w:rPr>
          <w:rFonts w:hint="eastAsia" w:hAnsi="宋体" w:cs="宋体"/>
          <w:highlight w:val="none"/>
        </w:rPr>
        <w:t>位于镇南部，距镇政府1公里，和黄坑镇交界，有12个村小组，总户数585户，总人口2246人。土地面积749.4公顷，其中耕地170.8公顷，林地31.7公顷。以种植水稻和黄烟为主。2014年完成农田基本建设改造</w:t>
      </w:r>
      <w:r>
        <w:rPr>
          <w:rFonts w:hint="eastAsia" w:hAnsi="宋体" w:cs="宋体"/>
          <w:b/>
          <w:highlight w:val="none"/>
        </w:rPr>
        <w:t>。</w:t>
      </w:r>
    </w:p>
    <w:p w14:paraId="26F3674F">
      <w:pPr>
        <w:rPr>
          <w:rFonts w:hint="eastAsia" w:hAnsi="宋体" w:cs="宋体"/>
          <w:b/>
          <w:highlight w:val="none"/>
        </w:rPr>
      </w:pPr>
      <w:r>
        <w:rPr>
          <w:rFonts w:hint="eastAsia" w:hAnsi="宋体" w:cs="宋体"/>
          <w:b/>
          <w:highlight w:val="none"/>
        </w:rPr>
        <w:t>赤马村</w:t>
      </w:r>
      <w:r>
        <w:rPr>
          <w:rFonts w:hint="eastAsia" w:hAnsi="宋体" w:cs="宋体"/>
          <w:b/>
          <w:highlight w:val="none"/>
          <w:lang w:val="en-US" w:eastAsia="zh-CN"/>
        </w:rPr>
        <w:t xml:space="preserve">  </w:t>
      </w:r>
      <w:r>
        <w:rPr>
          <w:rFonts w:hint="eastAsia" w:hAnsi="宋体" w:cs="宋体"/>
          <w:highlight w:val="none"/>
        </w:rPr>
        <w:t>位于镇西南部，距离镇政府所在地4.5公里。总面积662.2公顷，其中耕地面积141.3公顷，林地面积222.7公顷，辖8个村民小组，总户数501户人口1843人。种植黄烟、水稻为主</w:t>
      </w:r>
      <w:r>
        <w:rPr>
          <w:rFonts w:hint="eastAsia" w:hAnsi="宋体" w:cs="宋体"/>
          <w:b/>
          <w:highlight w:val="none"/>
        </w:rPr>
        <w:t>。</w:t>
      </w:r>
    </w:p>
    <w:p w14:paraId="5040CD8B">
      <w:pPr>
        <w:rPr>
          <w:rFonts w:hint="eastAsia" w:hAnsi="宋体" w:cs="宋体"/>
          <w:b/>
          <w:highlight w:val="none"/>
        </w:rPr>
      </w:pPr>
      <w:r>
        <w:rPr>
          <w:rFonts w:hint="eastAsia" w:hAnsi="宋体" w:cs="宋体"/>
          <w:b/>
          <w:highlight w:val="none"/>
        </w:rPr>
        <w:t>马战村</w:t>
      </w:r>
      <w:r>
        <w:rPr>
          <w:rFonts w:hint="eastAsia" w:hAnsi="宋体" w:cs="宋体"/>
          <w:b/>
          <w:highlight w:val="none"/>
          <w:lang w:val="en-US" w:eastAsia="zh-CN"/>
        </w:rPr>
        <w:t xml:space="preserve">  </w:t>
      </w:r>
      <w:r>
        <w:rPr>
          <w:rFonts w:hint="eastAsia" w:hAnsi="宋体" w:cs="宋体"/>
          <w:highlight w:val="none"/>
        </w:rPr>
        <w:t>位于镇西部，距离镇政府所在地2.5公里。总面积259.3公顷，其中耕地面积85.2公顷，林地面积63.6公顷，辖7个村民小组，总户数312户，总人口1183人。种植黄烟、玉米、水稻为主</w:t>
      </w:r>
      <w:r>
        <w:rPr>
          <w:rFonts w:hint="eastAsia" w:hAnsi="宋体" w:cs="宋体"/>
          <w:b/>
          <w:highlight w:val="none"/>
        </w:rPr>
        <w:t>。</w:t>
      </w:r>
    </w:p>
    <w:p w14:paraId="646AD7FD">
      <w:pPr>
        <w:rPr>
          <w:rFonts w:hint="eastAsia" w:hAnsi="宋体" w:cs="宋体"/>
          <w:b/>
          <w:highlight w:val="none"/>
        </w:rPr>
      </w:pPr>
      <w:r>
        <w:rPr>
          <w:rFonts w:hint="eastAsia" w:hAnsi="宋体" w:cs="宋体"/>
          <w:b/>
          <w:highlight w:val="none"/>
        </w:rPr>
        <w:t>里源村</w:t>
      </w:r>
      <w:r>
        <w:rPr>
          <w:rFonts w:hint="eastAsia" w:hAnsi="宋体" w:cs="宋体"/>
          <w:b/>
          <w:highlight w:val="none"/>
          <w:lang w:val="en-US" w:eastAsia="zh-CN"/>
        </w:rPr>
        <w:t xml:space="preserve">  </w:t>
      </w:r>
      <w:r>
        <w:rPr>
          <w:rFonts w:hint="eastAsia" w:hAnsi="宋体" w:cs="宋体"/>
          <w:highlight w:val="none"/>
        </w:rPr>
        <w:t>位于镇西北部，距离镇政府所在地4.4公里。有14个村民小组，543户1919人。土地面积1385.8公顷，其中旱地34.8公顷，水田138.6公顷，林地1313.3公顷，其他32.3公顷。主要产业：优质水稻、黄烟、甜玉米</w:t>
      </w:r>
      <w:r>
        <w:rPr>
          <w:rFonts w:hint="eastAsia" w:hAnsi="宋体" w:cs="宋体"/>
          <w:b/>
          <w:highlight w:val="none"/>
        </w:rPr>
        <w:t>。</w:t>
      </w:r>
    </w:p>
    <w:p w14:paraId="6D84B74E">
      <w:pPr>
        <w:rPr>
          <w:rFonts w:hint="eastAsia" w:hAnsi="宋体" w:cs="宋体"/>
          <w:highlight w:val="none"/>
        </w:rPr>
      </w:pPr>
      <w:r>
        <w:rPr>
          <w:rFonts w:hint="eastAsia" w:hAnsi="宋体" w:cs="宋体"/>
          <w:b/>
          <w:highlight w:val="none"/>
        </w:rPr>
        <w:t>居委会</w:t>
      </w:r>
      <w:r>
        <w:rPr>
          <w:rFonts w:hint="eastAsia" w:hAnsi="宋体" w:cs="宋体"/>
          <w:b/>
          <w:highlight w:val="none"/>
          <w:lang w:val="en-US" w:eastAsia="zh-CN"/>
        </w:rPr>
        <w:t xml:space="preserve">  </w:t>
      </w:r>
      <w:r>
        <w:rPr>
          <w:rFonts w:hint="eastAsia" w:hAnsi="宋体" w:cs="宋体"/>
          <w:highlight w:val="none"/>
        </w:rPr>
        <w:t>位于邓坊圩，人口1192人，办公室设在国土所，有干部3人，圩镇面积1平方公里。2015年扩建市场，街道改造二期工程5月完工。（朱祖福）</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FE9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4FECF54">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30095"/>
                  <wp:effectExtent l="0" t="0" r="8890" b="8255"/>
                  <wp:docPr id="114" name="图片 282" descr="中烟公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82" descr="中烟公司"/>
                          <pic:cNvPicPr>
                            <a:picLocks noChangeAspect="1"/>
                          </pic:cNvPicPr>
                        </pic:nvPicPr>
                        <pic:blipFill>
                          <a:blip r:embed="rId119"/>
                          <a:stretch>
                            <a:fillRect/>
                          </a:stretch>
                        </pic:blipFill>
                        <pic:spPr>
                          <a:xfrm>
                            <a:off x="0" y="0"/>
                            <a:ext cx="3420110" cy="2030095"/>
                          </a:xfrm>
                          <a:prstGeom prst="rect">
                            <a:avLst/>
                          </a:prstGeom>
                          <a:noFill/>
                          <a:ln>
                            <a:noFill/>
                          </a:ln>
                        </pic:spPr>
                      </pic:pic>
                    </a:graphicData>
                  </a:graphic>
                </wp:inline>
              </w:drawing>
            </w:r>
          </w:p>
        </w:tc>
      </w:tr>
      <w:tr w14:paraId="3DBAC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38B522A">
            <w:pPr>
              <w:jc w:val="center"/>
              <w:rPr>
                <w:rFonts w:hint="eastAsia" w:hAnsi="宋体" w:cs="宋体"/>
                <w:highlight w:val="none"/>
                <w:vertAlign w:val="baseline"/>
              </w:rPr>
            </w:pPr>
            <w:r>
              <w:rPr>
                <w:rFonts w:hint="eastAsia" w:hAnsi="宋体" w:cs="宋体"/>
                <w:highlight w:val="none"/>
                <w:vertAlign w:val="baseline"/>
              </w:rPr>
              <w:t>广东中烟公司投资800万扶持建设的马战新农村</w:t>
            </w:r>
          </w:p>
        </w:tc>
      </w:tr>
    </w:tbl>
    <w:p w14:paraId="4521B92C">
      <w:pPr>
        <w:rPr>
          <w:rFonts w:hint="eastAsia" w:hAnsi="宋体" w:eastAsia="宋体" w:cs="宋体"/>
          <w:highlight w:val="none"/>
          <w:lang w:eastAsia="zh-CN"/>
        </w:rPr>
      </w:pPr>
      <w:r>
        <w:rPr>
          <w:rFonts w:hint="eastAsia" w:hAnsi="宋体" w:cs="宋体"/>
          <w:highlight w:val="none"/>
        </w:rPr>
        <w:t>附：2015年邓坊镇领导班子成员名单</w:t>
      </w:r>
    </w:p>
    <w:p w14:paraId="1C63B02F">
      <w:pPr>
        <w:rPr>
          <w:rFonts w:hint="eastAsia" w:hAnsi="宋体" w:eastAsia="宋体" w:cs="宋体"/>
          <w:highlight w:val="none"/>
          <w:lang w:eastAsia="zh-CN"/>
        </w:rPr>
      </w:pPr>
      <w:r>
        <w:rPr>
          <w:rFonts w:hint="eastAsia" w:hAnsi="宋体" w:cs="宋体"/>
          <w:highlight w:val="none"/>
        </w:rPr>
        <w:t>党委书记、人大主席：郭才标</w:t>
      </w:r>
    </w:p>
    <w:p w14:paraId="5AD40794">
      <w:pPr>
        <w:rPr>
          <w:rFonts w:hint="eastAsia" w:hAnsi="宋体" w:eastAsia="宋体" w:cs="宋体"/>
          <w:highlight w:val="none"/>
          <w:lang w:eastAsia="zh-CN"/>
        </w:rPr>
      </w:pPr>
      <w:r>
        <w:rPr>
          <w:rFonts w:hint="eastAsia" w:hAnsi="宋体" w:cs="宋体"/>
          <w:highlight w:val="none"/>
        </w:rPr>
        <w:t>党委副书记、镇长：刘小弘</w:t>
      </w:r>
    </w:p>
    <w:p w14:paraId="7038D29C">
      <w:pPr>
        <w:rPr>
          <w:rFonts w:hint="eastAsia" w:hAnsi="宋体" w:eastAsia="宋体" w:cs="宋体"/>
          <w:highlight w:val="none"/>
          <w:lang w:eastAsia="zh-CN"/>
        </w:rPr>
      </w:pPr>
      <w:r>
        <w:rPr>
          <w:rFonts w:hint="eastAsia" w:hAnsi="宋体" w:cs="宋体"/>
          <w:highlight w:val="none"/>
        </w:rPr>
        <w:t>党委副书记：蓝北华</w:t>
      </w:r>
    </w:p>
    <w:p w14:paraId="6C2069DD">
      <w:pPr>
        <w:rPr>
          <w:rFonts w:hint="eastAsia" w:hAnsi="宋体" w:eastAsia="宋体" w:cs="宋体"/>
          <w:highlight w:val="none"/>
          <w:lang w:eastAsia="zh-CN"/>
        </w:rPr>
      </w:pPr>
      <w:r>
        <w:rPr>
          <w:rFonts w:hint="eastAsia" w:hAnsi="宋体" w:cs="宋体"/>
          <w:highlight w:val="none"/>
        </w:rPr>
        <w:t>纪委书记：罗清华</w:t>
      </w:r>
    </w:p>
    <w:p w14:paraId="38FCB7DA">
      <w:pPr>
        <w:rPr>
          <w:rFonts w:hint="eastAsia" w:hAnsi="宋体" w:eastAsia="宋体" w:cs="宋体"/>
          <w:highlight w:val="none"/>
          <w:lang w:eastAsia="zh-CN"/>
        </w:rPr>
      </w:pPr>
      <w:r>
        <w:rPr>
          <w:rFonts w:hint="eastAsia" w:hAnsi="宋体" w:cs="宋体"/>
          <w:highlight w:val="none"/>
        </w:rPr>
        <w:t>组织委员：廖光耀</w:t>
      </w:r>
    </w:p>
    <w:p w14:paraId="512E946E">
      <w:pPr>
        <w:rPr>
          <w:rFonts w:hint="eastAsia" w:hAnsi="宋体" w:eastAsia="宋体" w:cs="宋体"/>
          <w:highlight w:val="none"/>
          <w:lang w:eastAsia="zh-CN"/>
        </w:rPr>
      </w:pPr>
      <w:r>
        <w:rPr>
          <w:rFonts w:hint="eastAsia" w:hAnsi="宋体" w:cs="宋体"/>
          <w:highlight w:val="none"/>
        </w:rPr>
        <w:t>宣传委员：梁常荣</w:t>
      </w:r>
    </w:p>
    <w:p w14:paraId="02414317">
      <w:pPr>
        <w:rPr>
          <w:rFonts w:hint="eastAsia" w:hAnsi="宋体" w:eastAsia="宋体" w:cs="宋体"/>
          <w:highlight w:val="none"/>
          <w:lang w:eastAsia="zh-CN"/>
        </w:rPr>
      </w:pPr>
      <w:r>
        <w:rPr>
          <w:rFonts w:hint="eastAsia" w:hAnsi="宋体" w:cs="宋体"/>
          <w:highlight w:val="none"/>
        </w:rPr>
        <w:t>武装部长：胡锦平</w:t>
      </w:r>
    </w:p>
    <w:p w14:paraId="5680CD68">
      <w:pPr>
        <w:rPr>
          <w:rFonts w:hint="eastAsia" w:hAnsi="宋体" w:eastAsia="宋体" w:cs="宋体"/>
          <w:highlight w:val="none"/>
          <w:lang w:eastAsia="zh-CN"/>
        </w:rPr>
      </w:pPr>
      <w:r>
        <w:rPr>
          <w:rFonts w:hint="eastAsia" w:hAnsi="宋体" w:cs="宋体"/>
          <w:highlight w:val="none"/>
        </w:rPr>
        <w:t>人大副主席：钟海英</w:t>
      </w:r>
    </w:p>
    <w:p w14:paraId="66BA801E">
      <w:pPr>
        <w:rPr>
          <w:rFonts w:hint="eastAsia" w:hAnsi="宋体" w:eastAsia="宋体" w:cs="宋体"/>
          <w:highlight w:val="none"/>
          <w:lang w:eastAsia="zh-CN"/>
        </w:rPr>
      </w:pPr>
      <w:r>
        <w:rPr>
          <w:rFonts w:hint="eastAsia" w:hAnsi="宋体" w:cs="宋体"/>
          <w:highlight w:val="none"/>
        </w:rPr>
        <w:t>综治办专职副主任：胡健</w:t>
      </w:r>
    </w:p>
    <w:p w14:paraId="7F545C62">
      <w:pPr>
        <w:rPr>
          <w:rFonts w:hint="eastAsia" w:hAnsi="宋体" w:eastAsia="宋体" w:cs="宋体"/>
          <w:highlight w:val="none"/>
          <w:lang w:eastAsia="zh-CN"/>
        </w:rPr>
      </w:pPr>
      <w:r>
        <w:rPr>
          <w:rFonts w:hint="eastAsia" w:hAnsi="宋体" w:cs="宋体"/>
          <w:highlight w:val="none"/>
        </w:rPr>
        <w:t>副镇长：朱兆协</w:t>
      </w:r>
      <w:r>
        <w:rPr>
          <w:rFonts w:hint="eastAsia" w:cs="宋体"/>
          <w:highlight w:val="none"/>
          <w:lang w:val="en-US" w:eastAsia="zh-CN"/>
        </w:rPr>
        <w:t xml:space="preserve"> </w:t>
      </w:r>
      <w:r>
        <w:rPr>
          <w:rFonts w:hint="eastAsia" w:hAnsi="宋体" w:cs="宋体"/>
          <w:highlight w:val="none"/>
        </w:rPr>
        <w:t>孙宏澜</w:t>
      </w:r>
      <w:r>
        <w:rPr>
          <w:rFonts w:hint="eastAsia" w:cs="宋体"/>
          <w:highlight w:val="none"/>
          <w:lang w:val="en-US" w:eastAsia="zh-CN"/>
        </w:rPr>
        <w:t xml:space="preserve"> </w:t>
      </w:r>
      <w:r>
        <w:rPr>
          <w:rFonts w:hint="eastAsia" w:hAnsi="宋体" w:cs="宋体"/>
          <w:highlight w:val="none"/>
        </w:rPr>
        <w:t>肖东海</w:t>
      </w:r>
    </w:p>
    <w:p w14:paraId="5D74B58F">
      <w:pPr>
        <w:pStyle w:val="3"/>
        <w:bidi w:val="0"/>
        <w:rPr>
          <w:rFonts w:hint="eastAsia"/>
          <w:highlight w:val="none"/>
        </w:rPr>
      </w:pPr>
      <w:r>
        <w:rPr>
          <w:rFonts w:hint="eastAsia"/>
          <w:highlight w:val="none"/>
        </w:rPr>
        <w:t>帽子峰镇</w:t>
      </w:r>
    </w:p>
    <w:p w14:paraId="0D2172B0">
      <w:pPr>
        <w:pStyle w:val="4"/>
        <w:bidi w:val="0"/>
        <w:rPr>
          <w:rFonts w:hint="eastAsia"/>
          <w:highlight w:val="none"/>
        </w:rPr>
      </w:pPr>
      <w:r>
        <w:rPr>
          <w:rFonts w:hint="eastAsia"/>
          <w:highlight w:val="none"/>
        </w:rPr>
        <w:t>【概况】</w:t>
      </w:r>
    </w:p>
    <w:p w14:paraId="7A3E1F41">
      <w:pPr>
        <w:rPr>
          <w:rFonts w:hint="eastAsia" w:hAnsi="宋体" w:cs="宋体"/>
          <w:highlight w:val="none"/>
        </w:rPr>
      </w:pPr>
      <w:r>
        <w:rPr>
          <w:rFonts w:hint="eastAsia" w:hAnsi="宋体" w:cs="宋体"/>
          <w:highlight w:val="none"/>
        </w:rPr>
        <w:t>帽子峰镇地处南雄市西北部，东临珠玑，南接全安，西靠澜河，北与江西省大余县交界。距市区24公里，镇政府驻帽子峰镇富竹墟，位于北纬25°13′，东经114°13′，邮政编码512429。边境最高山峰形状似帽子，故称此山为帽子峰，海拔高度1058米，亦以此为名。</w:t>
      </w:r>
    </w:p>
    <w:p w14:paraId="1A219317">
      <w:pPr>
        <w:rPr>
          <w:rFonts w:hint="eastAsia" w:hAnsi="宋体" w:cs="宋体"/>
          <w:highlight w:val="none"/>
        </w:rPr>
      </w:pPr>
      <w:r>
        <w:rPr>
          <w:rFonts w:hint="eastAsia" w:hAnsi="宋体" w:cs="宋体"/>
          <w:highlight w:val="none"/>
        </w:rPr>
        <w:t>民国17年（1928年）属第八区人和正乡、人和分乡、人和衷乡。民国29年（1940年）改属第一区永和乡。1949年后属全安（卫星）人民公社、城郊人民公社。1960年从城郊人民公社分出，设帽子峰林业人民公社，后改帽子峰人民公社。1984年改称区。1986年冬撤区建镇。</w:t>
      </w:r>
    </w:p>
    <w:p w14:paraId="1201B4BD">
      <w:pPr>
        <w:rPr>
          <w:rFonts w:hint="eastAsia" w:hAnsi="宋体" w:cs="宋体"/>
          <w:highlight w:val="none"/>
        </w:rPr>
      </w:pPr>
      <w:r>
        <w:rPr>
          <w:rFonts w:hint="eastAsia" w:hAnsi="宋体" w:cs="宋体"/>
          <w:highlight w:val="none"/>
        </w:rPr>
        <w:t>辖5个村委会和1个社区居委会，共56个村民小组。辖区总面积97.21平方公里，其中山林面积12.53万亩，耕地面积1.22万亩。总人口9718人，总户数为3018户，其中农业人口8694人，常住人口6309人。绝大部分为汉族，有畲族1个少数民族共182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8EC2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B539CD8">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38070"/>
                  <wp:effectExtent l="0" t="0" r="8890" b="5080"/>
                  <wp:docPr id="115" name="图片 283" descr="帽子峰公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83" descr="帽子峰公路"/>
                          <pic:cNvPicPr>
                            <a:picLocks noChangeAspect="1"/>
                          </pic:cNvPicPr>
                        </pic:nvPicPr>
                        <pic:blipFill>
                          <a:blip r:embed="rId120"/>
                          <a:stretch>
                            <a:fillRect/>
                          </a:stretch>
                        </pic:blipFill>
                        <pic:spPr>
                          <a:xfrm>
                            <a:off x="0" y="0"/>
                            <a:ext cx="3420110" cy="2338070"/>
                          </a:xfrm>
                          <a:prstGeom prst="rect">
                            <a:avLst/>
                          </a:prstGeom>
                          <a:noFill/>
                          <a:ln>
                            <a:noFill/>
                          </a:ln>
                        </pic:spPr>
                      </pic:pic>
                    </a:graphicData>
                  </a:graphic>
                </wp:inline>
              </w:drawing>
            </w:r>
          </w:p>
        </w:tc>
      </w:tr>
      <w:tr w14:paraId="7745F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81AB4B2">
            <w:pPr>
              <w:jc w:val="center"/>
              <w:rPr>
                <w:rFonts w:hint="eastAsia" w:hAnsi="宋体" w:cs="宋体"/>
                <w:highlight w:val="none"/>
                <w:vertAlign w:val="baseline"/>
              </w:rPr>
            </w:pPr>
            <w:r>
              <w:rPr>
                <w:rFonts w:hint="eastAsia" w:hAnsi="宋体" w:cs="宋体"/>
                <w:highlight w:val="none"/>
                <w:vertAlign w:val="baseline"/>
              </w:rPr>
              <w:t>帽子峰公路施工建设（沈晖林摄）</w:t>
            </w:r>
          </w:p>
        </w:tc>
      </w:tr>
    </w:tbl>
    <w:p w14:paraId="0E78F533">
      <w:pPr>
        <w:pStyle w:val="4"/>
        <w:bidi w:val="0"/>
        <w:rPr>
          <w:rFonts w:hint="eastAsia"/>
          <w:highlight w:val="none"/>
        </w:rPr>
      </w:pPr>
      <w:r>
        <w:rPr>
          <w:rFonts w:hint="eastAsia"/>
          <w:highlight w:val="none"/>
        </w:rPr>
        <w:t>【自然条件】</w:t>
      </w:r>
    </w:p>
    <w:p w14:paraId="4BB10677">
      <w:pPr>
        <w:rPr>
          <w:rFonts w:hint="eastAsia" w:hAnsi="宋体" w:cs="宋体"/>
          <w:highlight w:val="none"/>
        </w:rPr>
      </w:pPr>
      <w:r>
        <w:rPr>
          <w:rFonts w:hint="eastAsia" w:hAnsi="宋体" w:cs="宋体"/>
          <w:highlight w:val="none"/>
        </w:rPr>
        <w:t>地处大廋岭西段山区，属亚热带季风湿润气候区。地质属燕山期花岗岩体及寒武纪、震旦纪变质岩体。云母花岗岩、二长花岗岩遍布全境。土壤类型是花岗岩风化发育而成黄壤和红壤。森林覆盖率76%，树种以松、杉、毛竹为主。境内主要河流年均流量9.26立方米/秒，水能蕴藏量0.54万千瓦。矿场有花岗石、稀土、黄金等。冬短夏长，四季分明，年平均气温19.6℃。适宜种植水稻、黄烟、花生、银杏、田七、桑麻、反季节蔬菜及各种食用、药用菌类等。</w:t>
      </w:r>
    </w:p>
    <w:p w14:paraId="75961D42">
      <w:pPr>
        <w:pStyle w:val="4"/>
        <w:bidi w:val="0"/>
        <w:rPr>
          <w:rFonts w:hint="eastAsia"/>
          <w:highlight w:val="none"/>
        </w:rPr>
      </w:pPr>
      <w:r>
        <w:rPr>
          <w:rFonts w:hint="eastAsia"/>
          <w:highlight w:val="none"/>
        </w:rPr>
        <w:t>【旅游资源】</w:t>
      </w:r>
    </w:p>
    <w:p w14:paraId="61ADB52C">
      <w:pPr>
        <w:rPr>
          <w:rFonts w:hint="eastAsia" w:hAnsi="宋体" w:cs="宋体"/>
          <w:highlight w:val="none"/>
        </w:rPr>
      </w:pPr>
      <w:r>
        <w:rPr>
          <w:rFonts w:hint="eastAsia" w:hAnsi="宋体" w:cs="宋体"/>
          <w:highlight w:val="none"/>
        </w:rPr>
        <w:t>水资源较丰富，水文情况稳定，凌江河有6座梯级电站，拦起6处各具特色的高峡平湖，山水秀丽；帽子峰山海拔1058米，耸立于崇山峻岭之中。帽子峰林场风景宜人，林场资源除用材林外，树木繁多，已知用材林树种有133种，药用植物有168种。林场四季草木繁多，保留着原始森林风貌，四季鸟语花香，20世纪50年代这里曾有华南虎足迹，现偶见有松鼠、麋子出没。发现兰花品种有5种，桂花散生山坑，有的树龄百年以上，八月花开，清香远播。</w:t>
      </w:r>
    </w:p>
    <w:p w14:paraId="3813C1E2">
      <w:pPr>
        <w:pStyle w:val="4"/>
        <w:bidi w:val="0"/>
        <w:rPr>
          <w:rFonts w:hint="eastAsia"/>
          <w:highlight w:val="none"/>
        </w:rPr>
      </w:pPr>
      <w:r>
        <w:rPr>
          <w:rFonts w:hint="eastAsia"/>
          <w:highlight w:val="none"/>
        </w:rPr>
        <w:t>【经济发展】</w:t>
      </w:r>
    </w:p>
    <w:p w14:paraId="4EA8B065">
      <w:pPr>
        <w:rPr>
          <w:rFonts w:hint="eastAsia" w:hAnsi="宋体" w:cs="宋体"/>
          <w:highlight w:val="none"/>
        </w:rPr>
      </w:pPr>
      <w:r>
        <w:rPr>
          <w:rFonts w:hint="eastAsia" w:hAnsi="宋体" w:cs="宋体"/>
          <w:highlight w:val="none"/>
        </w:rPr>
        <w:t>有耕地面积810公顷，人均1.25亩。粮食作物以水稻、薯类和玉米为主，2015年，生产粮食8062吨，其中水稻5805吨，薯类1425吨、玉米382吨。主要经济作物有黄烟、花生、朝天椒，发展蔬菜制种200亩；黄烟收购工作全面完成，种植黄烟1298亩，黄烟收购190.15吨，均价12.63元，100%完成任务。畜牧业以猪、鸡、鸭、牛为主，生猪出栏为14330头、存栏6018头，家禽出栏16.7万只、存栏4.3万只。农村经济总收入15098万元，人均纯收入10381元，完成固定资产投资6280万元。</w:t>
      </w:r>
    </w:p>
    <w:p w14:paraId="5B535DF2">
      <w:pPr>
        <w:pStyle w:val="4"/>
        <w:bidi w:val="0"/>
        <w:rPr>
          <w:rFonts w:hint="eastAsia"/>
          <w:highlight w:val="none"/>
        </w:rPr>
      </w:pPr>
      <w:r>
        <w:rPr>
          <w:rFonts w:hint="eastAsia"/>
          <w:highlight w:val="none"/>
        </w:rPr>
        <w:t>【社会发展】</w:t>
      </w:r>
    </w:p>
    <w:p w14:paraId="05A60D7B">
      <w:pPr>
        <w:rPr>
          <w:rFonts w:hint="eastAsia" w:hAnsi="宋体" w:eastAsia="宋体" w:cs="宋体"/>
          <w:highlight w:val="none"/>
          <w:lang w:eastAsia="zh-CN"/>
        </w:rPr>
      </w:pPr>
      <w:r>
        <w:rPr>
          <w:rFonts w:hint="eastAsia" w:hAnsi="宋体" w:cs="宋体"/>
          <w:highlight w:val="none"/>
        </w:rPr>
        <w:t>2015年，新农保参保任务2450人，完成2450人，完成任务100%；城乡医疗保险任务7930人，完成8016人，完成101.8%。城乡医保返回结算78人次；职工社保扩面工作2015年任务20人，完成23人，完成率115%。</w:t>
      </w:r>
    </w:p>
    <w:p w14:paraId="37F55475">
      <w:pPr>
        <w:pStyle w:val="4"/>
        <w:bidi w:val="0"/>
        <w:rPr>
          <w:rFonts w:hint="eastAsia"/>
          <w:highlight w:val="none"/>
        </w:rPr>
      </w:pPr>
      <w:r>
        <w:rPr>
          <w:rFonts w:hint="eastAsia"/>
          <w:highlight w:val="none"/>
        </w:rPr>
        <w:t>【重点项目】</w:t>
      </w:r>
    </w:p>
    <w:p w14:paraId="11FD7B02">
      <w:pPr>
        <w:rPr>
          <w:rFonts w:hint="eastAsia" w:hAnsi="宋体" w:cs="宋体"/>
          <w:highlight w:val="none"/>
        </w:rPr>
      </w:pPr>
      <w:r>
        <w:rPr>
          <w:rFonts w:hint="eastAsia" w:hAnsi="宋体" w:cs="宋体"/>
          <w:highlight w:val="none"/>
        </w:rPr>
        <w:t>帽子峰公路建设。帽子峰公路建设2014年启动，2014年8月完成11公里征地工作，征地面积350多亩，2015年3月进入施工阶段。配合帽子峰景区停车场建设。按要求完成土地收储任务，配合停车场建设相关工作，停车场2015年11月投入使用。凌江河（帽子峰段）整治工程。凌江河整治工程是南雄市中小河流治理重点整治项目之一，帽子峰段第一期工程在墟镇范围内实施，长约1公里，整治工程总投资700多万元。农村电网改造工程。帽子峰是2015年全省最后一批实施农网改造的镇之一，完成全镇农网改造任务，将解决帽子峰镇用电难问题。</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BFD1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318AA9F">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551430"/>
                  <wp:effectExtent l="0" t="0" r="8890" b="1270"/>
                  <wp:docPr id="116" name="图片 285" descr="停车场建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85" descr="停车场建成"/>
                          <pic:cNvPicPr>
                            <a:picLocks noChangeAspect="1"/>
                          </pic:cNvPicPr>
                        </pic:nvPicPr>
                        <pic:blipFill>
                          <a:blip r:embed="rId121"/>
                          <a:stretch>
                            <a:fillRect/>
                          </a:stretch>
                        </pic:blipFill>
                        <pic:spPr>
                          <a:xfrm>
                            <a:off x="0" y="0"/>
                            <a:ext cx="3420110" cy="2551430"/>
                          </a:xfrm>
                          <a:prstGeom prst="rect">
                            <a:avLst/>
                          </a:prstGeom>
                          <a:noFill/>
                          <a:ln>
                            <a:noFill/>
                          </a:ln>
                        </pic:spPr>
                      </pic:pic>
                    </a:graphicData>
                  </a:graphic>
                </wp:inline>
              </w:drawing>
            </w:r>
          </w:p>
        </w:tc>
      </w:tr>
      <w:tr w14:paraId="7A985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842A107">
            <w:pPr>
              <w:jc w:val="center"/>
              <w:rPr>
                <w:rFonts w:hint="eastAsia" w:hAnsi="宋体" w:cs="宋体"/>
                <w:highlight w:val="none"/>
                <w:vertAlign w:val="baseline"/>
              </w:rPr>
            </w:pPr>
            <w:r>
              <w:rPr>
                <w:rFonts w:hint="eastAsia" w:hAnsi="宋体" w:cs="宋体"/>
                <w:highlight w:val="none"/>
                <w:vertAlign w:val="baseline"/>
              </w:rPr>
              <w:t>帽子峰景区停车场（沈晖林摄）</w:t>
            </w:r>
          </w:p>
        </w:tc>
      </w:tr>
    </w:tbl>
    <w:p w14:paraId="596B4692">
      <w:pPr>
        <w:pStyle w:val="4"/>
        <w:bidi w:val="0"/>
        <w:rPr>
          <w:rFonts w:hint="eastAsia"/>
          <w:highlight w:val="none"/>
        </w:rPr>
      </w:pPr>
      <w:r>
        <w:rPr>
          <w:rFonts w:hint="eastAsia"/>
          <w:highlight w:val="none"/>
        </w:rPr>
        <w:t>【亮点工作】</w:t>
      </w:r>
    </w:p>
    <w:p w14:paraId="73126BAF">
      <w:pPr>
        <w:rPr>
          <w:rFonts w:hint="eastAsia" w:hAnsi="宋体" w:eastAsia="宋体" w:cs="宋体"/>
          <w:highlight w:val="none"/>
          <w:lang w:eastAsia="zh-CN"/>
        </w:rPr>
      </w:pPr>
      <w:r>
        <w:rPr>
          <w:rFonts w:hint="eastAsia" w:hAnsi="宋体" w:cs="宋体"/>
          <w:highlight w:val="none"/>
        </w:rPr>
        <w:t>镇“十个一”亮点工作。建设总面积3000多平方米的帽子峰文体广场，2015年投入使用；完成3.82公里村道水泥硬底化建设，在全镇安装118盏路灯； 2015年8月19日至8月20日协助南雄市赖氏成功举办了姓氏文化旅游节；打造洞头村标兵党组织取得良好成效；利用林业资源和旅游优势，发展林下经济和种植农土特产品，帮助农户增收；通过外出乡贤联系，发展乡村村旅游，建设富俚、河背、畔源村农家乐；打造上龙村兴鑫园专业合作社200亩蔬菜制种示范基地和上龙村甜玉米专业合作社300亩种植基地；建设上龙村老年活动中心，为南雄市老年人日间照料中心示范点之一；在坪山村山塘垇种植600亩高脂松生态示范林；创建坪山新村、富竹富俚文明法治村取得成效，村民素质得到提高。</w:t>
      </w:r>
    </w:p>
    <w:p w14:paraId="6DECBD65">
      <w:pPr>
        <w:pStyle w:val="4"/>
        <w:bidi w:val="0"/>
        <w:rPr>
          <w:rFonts w:hint="eastAsia"/>
          <w:highlight w:val="none"/>
        </w:rPr>
      </w:pPr>
      <w:r>
        <w:rPr>
          <w:rFonts w:hint="eastAsia"/>
          <w:highlight w:val="none"/>
        </w:rPr>
        <w:t>【林业建设】</w:t>
      </w:r>
    </w:p>
    <w:p w14:paraId="2417E06C">
      <w:pPr>
        <w:rPr>
          <w:rFonts w:hint="eastAsia" w:hAnsi="宋体" w:cs="宋体"/>
          <w:highlight w:val="none"/>
        </w:rPr>
      </w:pPr>
      <w:r>
        <w:rPr>
          <w:rFonts w:hint="eastAsia" w:hAnsi="宋体" w:cs="宋体"/>
          <w:highlight w:val="none"/>
        </w:rPr>
        <w:t>加大植树造林工作力度，2015年完成伐区1700亩造林任务，种植树种以杉树为主，完成富俚“万村绿”一个示范点任务，在富俚村公路、河堤两岸种植500多米以银杏、樟树、桂花等树种形成绿化带。森林防火工作，利用派出所警车在各村委会、村小组进行巡逻，宣传森林防火知识，出警23次，出动86人次，在各村张贴60条森林防火标语，悬挂5条横幅，对各林区实行定时定点统一安排农事用火。林业惠农工作，完成2015年2.2万亩生态公益林补偿资金发放，资金发放率达90.2%；完成市林业局下达2014年春季造林补偿工作和2015年春季造林补偿工作，完成2014年春季造林补偿面积2351.8亩。</w:t>
      </w:r>
    </w:p>
    <w:p w14:paraId="24001001">
      <w:pPr>
        <w:pStyle w:val="4"/>
        <w:bidi w:val="0"/>
        <w:rPr>
          <w:rFonts w:hint="eastAsia"/>
          <w:highlight w:val="none"/>
        </w:rPr>
      </w:pPr>
      <w:r>
        <w:rPr>
          <w:rFonts w:hint="eastAsia"/>
          <w:highlight w:val="none"/>
        </w:rPr>
        <w:t>【扶贫“双到”】</w:t>
      </w:r>
    </w:p>
    <w:p w14:paraId="45AA0E6F">
      <w:pPr>
        <w:rPr>
          <w:rFonts w:hint="eastAsia" w:hAnsi="宋体" w:eastAsia="宋体" w:cs="宋体"/>
          <w:highlight w:val="none"/>
          <w:lang w:eastAsia="zh-CN"/>
        </w:rPr>
      </w:pPr>
      <w:r>
        <w:rPr>
          <w:rFonts w:hint="eastAsia" w:hAnsi="宋体" w:cs="宋体"/>
          <w:highlight w:val="none"/>
        </w:rPr>
        <w:t>落实扶贫资金专款专用制度，累计投入资金1069.2万元，其中上龙村602.6万元，坪山村466.6万元，重点帮扶村基础设施建设。坪山、上龙村利用帮扶单位的资金优势，安装58盏路灯，实现村主干道，各自然村道路亮化。落实民生事业，各帮扶单位累计对贫困户子女发放1.68万元助学金。上龙村、坪山村分别投入0.98万元及1.23万元帮助贫困户购买新农保、新农合，使贫困户达到100%参保率。</w:t>
      </w:r>
    </w:p>
    <w:p w14:paraId="6C67370D">
      <w:pPr>
        <w:pStyle w:val="4"/>
        <w:bidi w:val="0"/>
        <w:rPr>
          <w:rFonts w:hint="eastAsia"/>
          <w:highlight w:val="none"/>
        </w:rPr>
      </w:pPr>
      <w:r>
        <w:rPr>
          <w:rFonts w:hint="eastAsia"/>
          <w:highlight w:val="none"/>
        </w:rPr>
        <w:t>【计划生育】</w:t>
      </w:r>
    </w:p>
    <w:p w14:paraId="1806F16E">
      <w:pPr>
        <w:rPr>
          <w:rFonts w:hint="eastAsia" w:hAnsi="宋体" w:cs="宋体"/>
          <w:highlight w:val="none"/>
        </w:rPr>
      </w:pPr>
      <w:r>
        <w:rPr>
          <w:rFonts w:hint="eastAsia" w:hAnsi="宋体" w:cs="宋体"/>
          <w:highlight w:val="none"/>
        </w:rPr>
        <w:t>发放宣传资料3000多份，开展国家免费孕前健康检查项目试点工作，完成免费孕前检查31对。2014年10月至2015年9月，全镇户籍人口出生111人，人口出生率为11.44‰；政策内出生102人，政策生育率为91.89%；其中出生男婴57人，出生女婴54人，出生人口性别比105.56；自然增长53人，自然增长率5.46‰。</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56E0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76BFF446">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727960"/>
                  <wp:effectExtent l="0" t="0" r="8890" b="15240"/>
                  <wp:docPr id="117" name="图片 286" descr="老年活动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86" descr="老年活动中心"/>
                          <pic:cNvPicPr>
                            <a:picLocks noChangeAspect="1"/>
                          </pic:cNvPicPr>
                        </pic:nvPicPr>
                        <pic:blipFill>
                          <a:blip r:embed="rId122"/>
                          <a:stretch>
                            <a:fillRect/>
                          </a:stretch>
                        </pic:blipFill>
                        <pic:spPr>
                          <a:xfrm>
                            <a:off x="0" y="0"/>
                            <a:ext cx="3420110" cy="2727960"/>
                          </a:xfrm>
                          <a:prstGeom prst="rect">
                            <a:avLst/>
                          </a:prstGeom>
                          <a:noFill/>
                          <a:ln>
                            <a:noFill/>
                          </a:ln>
                        </pic:spPr>
                      </pic:pic>
                    </a:graphicData>
                  </a:graphic>
                </wp:inline>
              </w:drawing>
            </w:r>
          </w:p>
        </w:tc>
      </w:tr>
      <w:tr w14:paraId="7495D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0E8B787">
            <w:pPr>
              <w:jc w:val="center"/>
              <w:rPr>
                <w:rFonts w:hint="eastAsia" w:hAnsi="宋体" w:cs="宋体"/>
                <w:highlight w:val="none"/>
                <w:vertAlign w:val="baseline"/>
              </w:rPr>
            </w:pPr>
            <w:r>
              <w:rPr>
                <w:rFonts w:hint="eastAsia" w:hAnsi="宋体" w:cs="宋体"/>
                <w:highlight w:val="none"/>
                <w:vertAlign w:val="baseline"/>
              </w:rPr>
              <w:t>建成的上龙村老年活动中心（聂慧帆摄）</w:t>
            </w:r>
          </w:p>
        </w:tc>
      </w:tr>
    </w:tbl>
    <w:p w14:paraId="38C9C321">
      <w:pPr>
        <w:pStyle w:val="4"/>
        <w:bidi w:val="0"/>
        <w:rPr>
          <w:rFonts w:hint="eastAsia"/>
          <w:highlight w:val="none"/>
        </w:rPr>
      </w:pPr>
      <w:r>
        <w:rPr>
          <w:rFonts w:hint="eastAsia"/>
          <w:highlight w:val="none"/>
        </w:rPr>
        <w:t>【信访维稳】</w:t>
      </w:r>
    </w:p>
    <w:p w14:paraId="1FBEED36">
      <w:pPr>
        <w:rPr>
          <w:rFonts w:hint="eastAsia" w:hAnsi="宋体" w:cs="宋体"/>
          <w:highlight w:val="none"/>
        </w:rPr>
      </w:pPr>
      <w:r>
        <w:rPr>
          <w:rFonts w:hint="eastAsia" w:hAnsi="宋体" w:cs="宋体"/>
          <w:highlight w:val="none"/>
        </w:rPr>
        <w:t>2015年开展矛盾纠纷排查15次，召开人民调解员会议及培训会12次，受理和成功调处各类矛盾纠纷48宗，处理信访问题4宗、集体上访事件1宗，受理率100%，成功调处率99%。</w:t>
      </w:r>
    </w:p>
    <w:p w14:paraId="3D49BD2C">
      <w:pPr>
        <w:pStyle w:val="4"/>
        <w:bidi w:val="0"/>
        <w:rPr>
          <w:rFonts w:hint="eastAsia"/>
          <w:highlight w:val="none"/>
        </w:rPr>
      </w:pPr>
      <w:r>
        <w:rPr>
          <w:rFonts w:hint="eastAsia"/>
          <w:highlight w:val="none"/>
        </w:rPr>
        <w:t>【党建工作】</w:t>
      </w:r>
    </w:p>
    <w:p w14:paraId="2D8EA900">
      <w:pPr>
        <w:rPr>
          <w:rFonts w:hint="eastAsia" w:hAnsi="宋体" w:cs="宋体"/>
          <w:highlight w:val="none"/>
        </w:rPr>
      </w:pPr>
      <w:r>
        <w:rPr>
          <w:rFonts w:hint="eastAsia" w:hAnsi="宋体" w:cs="宋体"/>
          <w:highlight w:val="none"/>
        </w:rPr>
        <w:t>2015年领导干部驻点普遍直接联系群众总户数2214户，入户率为92.6%，收集群众反映问题总数284条次，解决群众问题284条。</w:t>
      </w:r>
    </w:p>
    <w:p w14:paraId="2F8E6490">
      <w:pPr>
        <w:pStyle w:val="4"/>
        <w:bidi w:val="0"/>
        <w:rPr>
          <w:rFonts w:hint="eastAsia"/>
          <w:highlight w:val="none"/>
        </w:rPr>
      </w:pPr>
      <w:r>
        <w:rPr>
          <w:rFonts w:hint="eastAsia"/>
          <w:highlight w:val="none"/>
        </w:rPr>
        <w:t>【各村（居）委会基本情况】</w:t>
      </w:r>
    </w:p>
    <w:p w14:paraId="4D6A787E">
      <w:pPr>
        <w:rPr>
          <w:rFonts w:hint="eastAsia" w:hAnsi="宋体" w:cs="宋体"/>
          <w:highlight w:val="none"/>
        </w:rPr>
      </w:pPr>
      <w:r>
        <w:rPr>
          <w:rFonts w:hint="eastAsia" w:hAnsi="宋体" w:cs="宋体"/>
          <w:b/>
          <w:highlight w:val="none"/>
        </w:rPr>
        <w:t>墟镇社区</w:t>
      </w:r>
      <w:r>
        <w:rPr>
          <w:rFonts w:hint="eastAsia" w:hAnsi="宋体" w:cs="宋体"/>
          <w:b/>
          <w:highlight w:val="none"/>
          <w:lang w:val="en-US" w:eastAsia="zh-CN"/>
        </w:rPr>
        <w:t xml:space="preserve">  </w:t>
      </w:r>
      <w:r>
        <w:rPr>
          <w:rFonts w:hint="eastAsia" w:hAnsi="宋体" w:cs="宋体"/>
          <w:highlight w:val="none"/>
        </w:rPr>
        <w:t>居委会是镇政府所在地，共756户，1024人。</w:t>
      </w:r>
    </w:p>
    <w:p w14:paraId="4AEEF687">
      <w:pPr>
        <w:rPr>
          <w:rFonts w:hint="eastAsia" w:hAnsi="宋体" w:cs="宋体"/>
          <w:highlight w:val="none"/>
        </w:rPr>
      </w:pPr>
      <w:r>
        <w:rPr>
          <w:rFonts w:hint="eastAsia" w:hAnsi="宋体" w:cs="宋体"/>
          <w:b/>
          <w:highlight w:val="none"/>
        </w:rPr>
        <w:t>富竹村委会</w:t>
      </w:r>
      <w:r>
        <w:rPr>
          <w:rFonts w:hint="eastAsia" w:hAnsi="宋体" w:cs="宋体"/>
          <w:b/>
          <w:highlight w:val="none"/>
          <w:lang w:val="en-US" w:eastAsia="zh-CN"/>
        </w:rPr>
        <w:t xml:space="preserve">  </w:t>
      </w:r>
      <w:r>
        <w:rPr>
          <w:rFonts w:hint="eastAsia" w:hAnsi="宋体" w:cs="宋体"/>
          <w:highlight w:val="none"/>
        </w:rPr>
        <w:t>位于镇南部，距离镇政府所在地0.5公里。下辖15个村小组556户，共2207人。其中有畲族28户115人，分布在西石、水南坝村小组，其余为汉族。2015年集体经济收入12.46万元，农村人均纯收入10468元。</w:t>
      </w:r>
    </w:p>
    <w:p w14:paraId="78C17CAC">
      <w:pPr>
        <w:rPr>
          <w:rFonts w:hint="eastAsia" w:hAnsi="宋体" w:cs="宋体"/>
          <w:highlight w:val="none"/>
        </w:rPr>
      </w:pPr>
      <w:r>
        <w:rPr>
          <w:rFonts w:hint="eastAsia" w:hAnsi="宋体" w:cs="宋体"/>
          <w:b/>
          <w:highlight w:val="none"/>
        </w:rPr>
        <w:t>洞头村委会</w:t>
      </w:r>
      <w:r>
        <w:rPr>
          <w:rFonts w:hint="eastAsia" w:hAnsi="宋体" w:cs="宋体"/>
          <w:b/>
          <w:highlight w:val="none"/>
          <w:lang w:val="en-US" w:eastAsia="zh-CN"/>
        </w:rPr>
        <w:t xml:space="preserve">  </w:t>
      </w:r>
      <w:r>
        <w:rPr>
          <w:rFonts w:hint="eastAsia" w:hAnsi="宋体" w:cs="宋体"/>
          <w:highlight w:val="none"/>
        </w:rPr>
        <w:t>位于镇北部，距离镇政府所在地6公里。下辖11个村小组497户，共1920人。其中有畲族5户25人，主要分布在坎头下村小组，其余为汉族。2015年集体经济收入155.6万元，农村人均纯收入10368元。</w:t>
      </w:r>
    </w:p>
    <w:p w14:paraId="66D1BB4B">
      <w:pPr>
        <w:rPr>
          <w:rFonts w:hint="eastAsia" w:hAnsi="宋体" w:eastAsia="宋体" w:cs="宋体"/>
          <w:highlight w:val="none"/>
          <w:lang w:eastAsia="zh-CN"/>
        </w:rPr>
      </w:pPr>
      <w:r>
        <w:rPr>
          <w:rFonts w:hint="eastAsia" w:hAnsi="宋体" w:cs="宋体"/>
          <w:b/>
          <w:highlight w:val="none"/>
        </w:rPr>
        <w:t>坪山村委会</w:t>
      </w:r>
      <w:r>
        <w:rPr>
          <w:rFonts w:hint="eastAsia" w:hAnsi="宋体" w:cs="宋体"/>
          <w:b/>
          <w:highlight w:val="none"/>
          <w:lang w:val="en-US" w:eastAsia="zh-CN"/>
        </w:rPr>
        <w:t xml:space="preserve">  </w:t>
      </w:r>
      <w:r>
        <w:rPr>
          <w:rFonts w:hint="eastAsia" w:hAnsi="宋体" w:cs="宋体"/>
          <w:highlight w:val="none"/>
        </w:rPr>
        <w:t>位于镇东北部，距离镇政府所在地5公里。下辖11个村小组414户，共1532人。2015年集体经济收入40.08万元，农村人均纯收入11083元。</w:t>
      </w:r>
    </w:p>
    <w:p w14:paraId="010ECBF9">
      <w:pPr>
        <w:rPr>
          <w:rFonts w:hint="eastAsia" w:hAnsi="宋体" w:cs="宋体"/>
          <w:highlight w:val="none"/>
        </w:rPr>
      </w:pPr>
      <w:r>
        <w:rPr>
          <w:rFonts w:hint="eastAsia" w:hAnsi="宋体" w:cs="宋体"/>
          <w:b/>
          <w:highlight w:val="none"/>
        </w:rPr>
        <w:t>上龙村委会</w:t>
      </w:r>
      <w:r>
        <w:rPr>
          <w:rFonts w:hint="eastAsia" w:hAnsi="宋体" w:cs="宋体"/>
          <w:b/>
          <w:highlight w:val="none"/>
          <w:lang w:val="en-US" w:eastAsia="zh-CN"/>
        </w:rPr>
        <w:t xml:space="preserve">  </w:t>
      </w:r>
      <w:r>
        <w:rPr>
          <w:rFonts w:hint="eastAsia" w:hAnsi="宋体" w:cs="宋体"/>
          <w:highlight w:val="none"/>
        </w:rPr>
        <w:t>位于镇东北部，距离镇政府所在地7公里。下辖8个村小组400户，共1471人。其中有畲族3户10人，分布在上龙、旱芫村小组，其余为汉族。2015年集体经济收入17.28万元，农村人均纯收入10255元。</w:t>
      </w:r>
    </w:p>
    <w:p w14:paraId="5EC738F5">
      <w:pPr>
        <w:rPr>
          <w:rFonts w:hint="eastAsia" w:hAnsi="宋体" w:cs="宋体"/>
          <w:highlight w:val="none"/>
        </w:rPr>
      </w:pPr>
      <w:r>
        <w:rPr>
          <w:rFonts w:hint="eastAsia" w:hAnsi="宋体" w:cs="宋体"/>
          <w:b/>
          <w:highlight w:val="none"/>
        </w:rPr>
        <w:t>梨树村委会</w:t>
      </w:r>
      <w:r>
        <w:rPr>
          <w:rFonts w:hint="eastAsia" w:hAnsi="宋体" w:cs="宋体"/>
          <w:b/>
          <w:highlight w:val="none"/>
          <w:lang w:val="en-US" w:eastAsia="zh-CN"/>
        </w:rPr>
        <w:t xml:space="preserve">  </w:t>
      </w:r>
      <w:r>
        <w:rPr>
          <w:rFonts w:hint="eastAsia" w:hAnsi="宋体" w:cs="宋体"/>
          <w:highlight w:val="none"/>
        </w:rPr>
        <w:t>位于镇东北部边陲，北与江西省交接，距离帽子峰镇政府所在地8公里，下辖11个村小组395户，共1564人。2015年集体经济收入17.04万元，农村人均纯收入9712元。（聂慧帆）</w:t>
      </w:r>
    </w:p>
    <w:p w14:paraId="15308F69">
      <w:pPr>
        <w:rPr>
          <w:rFonts w:hint="eastAsia" w:hAnsi="宋体" w:eastAsia="宋体" w:cs="宋体"/>
          <w:highlight w:val="none"/>
          <w:lang w:eastAsia="zh-CN"/>
        </w:rPr>
      </w:pPr>
      <w:r>
        <w:rPr>
          <w:rFonts w:hint="eastAsia" w:hAnsi="宋体" w:cs="宋体"/>
          <w:highlight w:val="none"/>
        </w:rPr>
        <w:t>附：2015年帽子峰镇领导班子成员名单</w:t>
      </w:r>
    </w:p>
    <w:p w14:paraId="6011F238">
      <w:pPr>
        <w:rPr>
          <w:rFonts w:hint="eastAsia" w:hAnsi="宋体" w:eastAsia="宋体" w:cs="宋体"/>
          <w:highlight w:val="none"/>
          <w:lang w:eastAsia="zh-CN"/>
        </w:rPr>
      </w:pPr>
      <w:r>
        <w:rPr>
          <w:rFonts w:hint="eastAsia" w:hAnsi="宋体" w:cs="宋体"/>
          <w:highlight w:val="none"/>
        </w:rPr>
        <w:t>党委书记、人大主席：朱世平</w:t>
      </w:r>
    </w:p>
    <w:p w14:paraId="474721C5">
      <w:pPr>
        <w:rPr>
          <w:rFonts w:hint="eastAsia" w:hAnsi="宋体" w:eastAsia="宋体" w:cs="宋体"/>
          <w:highlight w:val="none"/>
          <w:lang w:eastAsia="zh-CN"/>
        </w:rPr>
      </w:pPr>
      <w:r>
        <w:rPr>
          <w:rFonts w:hint="eastAsia" w:hAnsi="宋体" w:cs="宋体"/>
          <w:highlight w:val="none"/>
        </w:rPr>
        <w:t>党委副书记、镇长：徐精华</w:t>
      </w:r>
    </w:p>
    <w:p w14:paraId="2A0C1760">
      <w:pPr>
        <w:rPr>
          <w:rFonts w:hint="eastAsia" w:hAnsi="宋体" w:eastAsia="宋体" w:cs="宋体"/>
          <w:highlight w:val="none"/>
          <w:lang w:eastAsia="zh-CN"/>
        </w:rPr>
      </w:pPr>
      <w:r>
        <w:rPr>
          <w:rFonts w:hint="eastAsia" w:hAnsi="宋体" w:cs="宋体"/>
          <w:highlight w:val="none"/>
        </w:rPr>
        <w:t>党委副书记：罗青山</w:t>
      </w:r>
    </w:p>
    <w:p w14:paraId="0A109506">
      <w:pPr>
        <w:rPr>
          <w:rFonts w:hint="eastAsia" w:hAnsi="宋体" w:eastAsia="宋体" w:cs="宋体"/>
          <w:highlight w:val="none"/>
          <w:lang w:eastAsia="zh-CN"/>
        </w:rPr>
      </w:pPr>
      <w:r>
        <w:rPr>
          <w:rFonts w:hint="eastAsia" w:hAnsi="宋体" w:cs="宋体"/>
          <w:highlight w:val="none"/>
        </w:rPr>
        <w:t>纪委书记：林金山</w:t>
      </w:r>
    </w:p>
    <w:p w14:paraId="7C45A938">
      <w:pPr>
        <w:rPr>
          <w:rFonts w:hint="eastAsia" w:hAnsi="宋体" w:eastAsia="宋体" w:cs="宋体"/>
          <w:highlight w:val="none"/>
          <w:lang w:eastAsia="zh-CN"/>
        </w:rPr>
      </w:pPr>
      <w:r>
        <w:rPr>
          <w:rFonts w:hint="eastAsia" w:hAnsi="宋体" w:cs="宋体"/>
          <w:highlight w:val="none"/>
        </w:rPr>
        <w:t>组织委员：张东桥</w:t>
      </w:r>
    </w:p>
    <w:p w14:paraId="0C93333B">
      <w:pPr>
        <w:rPr>
          <w:rFonts w:hint="eastAsia" w:hAnsi="宋体" w:eastAsia="宋体" w:cs="宋体"/>
          <w:highlight w:val="none"/>
          <w:lang w:eastAsia="zh-CN"/>
        </w:rPr>
      </w:pPr>
      <w:r>
        <w:rPr>
          <w:rFonts w:hint="eastAsia" w:hAnsi="宋体" w:cs="宋体"/>
          <w:highlight w:val="none"/>
        </w:rPr>
        <w:t>宣传委员：戴君文</w:t>
      </w:r>
    </w:p>
    <w:p w14:paraId="414928C5">
      <w:pPr>
        <w:rPr>
          <w:rFonts w:hint="eastAsia" w:hAnsi="宋体" w:eastAsia="宋体" w:cs="宋体"/>
          <w:highlight w:val="none"/>
          <w:lang w:eastAsia="zh-CN"/>
        </w:rPr>
      </w:pPr>
      <w:r>
        <w:rPr>
          <w:rFonts w:hint="eastAsia" w:hAnsi="宋体" w:cs="宋体"/>
          <w:highlight w:val="none"/>
        </w:rPr>
        <w:t>武装部长：钟全华</w:t>
      </w:r>
    </w:p>
    <w:p w14:paraId="1B9E8819">
      <w:pPr>
        <w:rPr>
          <w:rFonts w:hint="eastAsia" w:hAnsi="宋体" w:eastAsia="宋体" w:cs="宋体"/>
          <w:highlight w:val="none"/>
          <w:lang w:eastAsia="zh-CN"/>
        </w:rPr>
      </w:pPr>
      <w:r>
        <w:rPr>
          <w:rFonts w:hint="eastAsia" w:hAnsi="宋体" w:cs="宋体"/>
          <w:highlight w:val="none"/>
        </w:rPr>
        <w:t>党委委员、综治办专职副主任：黄祖胜</w:t>
      </w:r>
    </w:p>
    <w:p w14:paraId="0FBBE5A7">
      <w:pPr>
        <w:ind w:firstLine="405"/>
        <w:rPr>
          <w:rFonts w:hint="eastAsia" w:hAnsi="宋体" w:cs="宋体"/>
          <w:highlight w:val="none"/>
        </w:rPr>
      </w:pPr>
      <w:r>
        <w:rPr>
          <w:rFonts w:hint="eastAsia" w:hAnsi="宋体" w:cs="宋体"/>
          <w:highlight w:val="none"/>
        </w:rPr>
        <w:t>副镇长：李海辉 邱洪 沈学勇</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59B1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57248A8C">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3415"/>
                  <wp:effectExtent l="0" t="0" r="8890" b="635"/>
                  <wp:docPr id="118" name="图片 290" descr="三严三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90" descr="三严三实"/>
                          <pic:cNvPicPr>
                            <a:picLocks noChangeAspect="1"/>
                          </pic:cNvPicPr>
                        </pic:nvPicPr>
                        <pic:blipFill>
                          <a:blip r:embed="rId123"/>
                          <a:stretch>
                            <a:fillRect/>
                          </a:stretch>
                        </pic:blipFill>
                        <pic:spPr>
                          <a:xfrm>
                            <a:off x="0" y="0"/>
                            <a:ext cx="3420110" cy="1923415"/>
                          </a:xfrm>
                          <a:prstGeom prst="rect">
                            <a:avLst/>
                          </a:prstGeom>
                          <a:noFill/>
                          <a:ln>
                            <a:noFill/>
                          </a:ln>
                        </pic:spPr>
                      </pic:pic>
                    </a:graphicData>
                  </a:graphic>
                </wp:inline>
              </w:drawing>
            </w:r>
          </w:p>
        </w:tc>
      </w:tr>
      <w:tr w14:paraId="2A7F4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F8B59FA">
            <w:pPr>
              <w:jc w:val="center"/>
              <w:rPr>
                <w:rFonts w:hint="eastAsia" w:hAnsi="宋体" w:cs="宋体"/>
                <w:highlight w:val="none"/>
                <w:vertAlign w:val="baseline"/>
              </w:rPr>
            </w:pPr>
            <w:r>
              <w:rPr>
                <w:rFonts w:hint="eastAsia" w:hAnsi="宋体" w:cs="宋体"/>
                <w:highlight w:val="none"/>
                <w:vertAlign w:val="baseline"/>
              </w:rPr>
              <w:t>澜河镇开展“三严三实”专题教育活动</w:t>
            </w:r>
          </w:p>
        </w:tc>
      </w:tr>
    </w:tbl>
    <w:p w14:paraId="32A28846">
      <w:pPr>
        <w:pStyle w:val="3"/>
        <w:bidi w:val="0"/>
        <w:rPr>
          <w:rFonts w:hint="eastAsia"/>
          <w:highlight w:val="none"/>
        </w:rPr>
      </w:pPr>
      <w:r>
        <w:rPr>
          <w:rFonts w:hint="eastAsia"/>
          <w:highlight w:val="none"/>
        </w:rPr>
        <w:t>澜河镇</w:t>
      </w:r>
    </w:p>
    <w:p w14:paraId="2C5A428D">
      <w:pPr>
        <w:pStyle w:val="4"/>
        <w:bidi w:val="0"/>
        <w:rPr>
          <w:rFonts w:hint="eastAsia"/>
          <w:highlight w:val="none"/>
        </w:rPr>
      </w:pPr>
      <w:r>
        <w:rPr>
          <w:rFonts w:hint="eastAsia"/>
          <w:highlight w:val="none"/>
        </w:rPr>
        <w:t>【概况】</w:t>
      </w:r>
    </w:p>
    <w:p w14:paraId="41FE6E91">
      <w:pPr>
        <w:rPr>
          <w:rFonts w:hint="eastAsia" w:hAnsi="宋体" w:cs="宋体"/>
          <w:highlight w:val="none"/>
        </w:rPr>
      </w:pPr>
      <w:r>
        <w:rPr>
          <w:rFonts w:hint="eastAsia" w:hAnsi="宋体" w:cs="宋体"/>
          <w:highlight w:val="none"/>
        </w:rPr>
        <w:t>澜河镇位于南雄市西北方向距市区35公里处，是山区镇。相传唐代，在澜河下游2公里处龙坑有一块过江麻石把这条河拦住，人们取名拦河，后改为澜河。镇政府驻地澜河墟，镇辖澜河、上澜、葛坪、上矽、白云、洞底6个村委会及新街社区1个居委会，共79个村小组。澜河镇面积171.3平方公里，是个七山二水一分田山区镇，地势东北低，西南高，低山山脉连绵不断，海拔高度400—800米，地质属花岗岩体，自然土壤为花岗岩红壤及麻红泥田土属，地下蕴藏铀矿、稀土，特色物产有毛竹、冬笋和香菇。2015年末总人口10321人，常住人口5238人，少数民族畲族5户，20人。</w:t>
      </w:r>
    </w:p>
    <w:p w14:paraId="53600658">
      <w:pPr>
        <w:pStyle w:val="4"/>
        <w:bidi w:val="0"/>
        <w:rPr>
          <w:rFonts w:hint="eastAsia"/>
          <w:highlight w:val="none"/>
        </w:rPr>
      </w:pPr>
      <w:r>
        <w:rPr>
          <w:rFonts w:hint="eastAsia"/>
          <w:highlight w:val="none"/>
        </w:rPr>
        <w:t>【经济概况】</w:t>
      </w:r>
    </w:p>
    <w:p w14:paraId="32DF31A4">
      <w:pPr>
        <w:rPr>
          <w:rFonts w:hint="eastAsia" w:hAnsi="宋体" w:eastAsia="宋体" w:cs="宋体"/>
          <w:highlight w:val="none"/>
          <w:lang w:eastAsia="zh-CN"/>
        </w:rPr>
      </w:pPr>
      <w:r>
        <w:rPr>
          <w:rFonts w:hint="eastAsia" w:hAnsi="宋体" w:cs="宋体"/>
          <w:highlight w:val="none"/>
        </w:rPr>
        <w:t>2015年，全镇农村经济总收入为4.6亿元，同比增长15.2%。人均纯收入10335元，增长17.6%，实现全面增长。全年发放农民粮食直补面积面积7860亩，直补资金76.24万元，农作物种子补助资金10多万元，粮食产量稳步增长。成立3个“紫淮山”种植示范基地，种植面积120多亩。投入280多万元，完成11.67公里农村道路水泥硬化。</w:t>
      </w:r>
    </w:p>
    <w:p w14:paraId="12D368D1">
      <w:pPr>
        <w:pStyle w:val="4"/>
        <w:bidi w:val="0"/>
        <w:rPr>
          <w:rFonts w:hint="eastAsia"/>
          <w:highlight w:val="none"/>
        </w:rPr>
      </w:pPr>
      <w:r>
        <w:rPr>
          <w:rFonts w:hint="eastAsia"/>
          <w:highlight w:val="none"/>
        </w:rPr>
        <w:t>【基础设施】</w:t>
      </w:r>
    </w:p>
    <w:p w14:paraId="51109AA7">
      <w:pPr>
        <w:rPr>
          <w:rFonts w:hint="eastAsia" w:hAnsi="宋体" w:cs="宋体"/>
          <w:highlight w:val="none"/>
        </w:rPr>
      </w:pPr>
      <w:r>
        <w:rPr>
          <w:rFonts w:hint="eastAsia" w:hAnsi="宋体" w:cs="宋体"/>
          <w:highlight w:val="none"/>
        </w:rPr>
        <w:t>配置3台垃圾清运车，增加40多个垃圾桶，成立环境卫生综合整治办公室，实现环境整治工作常态化。投资120万元进行饮水工程改造，蓄水池、过滤池等主体工程已经完工，管路铺设工作基本完成。2015年投入280多万元完成11.67公里农村道路水泥硬化，其中，中地桥至杉木岭1.6公里，牛矽村道1.57公里，索道排至牛麻坑等地段5.5公里，上矽山贝1.6公里，上矽台板山1.4公里。</w:t>
      </w:r>
    </w:p>
    <w:p w14:paraId="48D2216E">
      <w:pPr>
        <w:pStyle w:val="4"/>
        <w:bidi w:val="0"/>
        <w:rPr>
          <w:rFonts w:hint="eastAsia"/>
          <w:highlight w:val="none"/>
        </w:rPr>
      </w:pPr>
      <w:r>
        <w:rPr>
          <w:rFonts w:hint="eastAsia"/>
          <w:highlight w:val="none"/>
        </w:rPr>
        <w:t>【社会保障】</w:t>
      </w:r>
    </w:p>
    <w:p w14:paraId="6C3DD4D4">
      <w:pPr>
        <w:rPr>
          <w:rFonts w:hint="eastAsia" w:hAnsi="宋体" w:cs="宋体"/>
          <w:highlight w:val="none"/>
        </w:rPr>
      </w:pPr>
      <w:r>
        <w:rPr>
          <w:rFonts w:hint="eastAsia" w:hAnsi="宋体" w:cs="宋体"/>
          <w:highlight w:val="none"/>
        </w:rPr>
        <w:t>2015年城乡居民养老保险缴费和城乡居民合作医疗缴费工作均100%完成任务；社保扩面人数完成23人，超出任务数3人，社会保险基金征缴额为20万元，超出任务数13万元。</w:t>
      </w:r>
    </w:p>
    <w:p w14:paraId="5ED82C45">
      <w:pPr>
        <w:pStyle w:val="4"/>
        <w:bidi w:val="0"/>
        <w:rPr>
          <w:rFonts w:hint="eastAsia"/>
          <w:highlight w:val="none"/>
        </w:rPr>
      </w:pPr>
      <w:r>
        <w:rPr>
          <w:rFonts w:hint="eastAsia"/>
          <w:highlight w:val="none"/>
        </w:rPr>
        <w:t>【民政救助】</w:t>
      </w:r>
    </w:p>
    <w:p w14:paraId="1E6FE41C">
      <w:pPr>
        <w:rPr>
          <w:rFonts w:hint="eastAsia" w:hAnsi="宋体" w:cs="宋体"/>
          <w:highlight w:val="none"/>
        </w:rPr>
      </w:pPr>
      <w:r>
        <w:rPr>
          <w:rFonts w:hint="eastAsia" w:hAnsi="宋体" w:cs="宋体"/>
          <w:highlight w:val="none"/>
        </w:rPr>
        <w:t>2015年全镇审核上报18户44人低保户申请；投资40万元对敬老院居住环境进行改造，改善居住环境；200名年满80周岁的老人办理养老金登记；69名残疾人办理护理费和生活补助；10户困难户申报医疗救助金3万元；30名60周岁以上老年人办理意外伤害保险；3名孤儿办理阳光助孤，帮助他们继续完成学业。</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C8A5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A68278E">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3415"/>
                  <wp:effectExtent l="0" t="0" r="8890" b="635"/>
                  <wp:docPr id="119" name="图片 292" descr="发放扶贫物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92" descr="发放扶贫物质"/>
                          <pic:cNvPicPr>
                            <a:picLocks noChangeAspect="1"/>
                          </pic:cNvPicPr>
                        </pic:nvPicPr>
                        <pic:blipFill>
                          <a:blip r:embed="rId124"/>
                          <a:stretch>
                            <a:fillRect/>
                          </a:stretch>
                        </pic:blipFill>
                        <pic:spPr>
                          <a:xfrm>
                            <a:off x="0" y="0"/>
                            <a:ext cx="3420110" cy="1923415"/>
                          </a:xfrm>
                          <a:prstGeom prst="rect">
                            <a:avLst/>
                          </a:prstGeom>
                          <a:noFill/>
                          <a:ln>
                            <a:noFill/>
                          </a:ln>
                        </pic:spPr>
                      </pic:pic>
                    </a:graphicData>
                  </a:graphic>
                </wp:inline>
              </w:drawing>
            </w:r>
          </w:p>
        </w:tc>
      </w:tr>
      <w:tr w14:paraId="666CC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C86E1A2">
            <w:pPr>
              <w:jc w:val="center"/>
              <w:rPr>
                <w:rFonts w:hint="eastAsia" w:hAnsi="宋体" w:cs="宋体"/>
                <w:highlight w:val="none"/>
                <w:vertAlign w:val="baseline"/>
              </w:rPr>
            </w:pPr>
            <w:r>
              <w:rPr>
                <w:rFonts w:hint="eastAsia" w:hAnsi="宋体" w:cs="宋体"/>
                <w:highlight w:val="none"/>
                <w:vertAlign w:val="baseline"/>
              </w:rPr>
              <w:t>东莞市谢岗镇扶贫工作人员在洞底村发放扶贫物资</w:t>
            </w:r>
          </w:p>
        </w:tc>
      </w:tr>
    </w:tbl>
    <w:p w14:paraId="56280E68">
      <w:pPr>
        <w:pStyle w:val="4"/>
        <w:bidi w:val="0"/>
        <w:rPr>
          <w:rFonts w:hint="eastAsia"/>
          <w:highlight w:val="none"/>
        </w:rPr>
      </w:pPr>
      <w:r>
        <w:rPr>
          <w:rFonts w:hint="eastAsia"/>
          <w:highlight w:val="none"/>
        </w:rPr>
        <w:t>【计划生育】</w:t>
      </w:r>
    </w:p>
    <w:p w14:paraId="2644DE9A">
      <w:pPr>
        <w:rPr>
          <w:rFonts w:hint="eastAsia" w:hAnsi="宋体" w:cs="宋体"/>
          <w:highlight w:val="none"/>
        </w:rPr>
      </w:pPr>
      <w:r>
        <w:rPr>
          <w:rFonts w:hint="eastAsia" w:hAnsi="宋体" w:cs="宋体"/>
          <w:highlight w:val="none"/>
        </w:rPr>
        <w:t>2015年，澜河镇已婚育妇人数2380人，流入育龄妇女“婚育证明”验证率达100%，无违法。</w:t>
      </w:r>
    </w:p>
    <w:p w14:paraId="4A14BF0F">
      <w:pPr>
        <w:pStyle w:val="4"/>
        <w:bidi w:val="0"/>
        <w:rPr>
          <w:rFonts w:hint="eastAsia"/>
          <w:highlight w:val="none"/>
        </w:rPr>
      </w:pPr>
      <w:r>
        <w:rPr>
          <w:rFonts w:hint="eastAsia"/>
          <w:highlight w:val="none"/>
        </w:rPr>
        <w:t>【林业工作】</w:t>
      </w:r>
    </w:p>
    <w:p w14:paraId="2EACB628">
      <w:pPr>
        <w:rPr>
          <w:rFonts w:hint="eastAsia" w:hAnsi="宋体" w:cs="宋体"/>
          <w:highlight w:val="none"/>
        </w:rPr>
      </w:pPr>
      <w:r>
        <w:rPr>
          <w:rFonts w:hint="eastAsia" w:hAnsi="宋体" w:cs="宋体"/>
          <w:highlight w:val="none"/>
        </w:rPr>
        <w:t>2015年，完成验收42户林农造林面积1400亩。完成生态林补偿发放面积5.96万亩，成立79人森林防火队伍，实行24小时值班制度，并与各林区、村、组层层签订森林防火责任书，加强巡查。全年无一起森林火灾发生。</w:t>
      </w:r>
    </w:p>
    <w:p w14:paraId="430C83E3">
      <w:pPr>
        <w:pStyle w:val="4"/>
        <w:bidi w:val="0"/>
        <w:rPr>
          <w:rFonts w:hint="eastAsia"/>
          <w:highlight w:val="none"/>
        </w:rPr>
      </w:pPr>
      <w:r>
        <w:rPr>
          <w:rFonts w:hint="eastAsia"/>
          <w:highlight w:val="none"/>
        </w:rPr>
        <w:t>【综治维稳】</w:t>
      </w:r>
    </w:p>
    <w:p w14:paraId="0C8E91C2">
      <w:pPr>
        <w:rPr>
          <w:rFonts w:hint="eastAsia" w:hAnsi="宋体" w:cs="宋体"/>
          <w:highlight w:val="none"/>
        </w:rPr>
      </w:pPr>
      <w:r>
        <w:rPr>
          <w:rFonts w:hint="eastAsia" w:hAnsi="宋体" w:cs="宋体"/>
          <w:highlight w:val="none"/>
        </w:rPr>
        <w:t>发挥“一村居，一法律顾问”纠纷调解作用。2015年，镇驻村律师共解答法律咨询43人次，参与调解民事纠纷4起。</w:t>
      </w:r>
    </w:p>
    <w:p w14:paraId="6C230F51">
      <w:pPr>
        <w:pStyle w:val="4"/>
        <w:bidi w:val="0"/>
        <w:rPr>
          <w:rFonts w:hint="eastAsia"/>
          <w:highlight w:val="none"/>
        </w:rPr>
      </w:pPr>
      <w:r>
        <w:rPr>
          <w:rFonts w:hint="eastAsia"/>
          <w:highlight w:val="none"/>
        </w:rPr>
        <w:t>【安全监管】</w:t>
      </w:r>
    </w:p>
    <w:p w14:paraId="6C28210E">
      <w:pPr>
        <w:rPr>
          <w:rFonts w:hint="eastAsia" w:hAnsi="宋体" w:cs="宋体"/>
          <w:highlight w:val="none"/>
        </w:rPr>
      </w:pPr>
      <w:r>
        <w:rPr>
          <w:rFonts w:hint="eastAsia" w:hAnsi="宋体" w:cs="宋体"/>
          <w:highlight w:val="none"/>
        </w:rPr>
        <w:t>与辖区7个村（社区）、26家企业签订安全生产目标管理责任书32份、消防安全责任书32份，澜河镇对人员密集场所、非煤矿山、道路交通、建筑施工、危险化学品、易燃易爆场所等重点安全隐患地区进行不定期排查，累计排查单位100家次，发现各类安全隐患30项，发出整改通知书6份，隐患整改15宗。</w:t>
      </w:r>
    </w:p>
    <w:p w14:paraId="7A554189">
      <w:pPr>
        <w:pStyle w:val="4"/>
        <w:bidi w:val="0"/>
        <w:rPr>
          <w:rFonts w:hint="eastAsia"/>
          <w:highlight w:val="none"/>
        </w:rPr>
      </w:pPr>
      <w:r>
        <w:rPr>
          <w:rFonts w:hint="eastAsia"/>
          <w:highlight w:val="none"/>
        </w:rPr>
        <w:t>【各村委会（社区）基本情况】</w:t>
      </w:r>
    </w:p>
    <w:p w14:paraId="30DD2BFC">
      <w:pPr>
        <w:rPr>
          <w:rFonts w:hint="eastAsia" w:hAnsi="宋体" w:cs="宋体"/>
          <w:highlight w:val="none"/>
        </w:rPr>
      </w:pPr>
      <w:r>
        <w:rPr>
          <w:rFonts w:hint="eastAsia" w:hAnsi="宋体" w:cs="宋体"/>
          <w:b/>
          <w:highlight w:val="none"/>
        </w:rPr>
        <w:t>新街社区</w:t>
      </w:r>
      <w:r>
        <w:rPr>
          <w:rFonts w:hint="eastAsia" w:hAnsi="宋体" w:cs="宋体"/>
          <w:b/>
          <w:highlight w:val="none"/>
          <w:lang w:val="en-US" w:eastAsia="zh-CN"/>
        </w:rPr>
        <w:t xml:space="preserve">  </w:t>
      </w:r>
      <w:r>
        <w:rPr>
          <w:rFonts w:hint="eastAsia" w:hAnsi="宋体" w:cs="宋体"/>
          <w:highlight w:val="none"/>
        </w:rPr>
        <w:t>地处澜河墟镇中心，总面积33公顷，常住人口207人，户籍人口498人，人均纯收入8853元。</w:t>
      </w:r>
    </w:p>
    <w:p w14:paraId="2F873435">
      <w:pPr>
        <w:rPr>
          <w:rFonts w:hint="eastAsia" w:hAnsi="宋体" w:eastAsia="宋体" w:cs="宋体"/>
          <w:highlight w:val="none"/>
          <w:lang w:eastAsia="zh-CN"/>
        </w:rPr>
      </w:pPr>
      <w:r>
        <w:rPr>
          <w:rFonts w:hint="eastAsia" w:hAnsi="宋体" w:cs="宋体"/>
          <w:b/>
          <w:highlight w:val="none"/>
        </w:rPr>
        <w:t>白云村委会</w:t>
      </w:r>
      <w:r>
        <w:rPr>
          <w:rFonts w:hint="eastAsia" w:hAnsi="宋体" w:cs="宋体"/>
          <w:b/>
          <w:highlight w:val="none"/>
          <w:lang w:val="en-US" w:eastAsia="zh-CN"/>
        </w:rPr>
        <w:t xml:space="preserve">  </w:t>
      </w:r>
      <w:r>
        <w:rPr>
          <w:rFonts w:hint="eastAsia" w:hAnsi="宋体" w:cs="宋体"/>
          <w:highlight w:val="none"/>
        </w:rPr>
        <w:t>地处澜河镇西北部，东临帽子峰林场，西接百顺镇，北与江西省接壤。距南雄市区46公里，下辖10个村小组，常住人口537人，户籍人口1512人。全村总面积2688.2公顷，其中耕地面积82.87公顷，山林面积2605.33公顷。辖区内有丰富的矿产资源铀、稀土及特别丰富的水利资源，有小水电站7座，装机容量3200多千瓦。经济收入以种植水稻、花生和毛竹等为主，村集体经济收入来源于电站股份，人均收入8760元。</w:t>
      </w:r>
    </w:p>
    <w:p w14:paraId="62EE5001">
      <w:pPr>
        <w:rPr>
          <w:rFonts w:hint="eastAsia" w:hAnsi="宋体" w:cs="宋体"/>
          <w:highlight w:val="none"/>
        </w:rPr>
      </w:pPr>
      <w:r>
        <w:rPr>
          <w:rFonts w:hint="eastAsia" w:hAnsi="宋体" w:cs="宋体"/>
          <w:b/>
          <w:highlight w:val="none"/>
        </w:rPr>
        <w:t>葛坪村委会</w:t>
      </w:r>
      <w:r>
        <w:rPr>
          <w:rFonts w:hint="eastAsia" w:hAnsi="宋体" w:cs="宋体"/>
          <w:b/>
          <w:highlight w:val="none"/>
          <w:lang w:val="en-US" w:eastAsia="zh-CN"/>
        </w:rPr>
        <w:t xml:space="preserve">  </w:t>
      </w:r>
      <w:r>
        <w:rPr>
          <w:rFonts w:hint="eastAsia" w:hAnsi="宋体" w:cs="宋体"/>
          <w:highlight w:val="none"/>
        </w:rPr>
        <w:t>地处南雄市较为边沿的粤北山区村委会，下辖18个村小组，常住人口1283人，户籍人口2309人。有蓝姓少数民族畲族5户，23人。全村总面积3125.54公顷，其中山林面积2996.67公顷，耕地面积128.87公顷。养殖芒鼠与蛇的农户有1户。发展植树造林的农户有200多户，种植柑橘的农户有7户，种植杨梅的有1户，人均收入8372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EDCD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6F2729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923415"/>
                  <wp:effectExtent l="0" t="0" r="8890" b="635"/>
                  <wp:docPr id="120" name="图片 293" descr="澜河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93" descr="澜河调研"/>
                          <pic:cNvPicPr>
                            <a:picLocks noChangeAspect="1"/>
                          </pic:cNvPicPr>
                        </pic:nvPicPr>
                        <pic:blipFill>
                          <a:blip r:embed="rId125"/>
                          <a:stretch>
                            <a:fillRect/>
                          </a:stretch>
                        </pic:blipFill>
                        <pic:spPr>
                          <a:xfrm>
                            <a:off x="0" y="0"/>
                            <a:ext cx="3420110" cy="1923415"/>
                          </a:xfrm>
                          <a:prstGeom prst="rect">
                            <a:avLst/>
                          </a:prstGeom>
                          <a:noFill/>
                          <a:ln>
                            <a:noFill/>
                          </a:ln>
                        </pic:spPr>
                      </pic:pic>
                    </a:graphicData>
                  </a:graphic>
                </wp:inline>
              </w:drawing>
            </w:r>
          </w:p>
        </w:tc>
      </w:tr>
      <w:tr w14:paraId="0DD45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C477B08">
            <w:pPr>
              <w:jc w:val="center"/>
              <w:rPr>
                <w:rFonts w:hint="eastAsia" w:hAnsi="宋体" w:cs="宋体"/>
                <w:highlight w:val="none"/>
                <w:vertAlign w:val="baseline"/>
              </w:rPr>
            </w:pPr>
            <w:r>
              <w:rPr>
                <w:rFonts w:hint="eastAsia" w:hAnsi="宋体" w:cs="宋体"/>
                <w:highlight w:val="none"/>
                <w:vertAlign w:val="baseline"/>
              </w:rPr>
              <w:t>市委书记曾风保来澜河调研</w:t>
            </w:r>
          </w:p>
        </w:tc>
      </w:tr>
    </w:tbl>
    <w:p w14:paraId="1D63B80F">
      <w:pPr>
        <w:rPr>
          <w:rFonts w:hint="eastAsia" w:hAnsi="宋体" w:cs="宋体"/>
          <w:highlight w:val="none"/>
        </w:rPr>
      </w:pPr>
      <w:r>
        <w:rPr>
          <w:rFonts w:hint="eastAsia" w:hAnsi="宋体" w:cs="宋体"/>
          <w:b/>
          <w:highlight w:val="none"/>
        </w:rPr>
        <w:t>澜河村委会</w:t>
      </w:r>
      <w:r>
        <w:rPr>
          <w:rFonts w:hint="eastAsia" w:hAnsi="宋体" w:cs="宋体"/>
          <w:b/>
          <w:highlight w:val="none"/>
          <w:lang w:val="en-US" w:eastAsia="zh-CN"/>
        </w:rPr>
        <w:t xml:space="preserve">  </w:t>
      </w:r>
      <w:r>
        <w:rPr>
          <w:rFonts w:hint="eastAsia" w:hAnsi="宋体" w:cs="宋体"/>
          <w:highlight w:val="none"/>
        </w:rPr>
        <w:t>东临帽子峰镇，西接白云村委会，南靠上澜村委会，北与帽子峰林场接壤，距市区34公里。下辖11个村小组，常住人口726人，户籍人口1366人。全村总面积1993.3公顷，其中耕地面积76.67公顷，林地面积1916.67公顷。村民收入主要来源于水稻种植、养殖家畜、植树造林及劳务输出，村集体经济收入来源于林场发包，人均收入8743元。</w:t>
      </w:r>
    </w:p>
    <w:p w14:paraId="7C0C6E8E">
      <w:pPr>
        <w:rPr>
          <w:rFonts w:hint="eastAsia" w:hAnsi="宋体" w:cs="宋体"/>
          <w:highlight w:val="none"/>
        </w:rPr>
      </w:pPr>
      <w:r>
        <w:rPr>
          <w:rFonts w:hint="eastAsia" w:hAnsi="宋体" w:cs="宋体"/>
          <w:b/>
          <w:highlight w:val="none"/>
        </w:rPr>
        <w:t>上澜村委会</w:t>
      </w:r>
      <w:r>
        <w:rPr>
          <w:rFonts w:hint="eastAsia" w:hAnsi="宋体" w:cs="宋体"/>
          <w:b/>
          <w:highlight w:val="none"/>
          <w:lang w:val="en-US" w:eastAsia="zh-CN"/>
        </w:rPr>
        <w:t xml:space="preserve">  </w:t>
      </w:r>
      <w:r>
        <w:rPr>
          <w:rFonts w:hint="eastAsia" w:hAnsi="宋体" w:cs="宋体"/>
          <w:highlight w:val="none"/>
        </w:rPr>
        <w:t>东临葛坪村，西接上矽村，南靠全安镇，北与澜河村接壤，距镇政府1.2公里。下辖13个村小组，常住人口795人，户籍人口1472人。全村总面积1467.9公顷，其中林地面积1391.8公顷，耕地面积76公顷。村里大力发展养殖业，养殖黑山羊130多头，村民主要经济来源靠养殖猪、鸡、羊和种植毛竹、杉木及劳务输出，人均收入8691元。</w:t>
      </w:r>
    </w:p>
    <w:p w14:paraId="410FDAE3">
      <w:pPr>
        <w:rPr>
          <w:rFonts w:hint="eastAsia" w:hAnsi="宋体" w:cs="宋体"/>
          <w:highlight w:val="none"/>
        </w:rPr>
      </w:pPr>
      <w:r>
        <w:rPr>
          <w:rFonts w:hint="eastAsia" w:hAnsi="宋体" w:cs="宋体"/>
          <w:b/>
          <w:highlight w:val="none"/>
        </w:rPr>
        <w:t>上矽村委会</w:t>
      </w:r>
      <w:r>
        <w:rPr>
          <w:rFonts w:hint="eastAsia" w:hAnsi="宋体" w:cs="宋体"/>
          <w:b/>
          <w:highlight w:val="none"/>
          <w:lang w:val="en-US" w:eastAsia="zh-CN"/>
        </w:rPr>
        <w:t xml:space="preserve">  </w:t>
      </w:r>
      <w:r>
        <w:rPr>
          <w:rFonts w:hint="eastAsia" w:hAnsi="宋体" w:cs="宋体"/>
          <w:highlight w:val="none"/>
        </w:rPr>
        <w:t>地处澜河镇的西北部，与百顺镇接壤，距市区50公里。下辖19个村小组，常住人口1087人，户籍人口1931人。全村总面积2043.33公顷，其中山林面积1928.67公顷，耕地面积114.67公顷。经济收入来源于种植水稻、花生和毛竹等，人均收入8501元。</w:t>
      </w:r>
    </w:p>
    <w:p w14:paraId="1658A17A">
      <w:pPr>
        <w:rPr>
          <w:rFonts w:hint="eastAsia" w:hAnsi="宋体" w:cs="宋体"/>
          <w:highlight w:val="none"/>
        </w:rPr>
      </w:pPr>
      <w:r>
        <w:rPr>
          <w:rFonts w:hint="eastAsia" w:hAnsi="宋体" w:cs="宋体"/>
          <w:b/>
          <w:highlight w:val="none"/>
        </w:rPr>
        <w:t>洞底村委会</w:t>
      </w:r>
      <w:r>
        <w:rPr>
          <w:rFonts w:hint="eastAsia" w:hAnsi="宋体" w:cs="宋体"/>
          <w:b/>
          <w:highlight w:val="none"/>
          <w:lang w:val="en-US" w:eastAsia="zh-CN"/>
        </w:rPr>
        <w:t xml:space="preserve">  </w:t>
      </w:r>
      <w:r>
        <w:rPr>
          <w:rFonts w:hint="eastAsia" w:hAnsi="宋体" w:cs="宋体"/>
          <w:highlight w:val="none"/>
        </w:rPr>
        <w:t>地处澜河镇最北端，与江西省大余县河洞乡交界，下辖8个村民小组，常住人口747人，户籍人口135人，人均纯收入8543元。全村总面</w:t>
      </w:r>
    </w:p>
    <w:p w14:paraId="0FBB8C1B">
      <w:pPr>
        <w:rPr>
          <w:rFonts w:hint="eastAsia" w:hAnsi="宋体" w:cs="宋体"/>
          <w:highlight w:val="none"/>
        </w:rPr>
      </w:pPr>
      <w:r>
        <w:rPr>
          <w:rFonts w:hint="eastAsia" w:hAnsi="宋体" w:cs="宋体"/>
          <w:highlight w:val="none"/>
        </w:rPr>
        <w:t>积1860公顷，其中山林面积1786.67公顷，耕地面积73.33公顷。主要农作物为水稻、花生、番薯等，人均收入7015元。辖区内有南方特有的原生态红豆杉群，红豆杉直径</w:t>
      </w:r>
    </w:p>
    <w:p w14:paraId="69D225C3">
      <w:pPr>
        <w:rPr>
          <w:rFonts w:hint="eastAsia" w:hAnsi="宋体" w:cs="宋体"/>
          <w:highlight w:val="none"/>
        </w:rPr>
      </w:pPr>
      <w:r>
        <w:rPr>
          <w:rFonts w:hint="eastAsia" w:hAnsi="宋体" w:cs="宋体"/>
          <w:highlight w:val="none"/>
        </w:rPr>
        <w:t>20—90厘米树木6300多棵，树龄在20年至1000年之间。（黄历星）</w:t>
      </w:r>
    </w:p>
    <w:p w14:paraId="4DBC2365">
      <w:pPr>
        <w:rPr>
          <w:rFonts w:hint="eastAsia" w:hAnsi="宋体" w:eastAsia="宋体" w:cs="宋体"/>
          <w:highlight w:val="none"/>
          <w:lang w:eastAsia="zh-CN"/>
        </w:rPr>
      </w:pPr>
      <w:r>
        <w:rPr>
          <w:rFonts w:hint="eastAsia" w:hAnsi="宋体" w:cs="宋体"/>
          <w:highlight w:val="none"/>
        </w:rPr>
        <w:t>附：澜河镇领导班子成员名单</w:t>
      </w:r>
    </w:p>
    <w:p w14:paraId="4631819D">
      <w:pPr>
        <w:rPr>
          <w:rFonts w:hint="eastAsia" w:hAnsi="宋体" w:eastAsia="宋体" w:cs="宋体"/>
          <w:highlight w:val="none"/>
          <w:lang w:eastAsia="zh-CN"/>
        </w:rPr>
      </w:pPr>
      <w:r>
        <w:rPr>
          <w:rFonts w:hint="eastAsia" w:hAnsi="宋体" w:cs="宋体"/>
          <w:highlight w:val="none"/>
        </w:rPr>
        <w:t>镇党委书记、人大主席：钟祥文</w:t>
      </w:r>
    </w:p>
    <w:p w14:paraId="059DD9B3">
      <w:pPr>
        <w:rPr>
          <w:rFonts w:hint="eastAsia" w:hAnsi="宋体" w:eastAsia="宋体" w:cs="宋体"/>
          <w:highlight w:val="none"/>
          <w:lang w:eastAsia="zh-CN"/>
        </w:rPr>
      </w:pPr>
      <w:r>
        <w:rPr>
          <w:rFonts w:hint="eastAsia" w:hAnsi="宋体" w:cs="宋体"/>
          <w:highlight w:val="none"/>
        </w:rPr>
        <w:t>党委副书记、镇长：郭君</w:t>
      </w:r>
    </w:p>
    <w:p w14:paraId="68B5AA9D">
      <w:pPr>
        <w:rPr>
          <w:rFonts w:hint="eastAsia" w:hAnsi="宋体" w:eastAsia="宋体" w:cs="宋体"/>
          <w:highlight w:val="none"/>
          <w:lang w:eastAsia="zh-CN"/>
        </w:rPr>
      </w:pPr>
      <w:r>
        <w:rPr>
          <w:rFonts w:hint="eastAsia" w:hAnsi="宋体" w:cs="宋体"/>
          <w:highlight w:val="none"/>
        </w:rPr>
        <w:t>党委副书记：何松山</w:t>
      </w:r>
    </w:p>
    <w:p w14:paraId="57BA92A7">
      <w:pPr>
        <w:rPr>
          <w:rFonts w:hint="eastAsia" w:hAnsi="宋体" w:eastAsia="宋体" w:cs="宋体"/>
          <w:highlight w:val="none"/>
          <w:lang w:eastAsia="zh-CN"/>
        </w:rPr>
      </w:pPr>
      <w:r>
        <w:rPr>
          <w:rFonts w:hint="eastAsia" w:hAnsi="宋体" w:cs="宋体"/>
          <w:highlight w:val="none"/>
        </w:rPr>
        <w:t>纪委书记：温则给</w:t>
      </w:r>
    </w:p>
    <w:p w14:paraId="6D1056D6">
      <w:pPr>
        <w:rPr>
          <w:rFonts w:hint="eastAsia" w:hAnsi="宋体" w:eastAsia="宋体" w:cs="宋体"/>
          <w:highlight w:val="none"/>
          <w:lang w:eastAsia="zh-CN"/>
        </w:rPr>
      </w:pPr>
      <w:r>
        <w:rPr>
          <w:rFonts w:hint="eastAsia" w:hAnsi="宋体" w:cs="宋体"/>
          <w:highlight w:val="none"/>
        </w:rPr>
        <w:t>组织委员：刘芳</w:t>
      </w:r>
    </w:p>
    <w:p w14:paraId="1051C776">
      <w:pPr>
        <w:rPr>
          <w:rFonts w:hint="eastAsia" w:hAnsi="宋体" w:eastAsia="宋体" w:cs="宋体"/>
          <w:highlight w:val="none"/>
          <w:lang w:eastAsia="zh-CN"/>
        </w:rPr>
      </w:pPr>
      <w:r>
        <w:rPr>
          <w:rFonts w:hint="eastAsia" w:hAnsi="宋体" w:cs="宋体"/>
          <w:highlight w:val="none"/>
        </w:rPr>
        <w:t>宣传委员：李小全</w:t>
      </w:r>
    </w:p>
    <w:p w14:paraId="77F89D9D">
      <w:pPr>
        <w:rPr>
          <w:rFonts w:hint="eastAsia" w:hAnsi="宋体" w:eastAsia="宋体" w:cs="宋体"/>
          <w:highlight w:val="none"/>
          <w:lang w:eastAsia="zh-CN"/>
        </w:rPr>
      </w:pPr>
      <w:r>
        <w:rPr>
          <w:rFonts w:hint="eastAsia" w:hAnsi="宋体" w:cs="宋体"/>
          <w:highlight w:val="none"/>
        </w:rPr>
        <w:t>党委委员、人大副主席：杨简彬</w:t>
      </w:r>
    </w:p>
    <w:p w14:paraId="6A45E459">
      <w:pPr>
        <w:rPr>
          <w:rFonts w:hint="eastAsia" w:hAnsi="宋体" w:eastAsia="宋体" w:cs="宋体"/>
          <w:highlight w:val="none"/>
          <w:lang w:eastAsia="zh-CN"/>
        </w:rPr>
      </w:pPr>
      <w:r>
        <w:rPr>
          <w:rFonts w:hint="eastAsia" w:hAnsi="宋体" w:cs="宋体"/>
          <w:highlight w:val="none"/>
        </w:rPr>
        <w:t>党委委员、武装部长：黄兆海</w:t>
      </w:r>
    </w:p>
    <w:p w14:paraId="55215D66">
      <w:pPr>
        <w:rPr>
          <w:rFonts w:hint="eastAsia" w:hAnsi="宋体" w:eastAsia="宋体" w:cs="宋体"/>
          <w:highlight w:val="none"/>
          <w:lang w:eastAsia="zh-CN"/>
        </w:rPr>
      </w:pPr>
      <w:r>
        <w:rPr>
          <w:rFonts w:hint="eastAsia" w:hAnsi="宋体" w:cs="宋体"/>
          <w:highlight w:val="none"/>
        </w:rPr>
        <w:t>党委委员、综治办专职副主任：陈如红</w:t>
      </w:r>
    </w:p>
    <w:p w14:paraId="41981172">
      <w:pPr>
        <w:rPr>
          <w:rFonts w:hint="eastAsia" w:hAnsi="宋体" w:eastAsia="宋体" w:cs="宋体"/>
          <w:highlight w:val="none"/>
          <w:lang w:eastAsia="zh-CN"/>
        </w:rPr>
      </w:pPr>
      <w:r>
        <w:rPr>
          <w:rFonts w:hint="eastAsia" w:hAnsi="宋体" w:cs="宋体"/>
          <w:highlight w:val="none"/>
        </w:rPr>
        <w:t>副镇长：张振云 刘烈军</w:t>
      </w:r>
      <w:r>
        <w:rPr>
          <w:rFonts w:hint="eastAsia" w:hAnsi="宋体" w:cs="宋体"/>
          <w:highlight w:val="none"/>
          <w:lang w:val="en-US" w:eastAsia="zh-CN"/>
        </w:rPr>
        <w:t xml:space="preserve"> </w:t>
      </w:r>
      <w:r>
        <w:rPr>
          <w:rFonts w:hint="eastAsia" w:hAnsi="宋体" w:cs="宋体"/>
          <w:highlight w:val="none"/>
        </w:rPr>
        <w:t>徐学锋（任至3月）</w:t>
      </w:r>
    </w:p>
    <w:p w14:paraId="5C3B6A68">
      <w:pPr>
        <w:pStyle w:val="3"/>
        <w:bidi w:val="0"/>
        <w:rPr>
          <w:rFonts w:hint="eastAsia"/>
          <w:highlight w:val="none"/>
        </w:rPr>
      </w:pPr>
      <w:r>
        <w:rPr>
          <w:rFonts w:hint="eastAsia"/>
          <w:highlight w:val="none"/>
        </w:rPr>
        <w:t>油山镇</w:t>
      </w:r>
    </w:p>
    <w:p w14:paraId="7BD77C68">
      <w:pPr>
        <w:pStyle w:val="4"/>
        <w:bidi w:val="0"/>
        <w:rPr>
          <w:rFonts w:hint="eastAsia"/>
          <w:highlight w:val="none"/>
        </w:rPr>
      </w:pPr>
      <w:r>
        <w:rPr>
          <w:rFonts w:hint="eastAsia"/>
          <w:highlight w:val="none"/>
        </w:rPr>
        <w:t>【概况】</w:t>
      </w:r>
    </w:p>
    <w:p w14:paraId="156F7A6A">
      <w:pPr>
        <w:rPr>
          <w:rFonts w:hint="eastAsia" w:hAnsi="宋体" w:cs="宋体"/>
          <w:highlight w:val="none"/>
        </w:rPr>
      </w:pPr>
      <w:r>
        <w:rPr>
          <w:rFonts w:hint="eastAsia" w:hAnsi="宋体" w:cs="宋体"/>
          <w:highlight w:val="none"/>
        </w:rPr>
        <w:t>油山是革命老区，油山镇位于南雄东北部30公里，地处南雄市、江西大余县和江西信丰县三县（市）结合部。东与乌迳镇相邻，南与黄坑镇交界，西与邓坊镇接壤，北与江西大余的池江镇为邻。地质属于亚热带季风性湿润气候，四季分明。农作物主要以种植水稻为主，经济作物有黄烟、花生、大豆、马铃薯等。全镇区域总面积160.4平方公里，其中耕地面积3320公顷，山林面积8582.3公顷，辖下17个行政村和1个社区居委会，共有191个村小组，总人口约3.4万人。</w:t>
      </w:r>
    </w:p>
    <w:p w14:paraId="481C3D28">
      <w:pPr>
        <w:pStyle w:val="4"/>
        <w:bidi w:val="0"/>
        <w:rPr>
          <w:rFonts w:hint="eastAsia"/>
          <w:highlight w:val="none"/>
        </w:rPr>
      </w:pPr>
      <w:r>
        <w:rPr>
          <w:rFonts w:hint="eastAsia"/>
          <w:highlight w:val="none"/>
        </w:rPr>
        <w:t>【农业生产】</w:t>
      </w:r>
    </w:p>
    <w:p w14:paraId="71091F32">
      <w:pPr>
        <w:rPr>
          <w:rFonts w:hint="eastAsia" w:hAnsi="宋体" w:cs="宋体"/>
          <w:highlight w:val="none"/>
        </w:rPr>
      </w:pPr>
      <w:r>
        <w:rPr>
          <w:rFonts w:hint="eastAsia" w:hAnsi="宋体" w:cs="宋体"/>
          <w:highlight w:val="none"/>
        </w:rPr>
        <w:t>全镇实现土地流转面积1.2万亩，完成早稻种植1452亩，花生种植面积6021亩，春玉米种植面积926亩。黄烟种植面积6075亩，完成黄烟收购870.6吨，收购资金达2045万元。发展农业专业合作社24家，种粮大户20户。创办3间农场，发展红肉脐橙种植农户32户，种植面积5035亩。</w:t>
      </w:r>
    </w:p>
    <w:p w14:paraId="6119B2CB">
      <w:pPr>
        <w:pStyle w:val="4"/>
        <w:bidi w:val="0"/>
        <w:rPr>
          <w:rFonts w:hint="eastAsia"/>
          <w:highlight w:val="none"/>
        </w:rPr>
      </w:pPr>
      <w:r>
        <w:rPr>
          <w:rFonts w:hint="eastAsia"/>
          <w:highlight w:val="none"/>
        </w:rPr>
        <w:t>【镇“十个一”亮点工作】</w:t>
      </w:r>
    </w:p>
    <w:p w14:paraId="2B212A52">
      <w:pPr>
        <w:rPr>
          <w:rFonts w:hint="eastAsia" w:hAnsi="宋体" w:cs="宋体"/>
          <w:highlight w:val="none"/>
        </w:rPr>
      </w:pPr>
      <w:r>
        <w:rPr>
          <w:rFonts w:hint="eastAsia" w:hAnsi="宋体" w:cs="宋体"/>
          <w:highlight w:val="none"/>
        </w:rPr>
        <w:t>安装平林村村道路灯。投入资金63万元，对平林村2公里的村道安装路灯136盏</w:t>
      </w:r>
      <w:r>
        <w:rPr>
          <w:rFonts w:hint="eastAsia" w:hAnsi="宋体" w:cs="宋体"/>
          <w:highlight w:val="none"/>
          <w:lang w:eastAsia="zh-CN"/>
        </w:rPr>
        <w:t>，</w:t>
      </w:r>
      <w:r>
        <w:rPr>
          <w:rFonts w:hint="eastAsia" w:hAnsi="宋体" w:cs="宋体"/>
          <w:highlight w:val="none"/>
        </w:rPr>
        <w:t>解决当地村民夜间出行难问题。</w:t>
      </w:r>
    </w:p>
    <w:p w14:paraId="6854DB2A">
      <w:pPr>
        <w:rPr>
          <w:rFonts w:hint="eastAsia" w:hAnsi="宋体" w:cs="宋体"/>
          <w:highlight w:val="none"/>
        </w:rPr>
      </w:pPr>
      <w:r>
        <w:rPr>
          <w:rFonts w:hint="eastAsia" w:hAnsi="宋体" w:cs="宋体"/>
          <w:highlight w:val="none"/>
        </w:rPr>
        <w:t>建立生态示范林。投入资金10万元，在黄田村地域新种树木2万株，将黄田村面积近800亩打造成生态示范林。</w:t>
      </w:r>
    </w:p>
    <w:p w14:paraId="24D964A0">
      <w:pPr>
        <w:rPr>
          <w:rFonts w:hint="eastAsia" w:hAnsi="宋体" w:cs="宋体"/>
          <w:highlight w:val="none"/>
        </w:rPr>
      </w:pPr>
      <w:r>
        <w:rPr>
          <w:rFonts w:hint="eastAsia" w:hAnsi="宋体" w:cs="宋体"/>
          <w:highlight w:val="none"/>
        </w:rPr>
        <w:t>建设油山镇文体广场。项目选址在原大塘供销社榨菜厂，占地面积4136平方米，建筑面积3400平方米。</w:t>
      </w:r>
    </w:p>
    <w:p w14:paraId="26935201">
      <w:pPr>
        <w:rPr>
          <w:rFonts w:hint="eastAsia" w:hAnsi="宋体" w:cs="宋体"/>
          <w:highlight w:val="none"/>
        </w:rPr>
      </w:pPr>
      <w:r>
        <w:rPr>
          <w:rFonts w:hint="eastAsia" w:hAnsi="宋体" w:cs="宋体"/>
          <w:highlight w:val="none"/>
        </w:rPr>
        <w:t>发展红肉脐橙种植。通过“公司+农户+基地”模式，红肉脐橙种植已发展到32户和3家农场。</w:t>
      </w:r>
    </w:p>
    <w:p w14:paraId="47771163">
      <w:pPr>
        <w:rPr>
          <w:rFonts w:hint="eastAsia" w:hAnsi="宋体" w:cs="宋体"/>
          <w:highlight w:val="none"/>
        </w:rPr>
      </w:pPr>
      <w:r>
        <w:rPr>
          <w:rFonts w:hint="eastAsia" w:hAnsi="宋体" w:cs="宋体"/>
          <w:highlight w:val="none"/>
        </w:rPr>
        <w:t>创办红肉脐橙种植示范基地。油山红肉脐橙示范基地连接莲山、大兰、黄地、坪田坳等4个村，完成土地流转5035亩，种植脐橙幼苗3万多株。</w:t>
      </w:r>
    </w:p>
    <w:p w14:paraId="629C64E2">
      <w:pPr>
        <w:rPr>
          <w:rFonts w:hint="eastAsia" w:hAnsi="宋体" w:cs="宋体"/>
          <w:highlight w:val="none"/>
        </w:rPr>
      </w:pPr>
      <w:r>
        <w:rPr>
          <w:rFonts w:hint="eastAsia" w:hAnsi="宋体" w:cs="宋体"/>
          <w:highlight w:val="none"/>
        </w:rPr>
        <w:t>协办南雄市黄氏姓氏文化节。7月21日，协助南雄珠玑古巷黄氏联谊会成功在珠玑巷举办南雄市黄氏姓氏文化节。珠三角、港澳同胞黄氏宗亲500多人参加，黄氏宗亲1000多人观看特色文艺表演，获得捐助路灯善款25万余元。</w:t>
      </w:r>
    </w:p>
    <w:p w14:paraId="0CA060D1">
      <w:pPr>
        <w:rPr>
          <w:rFonts w:hint="eastAsia" w:hAnsi="宋体" w:cs="宋体"/>
          <w:highlight w:val="none"/>
        </w:rPr>
      </w:pPr>
      <w:r>
        <w:rPr>
          <w:rFonts w:hint="eastAsia" w:hAnsi="宋体" w:cs="宋体"/>
          <w:highlight w:val="none"/>
        </w:rPr>
        <w:t>打造孔村“五好”标兵党组织。围绕“领导班子好、党员队伍好、工作机制好、工作业绩好、群众反映好”的“五好”标准，将孔村村打造成标兵党组织。</w:t>
      </w:r>
    </w:p>
    <w:p w14:paraId="10180E59">
      <w:pPr>
        <w:rPr>
          <w:rFonts w:hint="eastAsia" w:hAnsi="宋体" w:cs="宋体"/>
          <w:highlight w:val="none"/>
        </w:rPr>
      </w:pPr>
      <w:r>
        <w:rPr>
          <w:rFonts w:hint="eastAsia" w:hAnsi="宋体" w:cs="宋体"/>
          <w:highlight w:val="none"/>
        </w:rPr>
        <w:t>创办古城文明法制新村。印发资料2000多份下发到农户，通过“一村一律师一法律顾问”活动开展法律知识专题讲座4次，通过挖掘当地典型案例现身说法，使</w:t>
      </w:r>
      <w:r>
        <w:rPr>
          <w:rFonts w:hint="eastAsia" w:cs="宋体"/>
          <w:highlight w:val="none"/>
          <w:lang w:eastAsia="zh-CN"/>
        </w:rPr>
        <w:t>法治意识</w:t>
      </w:r>
      <w:r>
        <w:rPr>
          <w:rFonts w:hint="eastAsia" w:hAnsi="宋体" w:cs="宋体"/>
          <w:highlight w:val="none"/>
        </w:rPr>
        <w:t>深入民心。</w:t>
      </w:r>
    </w:p>
    <w:p w14:paraId="1CBCC1E9">
      <w:pPr>
        <w:rPr>
          <w:rFonts w:hint="eastAsia" w:hAnsi="宋体" w:cs="宋体"/>
          <w:highlight w:val="none"/>
        </w:rPr>
      </w:pPr>
      <w:r>
        <w:rPr>
          <w:rFonts w:hint="eastAsia" w:hAnsi="宋体" w:cs="宋体"/>
          <w:highlight w:val="none"/>
        </w:rPr>
        <w:t>兴建坪田坳老人活动中心。将原油山卫生院楼房（位于坪田坳村）改建成了老人活动中心——幸福院。完成中心场改建，完善好老人活动配套设施，对主体大楼周边杂物进行清理，正常投入使用。</w:t>
      </w:r>
    </w:p>
    <w:p w14:paraId="4D32E71C">
      <w:pPr>
        <w:pStyle w:val="4"/>
        <w:bidi w:val="0"/>
        <w:rPr>
          <w:rFonts w:hint="eastAsia"/>
          <w:highlight w:val="none"/>
        </w:rPr>
      </w:pPr>
      <w:r>
        <w:rPr>
          <w:rFonts w:hint="eastAsia"/>
          <w:highlight w:val="none"/>
        </w:rPr>
        <w:t>【环境卫生整治】</w:t>
      </w:r>
    </w:p>
    <w:p w14:paraId="6B077D4A">
      <w:pPr>
        <w:rPr>
          <w:rFonts w:hint="eastAsia" w:hAnsi="宋体" w:cs="宋体"/>
          <w:highlight w:val="none"/>
        </w:rPr>
      </w:pPr>
      <w:r>
        <w:rPr>
          <w:rFonts w:hint="eastAsia" w:hAnsi="宋体" w:cs="宋体"/>
          <w:highlight w:val="none"/>
        </w:rPr>
        <w:t>建有垃圾中转站１个、填埋场１个，配备7台专用垃圾清理车，成立墟镇环卫队。张贴悬挂标语1000多条，发放倡议书及各类宣传资料万余份，树立永久性村牌10副。</w:t>
      </w:r>
    </w:p>
    <w:p w14:paraId="525F2B33">
      <w:pPr>
        <w:pStyle w:val="4"/>
        <w:bidi w:val="0"/>
        <w:rPr>
          <w:rFonts w:hint="eastAsia"/>
          <w:highlight w:val="none"/>
        </w:rPr>
      </w:pPr>
      <w:r>
        <w:rPr>
          <w:rFonts w:hint="eastAsia"/>
          <w:highlight w:val="none"/>
        </w:rPr>
        <w:t>【基础设施建设】</w:t>
      </w:r>
    </w:p>
    <w:p w14:paraId="34D88885">
      <w:pPr>
        <w:rPr>
          <w:rFonts w:hint="eastAsia" w:hAnsi="宋体" w:cs="宋体"/>
          <w:highlight w:val="none"/>
        </w:rPr>
      </w:pPr>
      <w:r>
        <w:rPr>
          <w:rFonts w:hint="eastAsia" w:hAnsi="宋体" w:cs="宋体"/>
          <w:highlight w:val="none"/>
        </w:rPr>
        <w:t>完成村级道路硬化29.52公里；建设农田灌溉、排水和田间道路工程13985亩；建设20间标准化集群烤烟房，完成47间集群烤房用电设施安装及道路硬化建设。</w:t>
      </w:r>
    </w:p>
    <w:p w14:paraId="50315E35">
      <w:pPr>
        <w:pStyle w:val="4"/>
        <w:bidi w:val="0"/>
        <w:rPr>
          <w:rFonts w:hint="eastAsia"/>
          <w:highlight w:val="none"/>
        </w:rPr>
      </w:pPr>
      <w:r>
        <w:rPr>
          <w:rFonts w:hint="eastAsia"/>
          <w:highlight w:val="none"/>
        </w:rPr>
        <w:t>【计划生育】</w:t>
      </w:r>
    </w:p>
    <w:p w14:paraId="3980BA79">
      <w:pPr>
        <w:rPr>
          <w:rFonts w:hint="eastAsia" w:hAnsi="宋体" w:cs="宋体"/>
          <w:highlight w:val="none"/>
        </w:rPr>
      </w:pPr>
      <w:r>
        <w:rPr>
          <w:rFonts w:hint="eastAsia" w:hAnsi="宋体" w:cs="宋体"/>
          <w:highlight w:val="none"/>
        </w:rPr>
        <w:t>2015年出生人口453人，计划生育率达91.39%。</w:t>
      </w:r>
    </w:p>
    <w:p w14:paraId="03A616AE">
      <w:pPr>
        <w:pStyle w:val="4"/>
        <w:bidi w:val="0"/>
        <w:rPr>
          <w:rFonts w:hint="eastAsia"/>
          <w:highlight w:val="none"/>
        </w:rPr>
      </w:pPr>
      <w:r>
        <w:rPr>
          <w:rFonts w:hint="eastAsia"/>
          <w:highlight w:val="none"/>
        </w:rPr>
        <w:t>【扶贫“双到”工作】</w:t>
      </w:r>
    </w:p>
    <w:p w14:paraId="3979B68A">
      <w:pPr>
        <w:rPr>
          <w:rFonts w:hint="eastAsia" w:hAnsi="宋体" w:cs="宋体"/>
          <w:highlight w:val="none"/>
        </w:rPr>
      </w:pPr>
      <w:r>
        <w:rPr>
          <w:rFonts w:hint="eastAsia" w:hAnsi="宋体" w:cs="宋体"/>
          <w:highlight w:val="none"/>
        </w:rPr>
        <w:t>建立扶贫村输血造血功能，帮助6个村统一入股南雄市浈江电业公司、城投公司，获得稳定收益分红，贫困村实现集体年均收入达10万元。开展各类农业技能培训和就业技能培训，发动127户贫困户成立优质稻种植专业合作社，发展优质稻种植868户1762亩，贫困户年人均纯收入达10694元。</w:t>
      </w:r>
    </w:p>
    <w:p w14:paraId="2A1485C7">
      <w:pPr>
        <w:pStyle w:val="4"/>
        <w:bidi w:val="0"/>
        <w:rPr>
          <w:rFonts w:hint="eastAsia"/>
          <w:highlight w:val="none"/>
        </w:rPr>
      </w:pPr>
      <w:r>
        <w:rPr>
          <w:rFonts w:hint="eastAsia"/>
          <w:highlight w:val="none"/>
        </w:rPr>
        <w:t>【综治维稳】</w:t>
      </w:r>
    </w:p>
    <w:p w14:paraId="43D5C12C">
      <w:pPr>
        <w:rPr>
          <w:rFonts w:hint="eastAsia" w:hAnsi="宋体" w:cs="宋体"/>
          <w:highlight w:val="none"/>
        </w:rPr>
      </w:pPr>
      <w:r>
        <w:rPr>
          <w:rFonts w:hint="eastAsia" w:hAnsi="宋体" w:cs="宋体"/>
          <w:highlight w:val="none"/>
        </w:rPr>
        <w:t>全镇充分依靠镇村两级调解会、村小组、派出所的力量，将矛盾化解在基层，化解在萌芽状态。2015年调处各类民间纠纷百余起；接待群众来信来访48件，办结率100%。</w:t>
      </w:r>
    </w:p>
    <w:p w14:paraId="2789CCFB">
      <w:pPr>
        <w:pStyle w:val="4"/>
        <w:bidi w:val="0"/>
        <w:rPr>
          <w:rFonts w:hint="eastAsia"/>
          <w:highlight w:val="none"/>
        </w:rPr>
      </w:pPr>
      <w:r>
        <w:rPr>
          <w:rFonts w:hint="eastAsia"/>
          <w:highlight w:val="none"/>
        </w:rPr>
        <w:t>【劳动与社会保障】</w:t>
      </w:r>
    </w:p>
    <w:p w14:paraId="28A0C18F">
      <w:pPr>
        <w:rPr>
          <w:rFonts w:hint="eastAsia" w:hAnsi="宋体" w:cs="宋体"/>
          <w:highlight w:val="none"/>
        </w:rPr>
      </w:pPr>
      <w:r>
        <w:rPr>
          <w:rFonts w:hint="eastAsia" w:hAnsi="宋体" w:cs="宋体"/>
          <w:highlight w:val="none"/>
        </w:rPr>
        <w:t>城乡养老保险续保完成人数6395人，缴费资金达76万元，城乡医疗保险参保人数2.5万人。社保扩面人数完成27人，劳动力培训人数40人，新增就业人数55人，就业困难人员就业人数10人，新增转移就业劳动力450人。</w:t>
      </w:r>
    </w:p>
    <w:p w14:paraId="36368D3E">
      <w:pPr>
        <w:pStyle w:val="4"/>
        <w:bidi w:val="0"/>
        <w:rPr>
          <w:rFonts w:hint="eastAsia"/>
          <w:highlight w:val="none"/>
        </w:rPr>
      </w:pPr>
      <w:r>
        <w:rPr>
          <w:rFonts w:hint="eastAsia"/>
          <w:highlight w:val="none"/>
        </w:rPr>
        <w:t>【安全生产和食品药品监督工作】</w:t>
      </w:r>
    </w:p>
    <w:p w14:paraId="7C5B9F35">
      <w:pPr>
        <w:rPr>
          <w:rFonts w:hint="eastAsia" w:hAnsi="宋体" w:cs="宋体"/>
          <w:highlight w:val="none"/>
        </w:rPr>
      </w:pPr>
      <w:r>
        <w:rPr>
          <w:rFonts w:hint="eastAsia" w:hAnsi="宋体" w:cs="宋体"/>
          <w:highlight w:val="none"/>
        </w:rPr>
        <w:t>落实安全责任制，深入开展大检查和“八打八治”专项整治行动，与各村、各单位企业签订责任书，从而使全镇的食品药品安全放心，保障群众切身利益。</w:t>
      </w:r>
    </w:p>
    <w:p w14:paraId="3051B530">
      <w:pPr>
        <w:pStyle w:val="4"/>
        <w:bidi w:val="0"/>
        <w:rPr>
          <w:rFonts w:hint="eastAsia"/>
          <w:highlight w:val="none"/>
        </w:rPr>
      </w:pPr>
      <w:r>
        <w:rPr>
          <w:rFonts w:hint="eastAsia"/>
          <w:highlight w:val="none"/>
        </w:rPr>
        <w:t>【各村委会（社区）基本情况】</w:t>
      </w:r>
    </w:p>
    <w:p w14:paraId="1444961C">
      <w:pPr>
        <w:rPr>
          <w:rFonts w:hint="eastAsia" w:hAnsi="宋体" w:eastAsia="宋体" w:cs="宋体"/>
          <w:highlight w:val="none"/>
          <w:lang w:eastAsia="zh-CN"/>
        </w:rPr>
      </w:pPr>
      <w:r>
        <w:rPr>
          <w:rFonts w:hint="eastAsia" w:hAnsi="宋体" w:cs="宋体"/>
          <w:highlight w:val="none"/>
        </w:rPr>
        <w:t>见下表。</w:t>
      </w:r>
    </w:p>
    <w:p w14:paraId="4E1FD062">
      <w:pPr>
        <w:jc w:val="center"/>
        <w:rPr>
          <w:rFonts w:hint="eastAsia" w:hAnsi="宋体" w:cs="宋体"/>
          <w:highlight w:val="none"/>
        </w:rPr>
      </w:pPr>
      <w:r>
        <w:rPr>
          <w:rFonts w:hint="eastAsia" w:hAnsi="宋体" w:cs="宋体"/>
          <w:highlight w:val="none"/>
        </w:rPr>
        <w:t>2015年油山镇各村委会（社区）基本情况</w:t>
      </w:r>
    </w:p>
    <w:p w14:paraId="3667773A">
      <w:pPr>
        <w:ind w:firstLine="420"/>
        <w:rPr>
          <w:rFonts w:hint="eastAsia" w:hAnsi="宋体" w:cs="宋体"/>
          <w:highlight w:val="none"/>
        </w:rPr>
      </w:pPr>
      <w:r>
        <w:rPr>
          <w:rFonts w:hint="eastAsia" w:hAnsi="宋体" w:cs="宋体"/>
          <w:highlight w:val="none"/>
        </w:rPr>
        <w:t>表32</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421"/>
        <w:gridCol w:w="1593"/>
        <w:gridCol w:w="910"/>
        <w:gridCol w:w="910"/>
        <w:gridCol w:w="910"/>
        <w:gridCol w:w="910"/>
        <w:gridCol w:w="1196"/>
      </w:tblGrid>
      <w:tr w14:paraId="3B687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6C7299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序号</w:t>
            </w:r>
          </w:p>
        </w:tc>
        <w:tc>
          <w:tcPr>
            <w:tcW w:w="1203" w:type="dxa"/>
            <w:noWrap w:val="0"/>
            <w:vAlign w:val="center"/>
          </w:tcPr>
          <w:p w14:paraId="49E368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村（社区）名</w:t>
            </w:r>
          </w:p>
        </w:tc>
        <w:tc>
          <w:tcPr>
            <w:tcW w:w="1349" w:type="dxa"/>
            <w:noWrap w:val="0"/>
            <w:vAlign w:val="center"/>
          </w:tcPr>
          <w:p w14:paraId="7B8AA6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区域面积</w:t>
            </w:r>
          </w:p>
          <w:p w14:paraId="450305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（平方公里）</w:t>
            </w:r>
          </w:p>
        </w:tc>
        <w:tc>
          <w:tcPr>
            <w:tcW w:w="771" w:type="dxa"/>
            <w:noWrap w:val="0"/>
            <w:vAlign w:val="center"/>
          </w:tcPr>
          <w:p w14:paraId="7B6B2B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自然村</w:t>
            </w:r>
          </w:p>
          <w:p w14:paraId="5A5804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（个）</w:t>
            </w:r>
          </w:p>
        </w:tc>
        <w:tc>
          <w:tcPr>
            <w:tcW w:w="771" w:type="dxa"/>
            <w:noWrap w:val="0"/>
            <w:vAlign w:val="center"/>
          </w:tcPr>
          <w:p w14:paraId="4C2C20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村小组（个）</w:t>
            </w:r>
          </w:p>
        </w:tc>
        <w:tc>
          <w:tcPr>
            <w:tcW w:w="771" w:type="dxa"/>
            <w:noWrap w:val="0"/>
            <w:vAlign w:val="center"/>
          </w:tcPr>
          <w:p w14:paraId="7A5229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户数</w:t>
            </w:r>
          </w:p>
          <w:p w14:paraId="6A9409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（户）</w:t>
            </w:r>
          </w:p>
        </w:tc>
        <w:tc>
          <w:tcPr>
            <w:tcW w:w="771" w:type="dxa"/>
            <w:noWrap w:val="0"/>
            <w:vAlign w:val="center"/>
          </w:tcPr>
          <w:p w14:paraId="7CF263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总人口</w:t>
            </w:r>
          </w:p>
          <w:p w14:paraId="589E3B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（人）</w:t>
            </w:r>
          </w:p>
        </w:tc>
        <w:tc>
          <w:tcPr>
            <w:tcW w:w="1013" w:type="dxa"/>
            <w:noWrap w:val="0"/>
            <w:vAlign w:val="center"/>
          </w:tcPr>
          <w:p w14:paraId="59F897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耕地面积</w:t>
            </w:r>
          </w:p>
          <w:p w14:paraId="5360C0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（公顷）</w:t>
            </w:r>
          </w:p>
        </w:tc>
      </w:tr>
      <w:tr w14:paraId="4A657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0652DE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1203" w:type="dxa"/>
            <w:noWrap w:val="0"/>
            <w:vAlign w:val="center"/>
          </w:tcPr>
          <w:p w14:paraId="734A1C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坪田坳村</w:t>
            </w:r>
          </w:p>
        </w:tc>
        <w:tc>
          <w:tcPr>
            <w:tcW w:w="1349" w:type="dxa"/>
            <w:noWrap w:val="0"/>
            <w:vAlign w:val="center"/>
          </w:tcPr>
          <w:p w14:paraId="71C6F5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15.85</w:t>
            </w:r>
          </w:p>
        </w:tc>
        <w:tc>
          <w:tcPr>
            <w:tcW w:w="771" w:type="dxa"/>
            <w:noWrap w:val="0"/>
            <w:vAlign w:val="center"/>
          </w:tcPr>
          <w:p w14:paraId="58069E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771" w:type="dxa"/>
            <w:noWrap w:val="0"/>
            <w:vAlign w:val="center"/>
          </w:tcPr>
          <w:p w14:paraId="1400DB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771" w:type="dxa"/>
            <w:noWrap w:val="0"/>
            <w:vAlign w:val="center"/>
          </w:tcPr>
          <w:p w14:paraId="4B0C0C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412</w:t>
            </w:r>
          </w:p>
        </w:tc>
        <w:tc>
          <w:tcPr>
            <w:tcW w:w="771" w:type="dxa"/>
            <w:noWrap w:val="0"/>
            <w:vAlign w:val="center"/>
          </w:tcPr>
          <w:p w14:paraId="7DBE19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1375</w:t>
            </w:r>
          </w:p>
        </w:tc>
        <w:tc>
          <w:tcPr>
            <w:tcW w:w="1013" w:type="dxa"/>
            <w:noWrap w:val="0"/>
            <w:vAlign w:val="center"/>
          </w:tcPr>
          <w:p w14:paraId="4B4F6E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237</w:t>
            </w:r>
          </w:p>
        </w:tc>
      </w:tr>
      <w:tr w14:paraId="440DE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67349D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1203" w:type="dxa"/>
            <w:noWrap w:val="0"/>
            <w:vAlign w:val="center"/>
          </w:tcPr>
          <w:p w14:paraId="266956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莲山村</w:t>
            </w:r>
          </w:p>
        </w:tc>
        <w:tc>
          <w:tcPr>
            <w:tcW w:w="1349" w:type="dxa"/>
            <w:noWrap w:val="0"/>
            <w:vAlign w:val="center"/>
          </w:tcPr>
          <w:p w14:paraId="71F2EF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18.25</w:t>
            </w:r>
          </w:p>
        </w:tc>
        <w:tc>
          <w:tcPr>
            <w:tcW w:w="771" w:type="dxa"/>
            <w:noWrap w:val="0"/>
            <w:vAlign w:val="center"/>
          </w:tcPr>
          <w:p w14:paraId="7AAD8E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w:t>
            </w:r>
          </w:p>
        </w:tc>
        <w:tc>
          <w:tcPr>
            <w:tcW w:w="771" w:type="dxa"/>
            <w:noWrap w:val="0"/>
            <w:vAlign w:val="center"/>
          </w:tcPr>
          <w:p w14:paraId="5CD61A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771" w:type="dxa"/>
            <w:noWrap w:val="0"/>
            <w:vAlign w:val="center"/>
          </w:tcPr>
          <w:p w14:paraId="51ABC6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513</w:t>
            </w:r>
          </w:p>
        </w:tc>
        <w:tc>
          <w:tcPr>
            <w:tcW w:w="771" w:type="dxa"/>
            <w:noWrap w:val="0"/>
            <w:vAlign w:val="center"/>
          </w:tcPr>
          <w:p w14:paraId="0A5259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1663</w:t>
            </w:r>
          </w:p>
        </w:tc>
        <w:tc>
          <w:tcPr>
            <w:tcW w:w="1013" w:type="dxa"/>
            <w:noWrap w:val="0"/>
            <w:vAlign w:val="center"/>
          </w:tcPr>
          <w:p w14:paraId="1134AF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257</w:t>
            </w:r>
          </w:p>
        </w:tc>
      </w:tr>
      <w:tr w14:paraId="2CE6D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5167EB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1203" w:type="dxa"/>
            <w:noWrap w:val="0"/>
            <w:vAlign w:val="center"/>
          </w:tcPr>
          <w:p w14:paraId="5AAD1C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大兰村</w:t>
            </w:r>
          </w:p>
        </w:tc>
        <w:tc>
          <w:tcPr>
            <w:tcW w:w="1349" w:type="dxa"/>
            <w:noWrap w:val="0"/>
            <w:vAlign w:val="center"/>
          </w:tcPr>
          <w:p w14:paraId="0ED126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13.61</w:t>
            </w:r>
          </w:p>
        </w:tc>
        <w:tc>
          <w:tcPr>
            <w:tcW w:w="771" w:type="dxa"/>
            <w:noWrap w:val="0"/>
            <w:vAlign w:val="center"/>
          </w:tcPr>
          <w:p w14:paraId="0EF497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771" w:type="dxa"/>
            <w:noWrap w:val="0"/>
            <w:vAlign w:val="center"/>
          </w:tcPr>
          <w:p w14:paraId="7CD622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771" w:type="dxa"/>
            <w:noWrap w:val="0"/>
            <w:vAlign w:val="center"/>
          </w:tcPr>
          <w:p w14:paraId="2FE11E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355</w:t>
            </w:r>
          </w:p>
        </w:tc>
        <w:tc>
          <w:tcPr>
            <w:tcW w:w="771" w:type="dxa"/>
            <w:noWrap w:val="0"/>
            <w:vAlign w:val="center"/>
          </w:tcPr>
          <w:p w14:paraId="3C7E84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1142</w:t>
            </w:r>
          </w:p>
        </w:tc>
        <w:tc>
          <w:tcPr>
            <w:tcW w:w="1013" w:type="dxa"/>
            <w:noWrap w:val="0"/>
            <w:vAlign w:val="center"/>
          </w:tcPr>
          <w:p w14:paraId="7F77C6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173</w:t>
            </w:r>
          </w:p>
        </w:tc>
      </w:tr>
      <w:tr w14:paraId="7AD66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48" w:type="dxa"/>
            <w:noWrap w:val="0"/>
            <w:vAlign w:val="center"/>
          </w:tcPr>
          <w:p w14:paraId="6D5719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w:t>
            </w:r>
          </w:p>
        </w:tc>
        <w:tc>
          <w:tcPr>
            <w:tcW w:w="1203" w:type="dxa"/>
            <w:noWrap w:val="0"/>
            <w:vAlign w:val="center"/>
          </w:tcPr>
          <w:p w14:paraId="1787A7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平林村</w:t>
            </w:r>
          </w:p>
        </w:tc>
        <w:tc>
          <w:tcPr>
            <w:tcW w:w="1349" w:type="dxa"/>
            <w:noWrap w:val="0"/>
            <w:vAlign w:val="center"/>
          </w:tcPr>
          <w:p w14:paraId="4CCE15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19.96</w:t>
            </w:r>
          </w:p>
        </w:tc>
        <w:tc>
          <w:tcPr>
            <w:tcW w:w="771" w:type="dxa"/>
            <w:noWrap w:val="0"/>
            <w:vAlign w:val="center"/>
          </w:tcPr>
          <w:p w14:paraId="6498B3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w:t>
            </w:r>
          </w:p>
        </w:tc>
        <w:tc>
          <w:tcPr>
            <w:tcW w:w="771" w:type="dxa"/>
            <w:noWrap w:val="0"/>
            <w:vAlign w:val="center"/>
          </w:tcPr>
          <w:p w14:paraId="63B8B2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771" w:type="dxa"/>
            <w:noWrap w:val="0"/>
            <w:vAlign w:val="center"/>
          </w:tcPr>
          <w:p w14:paraId="3CA7C7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650</w:t>
            </w:r>
          </w:p>
        </w:tc>
        <w:tc>
          <w:tcPr>
            <w:tcW w:w="771" w:type="dxa"/>
            <w:noWrap w:val="0"/>
            <w:vAlign w:val="center"/>
          </w:tcPr>
          <w:p w14:paraId="341EE5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2180</w:t>
            </w:r>
          </w:p>
        </w:tc>
        <w:tc>
          <w:tcPr>
            <w:tcW w:w="1013" w:type="dxa"/>
            <w:noWrap w:val="0"/>
            <w:vAlign w:val="center"/>
          </w:tcPr>
          <w:p w14:paraId="2A7BB0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244</w:t>
            </w:r>
          </w:p>
        </w:tc>
      </w:tr>
      <w:tr w14:paraId="38879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7C8C55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1203" w:type="dxa"/>
            <w:noWrap w:val="0"/>
            <w:vAlign w:val="center"/>
          </w:tcPr>
          <w:p w14:paraId="60B2B5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黄地村</w:t>
            </w:r>
          </w:p>
        </w:tc>
        <w:tc>
          <w:tcPr>
            <w:tcW w:w="1349" w:type="dxa"/>
            <w:noWrap w:val="0"/>
            <w:vAlign w:val="center"/>
          </w:tcPr>
          <w:p w14:paraId="2C03CE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13.65</w:t>
            </w:r>
          </w:p>
        </w:tc>
        <w:tc>
          <w:tcPr>
            <w:tcW w:w="771" w:type="dxa"/>
            <w:noWrap w:val="0"/>
            <w:vAlign w:val="center"/>
          </w:tcPr>
          <w:p w14:paraId="20D2E9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771" w:type="dxa"/>
            <w:noWrap w:val="0"/>
            <w:vAlign w:val="center"/>
          </w:tcPr>
          <w:p w14:paraId="15A8A7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771" w:type="dxa"/>
            <w:noWrap w:val="0"/>
            <w:vAlign w:val="center"/>
          </w:tcPr>
          <w:p w14:paraId="1D41B9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239</w:t>
            </w:r>
          </w:p>
        </w:tc>
        <w:tc>
          <w:tcPr>
            <w:tcW w:w="771" w:type="dxa"/>
            <w:noWrap w:val="0"/>
            <w:vAlign w:val="center"/>
          </w:tcPr>
          <w:p w14:paraId="69CA98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727</w:t>
            </w:r>
          </w:p>
        </w:tc>
        <w:tc>
          <w:tcPr>
            <w:tcW w:w="1013" w:type="dxa"/>
            <w:noWrap w:val="0"/>
            <w:vAlign w:val="center"/>
          </w:tcPr>
          <w:p w14:paraId="451C7C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108</w:t>
            </w:r>
          </w:p>
        </w:tc>
      </w:tr>
      <w:tr w14:paraId="05CBA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4F1E6F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1203" w:type="dxa"/>
            <w:noWrap w:val="0"/>
            <w:vAlign w:val="center"/>
          </w:tcPr>
          <w:p w14:paraId="309AF0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爱敬村</w:t>
            </w:r>
          </w:p>
        </w:tc>
        <w:tc>
          <w:tcPr>
            <w:tcW w:w="1349" w:type="dxa"/>
            <w:noWrap w:val="0"/>
            <w:vAlign w:val="center"/>
          </w:tcPr>
          <w:p w14:paraId="779EE5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3.03</w:t>
            </w:r>
          </w:p>
        </w:tc>
        <w:tc>
          <w:tcPr>
            <w:tcW w:w="771" w:type="dxa"/>
            <w:noWrap w:val="0"/>
            <w:vAlign w:val="center"/>
          </w:tcPr>
          <w:p w14:paraId="077C3C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771" w:type="dxa"/>
            <w:noWrap w:val="0"/>
            <w:vAlign w:val="center"/>
          </w:tcPr>
          <w:p w14:paraId="1A05EA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771" w:type="dxa"/>
            <w:noWrap w:val="0"/>
            <w:vAlign w:val="center"/>
          </w:tcPr>
          <w:p w14:paraId="5B9AA3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549</w:t>
            </w:r>
          </w:p>
        </w:tc>
        <w:tc>
          <w:tcPr>
            <w:tcW w:w="771" w:type="dxa"/>
            <w:noWrap w:val="0"/>
            <w:vAlign w:val="center"/>
          </w:tcPr>
          <w:p w14:paraId="51CEB6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1810</w:t>
            </w:r>
          </w:p>
        </w:tc>
        <w:tc>
          <w:tcPr>
            <w:tcW w:w="1013" w:type="dxa"/>
            <w:noWrap w:val="0"/>
            <w:vAlign w:val="center"/>
          </w:tcPr>
          <w:p w14:paraId="7BA822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157</w:t>
            </w:r>
          </w:p>
        </w:tc>
      </w:tr>
      <w:tr w14:paraId="09C7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680F03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1203" w:type="dxa"/>
            <w:noWrap w:val="0"/>
            <w:vAlign w:val="center"/>
          </w:tcPr>
          <w:p w14:paraId="17CD11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浆田村</w:t>
            </w:r>
          </w:p>
        </w:tc>
        <w:tc>
          <w:tcPr>
            <w:tcW w:w="1349" w:type="dxa"/>
            <w:noWrap w:val="0"/>
            <w:vAlign w:val="center"/>
          </w:tcPr>
          <w:p w14:paraId="7A3002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2.39</w:t>
            </w:r>
          </w:p>
        </w:tc>
        <w:tc>
          <w:tcPr>
            <w:tcW w:w="771" w:type="dxa"/>
            <w:noWrap w:val="0"/>
            <w:vAlign w:val="center"/>
          </w:tcPr>
          <w:p w14:paraId="6A3429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771" w:type="dxa"/>
            <w:noWrap w:val="0"/>
            <w:vAlign w:val="center"/>
          </w:tcPr>
          <w:p w14:paraId="3B7F1A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771" w:type="dxa"/>
            <w:noWrap w:val="0"/>
            <w:vAlign w:val="center"/>
          </w:tcPr>
          <w:p w14:paraId="7E1EFD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566</w:t>
            </w:r>
          </w:p>
        </w:tc>
        <w:tc>
          <w:tcPr>
            <w:tcW w:w="771" w:type="dxa"/>
            <w:noWrap w:val="0"/>
            <w:vAlign w:val="center"/>
          </w:tcPr>
          <w:p w14:paraId="3DF8A9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1928</w:t>
            </w:r>
          </w:p>
        </w:tc>
        <w:tc>
          <w:tcPr>
            <w:tcW w:w="1013" w:type="dxa"/>
            <w:noWrap w:val="0"/>
            <w:vAlign w:val="center"/>
          </w:tcPr>
          <w:p w14:paraId="126963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249</w:t>
            </w:r>
          </w:p>
        </w:tc>
      </w:tr>
      <w:tr w14:paraId="310A2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5A5DD2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1203" w:type="dxa"/>
            <w:noWrap w:val="0"/>
            <w:vAlign w:val="center"/>
          </w:tcPr>
          <w:p w14:paraId="13105E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上浆村</w:t>
            </w:r>
          </w:p>
        </w:tc>
        <w:tc>
          <w:tcPr>
            <w:tcW w:w="1349" w:type="dxa"/>
            <w:noWrap w:val="0"/>
            <w:vAlign w:val="center"/>
          </w:tcPr>
          <w:p w14:paraId="3B6C4D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3.90</w:t>
            </w:r>
          </w:p>
        </w:tc>
        <w:tc>
          <w:tcPr>
            <w:tcW w:w="771" w:type="dxa"/>
            <w:noWrap w:val="0"/>
            <w:vAlign w:val="center"/>
          </w:tcPr>
          <w:p w14:paraId="418AED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771" w:type="dxa"/>
            <w:noWrap w:val="0"/>
            <w:vAlign w:val="center"/>
          </w:tcPr>
          <w:p w14:paraId="656895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771" w:type="dxa"/>
            <w:noWrap w:val="0"/>
            <w:vAlign w:val="center"/>
          </w:tcPr>
          <w:p w14:paraId="4DF2FC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469</w:t>
            </w:r>
          </w:p>
        </w:tc>
        <w:tc>
          <w:tcPr>
            <w:tcW w:w="771" w:type="dxa"/>
            <w:noWrap w:val="0"/>
            <w:vAlign w:val="center"/>
          </w:tcPr>
          <w:p w14:paraId="411214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1433</w:t>
            </w:r>
          </w:p>
        </w:tc>
        <w:tc>
          <w:tcPr>
            <w:tcW w:w="1013" w:type="dxa"/>
            <w:noWrap w:val="0"/>
            <w:vAlign w:val="center"/>
          </w:tcPr>
          <w:p w14:paraId="1CF444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247</w:t>
            </w:r>
          </w:p>
        </w:tc>
      </w:tr>
      <w:tr w14:paraId="440F1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7757EF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1203" w:type="dxa"/>
            <w:noWrap w:val="0"/>
            <w:vAlign w:val="center"/>
          </w:tcPr>
          <w:p w14:paraId="30BB37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孔村村</w:t>
            </w:r>
          </w:p>
        </w:tc>
        <w:tc>
          <w:tcPr>
            <w:tcW w:w="1349" w:type="dxa"/>
            <w:noWrap w:val="0"/>
            <w:vAlign w:val="center"/>
          </w:tcPr>
          <w:p w14:paraId="1F8FD4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2.79</w:t>
            </w:r>
          </w:p>
        </w:tc>
        <w:tc>
          <w:tcPr>
            <w:tcW w:w="771" w:type="dxa"/>
            <w:noWrap w:val="0"/>
            <w:vAlign w:val="center"/>
          </w:tcPr>
          <w:p w14:paraId="1DC231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771" w:type="dxa"/>
            <w:noWrap w:val="0"/>
            <w:vAlign w:val="center"/>
          </w:tcPr>
          <w:p w14:paraId="682B58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771" w:type="dxa"/>
            <w:noWrap w:val="0"/>
            <w:vAlign w:val="center"/>
          </w:tcPr>
          <w:p w14:paraId="46ABD7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399</w:t>
            </w:r>
          </w:p>
        </w:tc>
        <w:tc>
          <w:tcPr>
            <w:tcW w:w="771" w:type="dxa"/>
            <w:noWrap w:val="0"/>
            <w:vAlign w:val="center"/>
          </w:tcPr>
          <w:p w14:paraId="08856D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1365</w:t>
            </w:r>
          </w:p>
        </w:tc>
        <w:tc>
          <w:tcPr>
            <w:tcW w:w="1013" w:type="dxa"/>
            <w:noWrap w:val="0"/>
            <w:vAlign w:val="center"/>
          </w:tcPr>
          <w:p w14:paraId="442D56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92</w:t>
            </w:r>
          </w:p>
        </w:tc>
      </w:tr>
      <w:tr w14:paraId="2BDF4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599079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1203" w:type="dxa"/>
            <w:noWrap w:val="0"/>
            <w:vAlign w:val="center"/>
          </w:tcPr>
          <w:p w14:paraId="381AED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延村村</w:t>
            </w:r>
          </w:p>
        </w:tc>
        <w:tc>
          <w:tcPr>
            <w:tcW w:w="1349" w:type="dxa"/>
            <w:noWrap w:val="0"/>
            <w:vAlign w:val="center"/>
          </w:tcPr>
          <w:p w14:paraId="069D8D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4.58</w:t>
            </w:r>
          </w:p>
        </w:tc>
        <w:tc>
          <w:tcPr>
            <w:tcW w:w="771" w:type="dxa"/>
            <w:noWrap w:val="0"/>
            <w:vAlign w:val="center"/>
          </w:tcPr>
          <w:p w14:paraId="3A2F45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771" w:type="dxa"/>
            <w:noWrap w:val="0"/>
            <w:vAlign w:val="center"/>
          </w:tcPr>
          <w:p w14:paraId="2E4430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771" w:type="dxa"/>
            <w:noWrap w:val="0"/>
            <w:vAlign w:val="center"/>
          </w:tcPr>
          <w:p w14:paraId="573BC4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654</w:t>
            </w:r>
          </w:p>
        </w:tc>
        <w:tc>
          <w:tcPr>
            <w:tcW w:w="771" w:type="dxa"/>
            <w:noWrap w:val="0"/>
            <w:vAlign w:val="center"/>
          </w:tcPr>
          <w:p w14:paraId="23D58B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2073</w:t>
            </w:r>
          </w:p>
        </w:tc>
        <w:tc>
          <w:tcPr>
            <w:tcW w:w="1013" w:type="dxa"/>
            <w:noWrap w:val="0"/>
            <w:vAlign w:val="center"/>
          </w:tcPr>
          <w:p w14:paraId="70A3D3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194</w:t>
            </w:r>
          </w:p>
        </w:tc>
      </w:tr>
      <w:tr w14:paraId="0276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23F162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1203" w:type="dxa"/>
            <w:noWrap w:val="0"/>
            <w:vAlign w:val="center"/>
          </w:tcPr>
          <w:p w14:paraId="14AF7B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锦陂村</w:t>
            </w:r>
          </w:p>
        </w:tc>
        <w:tc>
          <w:tcPr>
            <w:tcW w:w="1349" w:type="dxa"/>
            <w:noWrap w:val="0"/>
            <w:vAlign w:val="center"/>
          </w:tcPr>
          <w:p w14:paraId="3ABEA4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7.50</w:t>
            </w:r>
          </w:p>
        </w:tc>
        <w:tc>
          <w:tcPr>
            <w:tcW w:w="771" w:type="dxa"/>
            <w:noWrap w:val="0"/>
            <w:vAlign w:val="center"/>
          </w:tcPr>
          <w:p w14:paraId="0F514A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w:t>
            </w:r>
          </w:p>
        </w:tc>
        <w:tc>
          <w:tcPr>
            <w:tcW w:w="771" w:type="dxa"/>
            <w:noWrap w:val="0"/>
            <w:vAlign w:val="center"/>
          </w:tcPr>
          <w:p w14:paraId="457F9B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771" w:type="dxa"/>
            <w:noWrap w:val="0"/>
            <w:vAlign w:val="center"/>
          </w:tcPr>
          <w:p w14:paraId="4698A3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498</w:t>
            </w:r>
          </w:p>
        </w:tc>
        <w:tc>
          <w:tcPr>
            <w:tcW w:w="771" w:type="dxa"/>
            <w:noWrap w:val="0"/>
            <w:vAlign w:val="center"/>
          </w:tcPr>
          <w:p w14:paraId="1A90E1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1688</w:t>
            </w:r>
          </w:p>
        </w:tc>
        <w:tc>
          <w:tcPr>
            <w:tcW w:w="1013" w:type="dxa"/>
            <w:noWrap w:val="0"/>
            <w:vAlign w:val="center"/>
          </w:tcPr>
          <w:p w14:paraId="58A126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168</w:t>
            </w:r>
          </w:p>
        </w:tc>
      </w:tr>
      <w:tr w14:paraId="3BD9D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48743B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w:t>
            </w:r>
          </w:p>
        </w:tc>
        <w:tc>
          <w:tcPr>
            <w:tcW w:w="1203" w:type="dxa"/>
            <w:noWrap w:val="0"/>
            <w:vAlign w:val="center"/>
          </w:tcPr>
          <w:p w14:paraId="3BCC50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上朔村</w:t>
            </w:r>
          </w:p>
        </w:tc>
        <w:tc>
          <w:tcPr>
            <w:tcW w:w="1349" w:type="dxa"/>
            <w:noWrap w:val="0"/>
            <w:vAlign w:val="center"/>
          </w:tcPr>
          <w:p w14:paraId="352ED0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8.46</w:t>
            </w:r>
          </w:p>
        </w:tc>
        <w:tc>
          <w:tcPr>
            <w:tcW w:w="771" w:type="dxa"/>
            <w:noWrap w:val="0"/>
            <w:vAlign w:val="center"/>
          </w:tcPr>
          <w:p w14:paraId="259DEE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771" w:type="dxa"/>
            <w:noWrap w:val="0"/>
            <w:vAlign w:val="center"/>
          </w:tcPr>
          <w:p w14:paraId="247D6F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w:t>
            </w:r>
          </w:p>
        </w:tc>
        <w:tc>
          <w:tcPr>
            <w:tcW w:w="771" w:type="dxa"/>
            <w:noWrap w:val="0"/>
            <w:vAlign w:val="center"/>
          </w:tcPr>
          <w:p w14:paraId="4E1334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926</w:t>
            </w:r>
          </w:p>
        </w:tc>
        <w:tc>
          <w:tcPr>
            <w:tcW w:w="771" w:type="dxa"/>
            <w:noWrap w:val="0"/>
            <w:vAlign w:val="center"/>
          </w:tcPr>
          <w:p w14:paraId="45173E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3079</w:t>
            </w:r>
          </w:p>
        </w:tc>
        <w:tc>
          <w:tcPr>
            <w:tcW w:w="1013" w:type="dxa"/>
            <w:noWrap w:val="0"/>
            <w:vAlign w:val="center"/>
          </w:tcPr>
          <w:p w14:paraId="622D31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273</w:t>
            </w:r>
          </w:p>
        </w:tc>
      </w:tr>
      <w:tr w14:paraId="27000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350631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w:t>
            </w:r>
          </w:p>
        </w:tc>
        <w:tc>
          <w:tcPr>
            <w:tcW w:w="1203" w:type="dxa"/>
            <w:noWrap w:val="0"/>
            <w:vAlign w:val="center"/>
          </w:tcPr>
          <w:p w14:paraId="45C2DF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夹河口村</w:t>
            </w:r>
          </w:p>
        </w:tc>
        <w:tc>
          <w:tcPr>
            <w:tcW w:w="1349" w:type="dxa"/>
            <w:noWrap w:val="0"/>
            <w:vAlign w:val="center"/>
          </w:tcPr>
          <w:p w14:paraId="223FB2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13.05</w:t>
            </w:r>
          </w:p>
        </w:tc>
        <w:tc>
          <w:tcPr>
            <w:tcW w:w="771" w:type="dxa"/>
            <w:noWrap w:val="0"/>
            <w:vAlign w:val="center"/>
          </w:tcPr>
          <w:p w14:paraId="073958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771" w:type="dxa"/>
            <w:noWrap w:val="0"/>
            <w:vAlign w:val="center"/>
          </w:tcPr>
          <w:p w14:paraId="48F584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771" w:type="dxa"/>
            <w:noWrap w:val="0"/>
            <w:vAlign w:val="center"/>
          </w:tcPr>
          <w:p w14:paraId="2792F1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481</w:t>
            </w:r>
          </w:p>
        </w:tc>
        <w:tc>
          <w:tcPr>
            <w:tcW w:w="771" w:type="dxa"/>
            <w:noWrap w:val="0"/>
            <w:vAlign w:val="center"/>
          </w:tcPr>
          <w:p w14:paraId="270FA0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1615</w:t>
            </w:r>
          </w:p>
        </w:tc>
        <w:tc>
          <w:tcPr>
            <w:tcW w:w="1013" w:type="dxa"/>
            <w:noWrap w:val="0"/>
            <w:vAlign w:val="center"/>
          </w:tcPr>
          <w:p w14:paraId="7AB2FB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164</w:t>
            </w:r>
          </w:p>
        </w:tc>
      </w:tr>
      <w:tr w14:paraId="6FBFD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1DC9F7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w:t>
            </w:r>
          </w:p>
        </w:tc>
        <w:tc>
          <w:tcPr>
            <w:tcW w:w="1203" w:type="dxa"/>
            <w:noWrap w:val="0"/>
            <w:vAlign w:val="center"/>
          </w:tcPr>
          <w:p w14:paraId="3094E1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大塘村</w:t>
            </w:r>
          </w:p>
        </w:tc>
        <w:tc>
          <w:tcPr>
            <w:tcW w:w="1349" w:type="dxa"/>
            <w:noWrap w:val="0"/>
            <w:vAlign w:val="center"/>
          </w:tcPr>
          <w:p w14:paraId="34CB08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2.16</w:t>
            </w:r>
          </w:p>
        </w:tc>
        <w:tc>
          <w:tcPr>
            <w:tcW w:w="771" w:type="dxa"/>
            <w:noWrap w:val="0"/>
            <w:vAlign w:val="center"/>
          </w:tcPr>
          <w:p w14:paraId="6E1F5F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771" w:type="dxa"/>
            <w:noWrap w:val="0"/>
            <w:vAlign w:val="center"/>
          </w:tcPr>
          <w:p w14:paraId="4E96BC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771" w:type="dxa"/>
            <w:noWrap w:val="0"/>
            <w:vAlign w:val="center"/>
          </w:tcPr>
          <w:p w14:paraId="1B2701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297</w:t>
            </w:r>
          </w:p>
        </w:tc>
        <w:tc>
          <w:tcPr>
            <w:tcW w:w="771" w:type="dxa"/>
            <w:noWrap w:val="0"/>
            <w:vAlign w:val="center"/>
          </w:tcPr>
          <w:p w14:paraId="105878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1044</w:t>
            </w:r>
          </w:p>
        </w:tc>
        <w:tc>
          <w:tcPr>
            <w:tcW w:w="1013" w:type="dxa"/>
            <w:noWrap w:val="0"/>
            <w:vAlign w:val="center"/>
          </w:tcPr>
          <w:p w14:paraId="3EA9BE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113</w:t>
            </w:r>
          </w:p>
        </w:tc>
      </w:tr>
      <w:tr w14:paraId="53AF5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7E0E28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1203" w:type="dxa"/>
            <w:noWrap w:val="0"/>
            <w:vAlign w:val="center"/>
          </w:tcPr>
          <w:p w14:paraId="1AD384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黄田村</w:t>
            </w:r>
          </w:p>
        </w:tc>
        <w:tc>
          <w:tcPr>
            <w:tcW w:w="1349" w:type="dxa"/>
            <w:noWrap w:val="0"/>
            <w:vAlign w:val="center"/>
          </w:tcPr>
          <w:p w14:paraId="755349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4.41</w:t>
            </w:r>
          </w:p>
        </w:tc>
        <w:tc>
          <w:tcPr>
            <w:tcW w:w="771" w:type="dxa"/>
            <w:noWrap w:val="0"/>
            <w:vAlign w:val="center"/>
          </w:tcPr>
          <w:p w14:paraId="169937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771" w:type="dxa"/>
            <w:noWrap w:val="0"/>
            <w:vAlign w:val="center"/>
          </w:tcPr>
          <w:p w14:paraId="6E652A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771" w:type="dxa"/>
            <w:noWrap w:val="0"/>
            <w:vAlign w:val="center"/>
          </w:tcPr>
          <w:p w14:paraId="5205D3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606</w:t>
            </w:r>
          </w:p>
        </w:tc>
        <w:tc>
          <w:tcPr>
            <w:tcW w:w="771" w:type="dxa"/>
            <w:noWrap w:val="0"/>
            <w:vAlign w:val="center"/>
          </w:tcPr>
          <w:p w14:paraId="66325A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2280</w:t>
            </w:r>
          </w:p>
        </w:tc>
        <w:tc>
          <w:tcPr>
            <w:tcW w:w="1013" w:type="dxa"/>
            <w:noWrap w:val="0"/>
            <w:vAlign w:val="center"/>
          </w:tcPr>
          <w:p w14:paraId="01A1AB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196</w:t>
            </w:r>
          </w:p>
        </w:tc>
      </w:tr>
      <w:tr w14:paraId="3C7CA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3F6280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1203" w:type="dxa"/>
            <w:noWrap w:val="0"/>
            <w:vAlign w:val="center"/>
          </w:tcPr>
          <w:p w14:paraId="783935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下惠村</w:t>
            </w:r>
          </w:p>
        </w:tc>
        <w:tc>
          <w:tcPr>
            <w:tcW w:w="1349" w:type="dxa"/>
            <w:noWrap w:val="0"/>
            <w:vAlign w:val="center"/>
          </w:tcPr>
          <w:p w14:paraId="6F4948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6.57</w:t>
            </w:r>
          </w:p>
        </w:tc>
        <w:tc>
          <w:tcPr>
            <w:tcW w:w="771" w:type="dxa"/>
            <w:noWrap w:val="0"/>
            <w:vAlign w:val="center"/>
          </w:tcPr>
          <w:p w14:paraId="473919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w:t>
            </w:r>
          </w:p>
        </w:tc>
        <w:tc>
          <w:tcPr>
            <w:tcW w:w="771" w:type="dxa"/>
            <w:noWrap w:val="0"/>
            <w:vAlign w:val="center"/>
          </w:tcPr>
          <w:p w14:paraId="356072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w:t>
            </w:r>
          </w:p>
        </w:tc>
        <w:tc>
          <w:tcPr>
            <w:tcW w:w="771" w:type="dxa"/>
            <w:noWrap w:val="0"/>
            <w:vAlign w:val="center"/>
          </w:tcPr>
          <w:p w14:paraId="7493E9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809</w:t>
            </w:r>
          </w:p>
        </w:tc>
        <w:tc>
          <w:tcPr>
            <w:tcW w:w="771" w:type="dxa"/>
            <w:noWrap w:val="0"/>
            <w:vAlign w:val="center"/>
          </w:tcPr>
          <w:p w14:paraId="61542E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3092</w:t>
            </w:r>
          </w:p>
        </w:tc>
        <w:tc>
          <w:tcPr>
            <w:tcW w:w="1013" w:type="dxa"/>
            <w:noWrap w:val="0"/>
            <w:vAlign w:val="center"/>
          </w:tcPr>
          <w:p w14:paraId="5736E4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273</w:t>
            </w:r>
          </w:p>
        </w:tc>
      </w:tr>
      <w:tr w14:paraId="25B3E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34ABC5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w:t>
            </w:r>
          </w:p>
        </w:tc>
        <w:tc>
          <w:tcPr>
            <w:tcW w:w="1203" w:type="dxa"/>
            <w:noWrap w:val="0"/>
            <w:vAlign w:val="center"/>
          </w:tcPr>
          <w:p w14:paraId="119534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古城村</w:t>
            </w:r>
          </w:p>
        </w:tc>
        <w:tc>
          <w:tcPr>
            <w:tcW w:w="1349" w:type="dxa"/>
            <w:noWrap w:val="0"/>
            <w:vAlign w:val="center"/>
          </w:tcPr>
          <w:p w14:paraId="622F1F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10.12</w:t>
            </w:r>
          </w:p>
        </w:tc>
        <w:tc>
          <w:tcPr>
            <w:tcW w:w="771" w:type="dxa"/>
            <w:noWrap w:val="0"/>
            <w:vAlign w:val="center"/>
          </w:tcPr>
          <w:p w14:paraId="10246E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771" w:type="dxa"/>
            <w:noWrap w:val="0"/>
            <w:vAlign w:val="center"/>
          </w:tcPr>
          <w:p w14:paraId="5C58FC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w:t>
            </w:r>
          </w:p>
        </w:tc>
        <w:tc>
          <w:tcPr>
            <w:tcW w:w="771" w:type="dxa"/>
            <w:noWrap w:val="0"/>
            <w:vAlign w:val="center"/>
          </w:tcPr>
          <w:p w14:paraId="414577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587</w:t>
            </w:r>
          </w:p>
        </w:tc>
        <w:tc>
          <w:tcPr>
            <w:tcW w:w="771" w:type="dxa"/>
            <w:noWrap w:val="0"/>
            <w:vAlign w:val="center"/>
          </w:tcPr>
          <w:p w14:paraId="3249BE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2085</w:t>
            </w:r>
          </w:p>
        </w:tc>
        <w:tc>
          <w:tcPr>
            <w:tcW w:w="1013" w:type="dxa"/>
            <w:noWrap w:val="0"/>
            <w:vAlign w:val="center"/>
          </w:tcPr>
          <w:p w14:paraId="4A4245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175</w:t>
            </w:r>
          </w:p>
        </w:tc>
      </w:tr>
      <w:tr w14:paraId="569B8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8" w:type="dxa"/>
            <w:noWrap w:val="0"/>
            <w:vAlign w:val="center"/>
          </w:tcPr>
          <w:p w14:paraId="473F22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w:t>
            </w:r>
          </w:p>
        </w:tc>
        <w:tc>
          <w:tcPr>
            <w:tcW w:w="1203" w:type="dxa"/>
            <w:noWrap w:val="0"/>
            <w:vAlign w:val="center"/>
          </w:tcPr>
          <w:p w14:paraId="7A7408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油山</w:t>
            </w:r>
          </w:p>
          <w:p w14:paraId="3179C5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居委会</w:t>
            </w:r>
          </w:p>
        </w:tc>
        <w:tc>
          <w:tcPr>
            <w:tcW w:w="1349" w:type="dxa"/>
            <w:noWrap w:val="0"/>
            <w:vAlign w:val="center"/>
          </w:tcPr>
          <w:p w14:paraId="1898C9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10.12</w:t>
            </w:r>
          </w:p>
        </w:tc>
        <w:tc>
          <w:tcPr>
            <w:tcW w:w="771" w:type="dxa"/>
            <w:noWrap w:val="0"/>
            <w:vAlign w:val="center"/>
          </w:tcPr>
          <w:p w14:paraId="612115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771" w:type="dxa"/>
            <w:noWrap w:val="0"/>
            <w:vAlign w:val="center"/>
          </w:tcPr>
          <w:p w14:paraId="1B81F0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w:t>
            </w:r>
          </w:p>
        </w:tc>
        <w:tc>
          <w:tcPr>
            <w:tcW w:w="771" w:type="dxa"/>
            <w:noWrap w:val="0"/>
            <w:vAlign w:val="center"/>
          </w:tcPr>
          <w:p w14:paraId="665B14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34</w:t>
            </w:r>
          </w:p>
        </w:tc>
        <w:tc>
          <w:tcPr>
            <w:tcW w:w="771" w:type="dxa"/>
            <w:noWrap w:val="0"/>
            <w:vAlign w:val="center"/>
          </w:tcPr>
          <w:p w14:paraId="1A4083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46</w:t>
            </w:r>
          </w:p>
        </w:tc>
        <w:tc>
          <w:tcPr>
            <w:tcW w:w="1013" w:type="dxa"/>
            <w:noWrap w:val="0"/>
            <w:vAlign w:val="center"/>
          </w:tcPr>
          <w:p w14:paraId="260385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r>
    </w:tbl>
    <w:p w14:paraId="3D8A36F1">
      <w:pPr>
        <w:rPr>
          <w:rFonts w:hint="eastAsia" w:hAnsi="宋体" w:eastAsia="宋体" w:cs="宋体"/>
          <w:highlight w:val="none"/>
          <w:lang w:eastAsia="zh-CN"/>
        </w:rPr>
      </w:pPr>
      <w:r>
        <w:rPr>
          <w:rFonts w:hint="eastAsia" w:hAnsi="宋体" w:cs="宋体"/>
          <w:highlight w:val="none"/>
        </w:rPr>
        <w:t>附：2015年油山镇领导班子成员名单</w:t>
      </w:r>
    </w:p>
    <w:p w14:paraId="007D92A4">
      <w:pPr>
        <w:rPr>
          <w:rFonts w:hint="eastAsia" w:hAnsi="宋体" w:eastAsia="宋体" w:cs="宋体"/>
          <w:highlight w:val="none"/>
          <w:lang w:eastAsia="zh-CN"/>
        </w:rPr>
      </w:pPr>
      <w:r>
        <w:rPr>
          <w:rFonts w:hint="eastAsia" w:hAnsi="宋体" w:cs="宋体"/>
          <w:highlight w:val="none"/>
        </w:rPr>
        <w:t>党委书记、人大主席：李世勤</w:t>
      </w:r>
    </w:p>
    <w:p w14:paraId="346FDDC0">
      <w:pPr>
        <w:rPr>
          <w:rFonts w:hint="eastAsia" w:hAnsi="宋体" w:eastAsia="宋体" w:cs="宋体"/>
          <w:highlight w:val="none"/>
          <w:lang w:eastAsia="zh-CN"/>
        </w:rPr>
      </w:pPr>
      <w:r>
        <w:rPr>
          <w:rFonts w:hint="eastAsia" w:hAnsi="宋体" w:cs="宋体"/>
          <w:highlight w:val="none"/>
        </w:rPr>
        <w:t>党委副书记、镇长：蔡庆娟</w:t>
      </w:r>
    </w:p>
    <w:p w14:paraId="3E74F71C">
      <w:pPr>
        <w:rPr>
          <w:rFonts w:hint="eastAsia" w:hAnsi="宋体" w:eastAsia="宋体" w:cs="宋体"/>
          <w:b w:val="0"/>
          <w:bCs w:val="0"/>
          <w:highlight w:val="none"/>
          <w:lang w:eastAsia="zh-CN"/>
        </w:rPr>
      </w:pPr>
      <w:r>
        <w:rPr>
          <w:rFonts w:hint="eastAsia" w:hAnsi="宋体" w:cs="宋体"/>
          <w:b w:val="0"/>
          <w:bCs w:val="0"/>
          <w:highlight w:val="none"/>
        </w:rPr>
        <w:t>党委副书记：陈</w:t>
      </w:r>
      <w:r>
        <w:rPr>
          <w:rFonts w:hint="eastAsia" w:hAnsi="宋体" w:cs="宋体"/>
          <w:b w:val="0"/>
          <w:bCs w:val="0"/>
          <w:highlight w:val="none"/>
          <w:lang w:val="en-US" w:eastAsia="zh-CN"/>
        </w:rPr>
        <w:t xml:space="preserve">  </w:t>
      </w:r>
      <w:r>
        <w:rPr>
          <w:rFonts w:hint="eastAsia" w:hAnsi="宋体" w:cs="宋体"/>
          <w:b w:val="0"/>
          <w:bCs w:val="0"/>
          <w:highlight w:val="none"/>
        </w:rPr>
        <w:t>俊</w:t>
      </w:r>
    </w:p>
    <w:p w14:paraId="5F50C30E">
      <w:pPr>
        <w:rPr>
          <w:rFonts w:hint="eastAsia" w:hAnsi="宋体" w:eastAsia="宋体" w:cs="宋体"/>
          <w:b w:val="0"/>
          <w:bCs w:val="0"/>
          <w:highlight w:val="none"/>
          <w:lang w:eastAsia="zh-CN"/>
        </w:rPr>
      </w:pPr>
      <w:r>
        <w:rPr>
          <w:rFonts w:hint="eastAsia" w:hAnsi="宋体" w:cs="宋体"/>
          <w:b w:val="0"/>
          <w:bCs w:val="0"/>
          <w:highlight w:val="none"/>
        </w:rPr>
        <w:t>纪委书记：蓝连山</w:t>
      </w:r>
    </w:p>
    <w:p w14:paraId="7D479963">
      <w:pPr>
        <w:rPr>
          <w:rFonts w:hint="eastAsia" w:hAnsi="宋体" w:eastAsia="宋体" w:cs="宋体"/>
          <w:b w:val="0"/>
          <w:bCs w:val="0"/>
          <w:highlight w:val="none"/>
          <w:lang w:eastAsia="zh-CN"/>
        </w:rPr>
      </w:pPr>
      <w:r>
        <w:rPr>
          <w:rFonts w:hint="eastAsia" w:hAnsi="宋体" w:cs="宋体"/>
          <w:b w:val="0"/>
          <w:bCs w:val="0"/>
          <w:highlight w:val="none"/>
        </w:rPr>
        <w:t>组织委员：黄树材</w:t>
      </w:r>
    </w:p>
    <w:p w14:paraId="0EDF34DF">
      <w:pPr>
        <w:rPr>
          <w:rFonts w:hint="eastAsia" w:hAnsi="宋体" w:eastAsia="宋体" w:cs="宋体"/>
          <w:b w:val="0"/>
          <w:bCs w:val="0"/>
          <w:highlight w:val="none"/>
          <w:lang w:eastAsia="zh-CN"/>
        </w:rPr>
      </w:pPr>
      <w:r>
        <w:rPr>
          <w:rFonts w:hint="eastAsia" w:hAnsi="宋体" w:cs="宋体"/>
          <w:b w:val="0"/>
          <w:bCs w:val="0"/>
          <w:highlight w:val="none"/>
        </w:rPr>
        <w:t>宣传委员：陈宗华</w:t>
      </w:r>
    </w:p>
    <w:p w14:paraId="608A3AC3">
      <w:pPr>
        <w:rPr>
          <w:rFonts w:hint="eastAsia" w:hAnsi="宋体" w:eastAsia="宋体" w:cs="宋体"/>
          <w:b w:val="0"/>
          <w:bCs w:val="0"/>
          <w:highlight w:val="none"/>
          <w:lang w:eastAsia="zh-CN"/>
        </w:rPr>
      </w:pPr>
      <w:r>
        <w:rPr>
          <w:rFonts w:hint="eastAsia" w:hAnsi="宋体" w:cs="宋体"/>
          <w:b w:val="0"/>
          <w:bCs w:val="0"/>
          <w:highlight w:val="none"/>
        </w:rPr>
        <w:t>人大副主席：杨</w:t>
      </w:r>
      <w:r>
        <w:rPr>
          <w:rFonts w:hint="eastAsia" w:hAnsi="宋体" w:cs="宋体"/>
          <w:b w:val="0"/>
          <w:bCs w:val="0"/>
          <w:highlight w:val="none"/>
          <w:lang w:val="en-US" w:eastAsia="zh-CN"/>
        </w:rPr>
        <w:t xml:space="preserve">  </w:t>
      </w:r>
      <w:r>
        <w:rPr>
          <w:rFonts w:hint="eastAsia" w:hAnsi="宋体" w:cs="宋体"/>
          <w:b w:val="0"/>
          <w:bCs w:val="0"/>
          <w:highlight w:val="none"/>
        </w:rPr>
        <w:t>拓</w:t>
      </w:r>
    </w:p>
    <w:p w14:paraId="34DA85DD">
      <w:pPr>
        <w:rPr>
          <w:rFonts w:hint="eastAsia" w:hAnsi="宋体" w:eastAsia="宋体" w:cs="宋体"/>
          <w:b w:val="0"/>
          <w:bCs w:val="0"/>
          <w:highlight w:val="none"/>
          <w:lang w:eastAsia="zh-CN"/>
        </w:rPr>
      </w:pPr>
      <w:r>
        <w:rPr>
          <w:rFonts w:hint="eastAsia" w:hAnsi="宋体" w:cs="宋体"/>
          <w:b w:val="0"/>
          <w:bCs w:val="0"/>
          <w:highlight w:val="none"/>
        </w:rPr>
        <w:t>武装部长：黄祖旺</w:t>
      </w:r>
    </w:p>
    <w:p w14:paraId="185A167C">
      <w:pPr>
        <w:rPr>
          <w:rFonts w:hint="eastAsia" w:hAnsi="宋体" w:eastAsia="宋体" w:cs="宋体"/>
          <w:b w:val="0"/>
          <w:bCs w:val="0"/>
          <w:highlight w:val="none"/>
          <w:lang w:eastAsia="zh-CN"/>
        </w:rPr>
      </w:pPr>
      <w:r>
        <w:rPr>
          <w:rFonts w:hint="eastAsia" w:hAnsi="宋体" w:cs="宋体"/>
          <w:b w:val="0"/>
          <w:bCs w:val="0"/>
          <w:highlight w:val="none"/>
        </w:rPr>
        <w:t>党委委员、综治办专职副主任：张宗鹏</w:t>
      </w:r>
    </w:p>
    <w:p w14:paraId="7EEF9EBA">
      <w:pPr>
        <w:rPr>
          <w:rFonts w:hint="eastAsia" w:hAnsi="宋体" w:eastAsia="宋体" w:cs="宋体"/>
          <w:b w:val="0"/>
          <w:bCs w:val="0"/>
          <w:highlight w:val="none"/>
          <w:lang w:eastAsia="zh-CN"/>
        </w:rPr>
      </w:pPr>
      <w:r>
        <w:rPr>
          <w:rFonts w:hint="eastAsia" w:hAnsi="宋体" w:cs="宋体"/>
          <w:b w:val="0"/>
          <w:bCs w:val="0"/>
          <w:highlight w:val="none"/>
        </w:rPr>
        <w:t>党委委员、副镇长</w:t>
      </w:r>
      <w:r>
        <w:rPr>
          <w:rFonts w:hint="eastAsia" w:hAnsi="宋体" w:cs="宋体"/>
          <w:b w:val="0"/>
          <w:bCs w:val="0"/>
          <w:highlight w:val="none"/>
          <w:lang w:eastAsia="zh-CN"/>
        </w:rPr>
        <w:t>：</w:t>
      </w:r>
      <w:r>
        <w:rPr>
          <w:rFonts w:hint="eastAsia" w:hAnsi="宋体" w:cs="宋体"/>
          <w:b w:val="0"/>
          <w:bCs w:val="0"/>
          <w:highlight w:val="none"/>
        </w:rPr>
        <w:t>刘</w:t>
      </w:r>
      <w:r>
        <w:rPr>
          <w:rFonts w:hint="eastAsia" w:hAnsi="宋体" w:cs="宋体"/>
          <w:b w:val="0"/>
          <w:bCs w:val="0"/>
          <w:highlight w:val="none"/>
          <w:lang w:val="en-US" w:eastAsia="zh-CN"/>
        </w:rPr>
        <w:t xml:space="preserve">  </w:t>
      </w:r>
      <w:r>
        <w:rPr>
          <w:rFonts w:hint="eastAsia" w:hAnsi="宋体" w:cs="宋体"/>
          <w:b w:val="0"/>
          <w:bCs w:val="0"/>
          <w:highlight w:val="none"/>
        </w:rPr>
        <w:t>军</w:t>
      </w:r>
    </w:p>
    <w:p w14:paraId="739EADD3">
      <w:pPr>
        <w:rPr>
          <w:rFonts w:hint="eastAsia" w:hAnsi="宋体" w:eastAsia="宋体" w:cs="宋体"/>
          <w:b w:val="0"/>
          <w:bCs w:val="0"/>
          <w:highlight w:val="none"/>
          <w:lang w:eastAsia="zh-CN"/>
        </w:rPr>
      </w:pPr>
      <w:r>
        <w:rPr>
          <w:rFonts w:hint="eastAsia" w:hAnsi="宋体" w:cs="宋体"/>
          <w:b w:val="0"/>
          <w:bCs w:val="0"/>
          <w:highlight w:val="none"/>
        </w:rPr>
        <w:t>党委委员：陈世锋</w:t>
      </w:r>
    </w:p>
    <w:p w14:paraId="6FF38B42">
      <w:pPr>
        <w:ind w:firstLine="420"/>
        <w:rPr>
          <w:rFonts w:hint="eastAsia" w:hAnsi="宋体" w:cs="宋体"/>
          <w:highlight w:val="none"/>
        </w:rPr>
      </w:pPr>
      <w:r>
        <w:rPr>
          <w:rFonts w:hint="eastAsia" w:hAnsi="宋体" w:cs="宋体"/>
          <w:highlight w:val="none"/>
        </w:rPr>
        <w:t>副镇长：卢章美 彭道智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BF10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257E55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508250"/>
                  <wp:effectExtent l="0" t="0" r="8890" b="6350"/>
                  <wp:docPr id="121" name="图片 294" descr="故居挂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94" descr="故居挂牌"/>
                          <pic:cNvPicPr>
                            <a:picLocks noChangeAspect="1"/>
                          </pic:cNvPicPr>
                        </pic:nvPicPr>
                        <pic:blipFill>
                          <a:blip r:embed="rId126"/>
                          <a:stretch>
                            <a:fillRect/>
                          </a:stretch>
                        </pic:blipFill>
                        <pic:spPr>
                          <a:xfrm>
                            <a:off x="0" y="0"/>
                            <a:ext cx="3420110" cy="2508250"/>
                          </a:xfrm>
                          <a:prstGeom prst="rect">
                            <a:avLst/>
                          </a:prstGeom>
                          <a:noFill/>
                          <a:ln>
                            <a:noFill/>
                          </a:ln>
                        </pic:spPr>
                      </pic:pic>
                    </a:graphicData>
                  </a:graphic>
                </wp:inline>
              </w:drawing>
            </w:r>
          </w:p>
        </w:tc>
      </w:tr>
      <w:tr w14:paraId="1331C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A40A358">
            <w:pPr>
              <w:jc w:val="center"/>
              <w:rPr>
                <w:rFonts w:hint="eastAsia" w:hAnsi="宋体" w:cs="宋体"/>
                <w:highlight w:val="none"/>
                <w:vertAlign w:val="baseline"/>
              </w:rPr>
            </w:pPr>
            <w:r>
              <w:rPr>
                <w:rFonts w:hint="eastAsia" w:hAnsi="宋体" w:cs="宋体"/>
                <w:highlight w:val="none"/>
                <w:vertAlign w:val="baseline"/>
              </w:rPr>
              <w:t>11月19日，市委常委、武装部政委李霄山（右三）为油山镇上朔村革命先辈彭显模故居挂牌</w:t>
            </w:r>
          </w:p>
        </w:tc>
      </w:tr>
    </w:tbl>
    <w:p w14:paraId="169851BD">
      <w:pPr>
        <w:pStyle w:val="3"/>
        <w:bidi w:val="0"/>
        <w:rPr>
          <w:rFonts w:hint="eastAsia"/>
          <w:highlight w:val="none"/>
        </w:rPr>
      </w:pPr>
      <w:r>
        <w:rPr>
          <w:rFonts w:hint="eastAsia"/>
          <w:highlight w:val="none"/>
        </w:rPr>
        <w:t>主田镇</w:t>
      </w:r>
    </w:p>
    <w:p w14:paraId="639846AA">
      <w:pPr>
        <w:pStyle w:val="4"/>
        <w:bidi w:val="0"/>
        <w:rPr>
          <w:rFonts w:hint="eastAsia"/>
          <w:highlight w:val="none"/>
        </w:rPr>
      </w:pPr>
      <w:r>
        <w:rPr>
          <w:rFonts w:hint="eastAsia"/>
          <w:highlight w:val="none"/>
        </w:rPr>
        <w:t>【概况】</w:t>
      </w:r>
    </w:p>
    <w:p w14:paraId="4D557D9B">
      <w:pPr>
        <w:rPr>
          <w:rFonts w:hint="eastAsia" w:hAnsi="宋体" w:cs="宋体"/>
          <w:highlight w:val="none"/>
        </w:rPr>
      </w:pPr>
      <w:r>
        <w:rPr>
          <w:rFonts w:hint="eastAsia" w:hAnsi="宋体" w:cs="宋体"/>
          <w:highlight w:val="none"/>
        </w:rPr>
        <w:t>主田镇位于南雄市东南部，距南雄市区6公里，周边与江西全南、始兴澄江以及该市江头、古市、雄州等镇交界。地质属于燕山期花岗岩体及寒武纪震旦纪变质岩体，气候属于亚热带季风湿润气候区。全镇总面积187平方公里，辖8个行政村和1个居委会，有102个村民小组，2015年末，辖区有3835户，总人口14775人，其中，常住人口约9500人。全镇耕地面积18768亩，其中水田面积14705亩</w:t>
      </w:r>
      <w:r>
        <w:rPr>
          <w:rFonts w:hint="eastAsia" w:hAnsi="宋体" w:cs="宋体"/>
          <w:highlight w:val="none"/>
          <w:lang w:eastAsia="zh-CN"/>
        </w:rPr>
        <w:t>，</w:t>
      </w:r>
      <w:r>
        <w:rPr>
          <w:rFonts w:hint="eastAsia" w:hAnsi="宋体" w:cs="宋体"/>
          <w:highlight w:val="none"/>
        </w:rPr>
        <w:t>旱地面积4063亩。镇内森林、水利、矿产资源丰富，市区饮用水源瀑布水库，省级自然保护区小流坑—青嶂山，省级企业棉土窝钨矿在该镇境内。2015年，以招商引资和项目建设为主线，改进作风和狠抓落实为着力点，改善民生和增加农民收入为出发点，加快镇域经济和社会发展为落脚点，实现镇域经济、社会各项事业协调发展。</w:t>
      </w:r>
    </w:p>
    <w:p w14:paraId="1FC1A39A">
      <w:pPr>
        <w:pStyle w:val="4"/>
        <w:bidi w:val="0"/>
        <w:rPr>
          <w:rFonts w:hint="eastAsia"/>
          <w:highlight w:val="none"/>
        </w:rPr>
      </w:pPr>
      <w:r>
        <w:rPr>
          <w:rFonts w:hint="eastAsia"/>
          <w:highlight w:val="none"/>
        </w:rPr>
        <w:t>【经济概况】</w:t>
      </w:r>
    </w:p>
    <w:p w14:paraId="24F8835B">
      <w:pPr>
        <w:rPr>
          <w:rFonts w:hint="eastAsia" w:hAnsi="宋体" w:cs="宋体"/>
          <w:highlight w:val="none"/>
        </w:rPr>
      </w:pPr>
      <w:r>
        <w:rPr>
          <w:rFonts w:hint="eastAsia" w:hAnsi="宋体" w:cs="宋体"/>
          <w:highlight w:val="none"/>
        </w:rPr>
        <w:t>全面推广水稻优良品种，完成1.46万亩粮食种植任务，实现优质稻种植面积90%以上，粮食总产量达8417吨。宣传黄烟生产优惠政策，完善农田水利基础建设等措施，黄烟产业完成合同种植面积9208亩，烟叶收购1226.8吨，收购总金额3000多万元。实现农村经济总收入3.06亿元，同比增长16%，农民人均纯收入11107元，同比增长16%。全年地税收入50万元，国税收入482万元，财政总收入630万元。</w:t>
      </w:r>
    </w:p>
    <w:p w14:paraId="4149ACA1">
      <w:pPr>
        <w:pStyle w:val="4"/>
        <w:bidi w:val="0"/>
        <w:rPr>
          <w:rFonts w:hint="eastAsia"/>
          <w:highlight w:val="none"/>
        </w:rPr>
      </w:pPr>
      <w:r>
        <w:rPr>
          <w:rFonts w:hint="eastAsia"/>
          <w:highlight w:val="none"/>
        </w:rPr>
        <w:t>【招商引资】</w:t>
      </w:r>
    </w:p>
    <w:p w14:paraId="3C4C70D1">
      <w:pPr>
        <w:rPr>
          <w:rFonts w:hint="eastAsia" w:hAnsi="宋体" w:cs="宋体"/>
          <w:highlight w:val="none"/>
        </w:rPr>
      </w:pPr>
      <w:r>
        <w:rPr>
          <w:rFonts w:hint="eastAsia" w:hAnsi="宋体" w:cs="宋体"/>
          <w:highlight w:val="none"/>
        </w:rPr>
        <w:t>招商引资成效明显，成功引进南雄印象旅游、黄蜂岭文创艺术村、南岳生态度假村、广东嘉宾葡萄酒业四大项目，为此前进驻的元升两岸花博生态园、香草世界森林公园项目锦上添花，对促进主田旅游业发展起到极大作用。</w:t>
      </w:r>
    </w:p>
    <w:p w14:paraId="7F92B144">
      <w:pPr>
        <w:pStyle w:val="4"/>
        <w:bidi w:val="0"/>
        <w:rPr>
          <w:rFonts w:hint="eastAsia"/>
          <w:highlight w:val="none"/>
        </w:rPr>
      </w:pPr>
      <w:r>
        <w:rPr>
          <w:rFonts w:hint="eastAsia"/>
          <w:highlight w:val="none"/>
        </w:rPr>
        <w:t>【重点项目建设】</w:t>
      </w:r>
    </w:p>
    <w:p w14:paraId="2BC573BD">
      <w:pPr>
        <w:rPr>
          <w:rFonts w:hint="eastAsia" w:hAnsi="宋体" w:cs="宋体"/>
          <w:highlight w:val="none"/>
        </w:rPr>
      </w:pPr>
      <w:r>
        <w:rPr>
          <w:rFonts w:hint="eastAsia" w:hAnsi="宋体" w:cs="宋体"/>
          <w:highlight w:val="none"/>
        </w:rPr>
        <w:t>元升两岸花博生态园项目初见成效，项目累计总投资金额1亿元。投资方重点打造400亩“两岸花博生态园”已于2015年2月中旬对外开放，取得可喜经济效益。清景旅游度假区项目快速推进，项目累计总投资金额1.1亿万元。香草森林公园规划已经专家评审，基本完成征地租地、景区规划设计、路网和灌溉水网建设、部分基础设施建设等工作，种植银杏、樱花金娃娃宣草、蓝花楹等景观花木超过1000亩。</w:t>
      </w:r>
    </w:p>
    <w:p w14:paraId="118D5986">
      <w:pPr>
        <w:pStyle w:val="4"/>
        <w:bidi w:val="0"/>
        <w:rPr>
          <w:rFonts w:hint="eastAsia"/>
          <w:highlight w:val="none"/>
        </w:rPr>
      </w:pPr>
      <w:r>
        <w:rPr>
          <w:rFonts w:hint="eastAsia"/>
          <w:highlight w:val="none"/>
        </w:rPr>
        <w:t>【民生事业】</w:t>
      </w:r>
    </w:p>
    <w:p w14:paraId="583423A7">
      <w:pPr>
        <w:rPr>
          <w:rFonts w:hint="eastAsia" w:hAnsi="宋体" w:cs="宋体"/>
          <w:highlight w:val="none"/>
        </w:rPr>
      </w:pPr>
      <w:r>
        <w:rPr>
          <w:rFonts w:hint="eastAsia" w:hAnsi="宋体" w:cs="宋体"/>
          <w:highlight w:val="none"/>
        </w:rPr>
        <w:t>投入200多万元完成西洞、塘山、城门、大旺洞文体休闲广场。争取上级资金支持，充分调动外出乡贤回报家乡热情，全镇安装500多盏路灯。投入资金255.9万元对窑合、西洞、塘山、城门10.33公里村道进行水泥硬化。投入292.5万元兴建65间烤烟房。全镇建成高标准农田5060亩，建设水利“三面光”21公里。大力推进中小河流综合治理项目，完成31.77公里河堤两岸清理工作。投入28.7万元完善西洞、窑合等村农村饮用水工程建设，建成蓄水池4个，铺设管道23.7公里。</w:t>
      </w:r>
    </w:p>
    <w:p w14:paraId="7A069844">
      <w:pPr>
        <w:pStyle w:val="4"/>
        <w:bidi w:val="0"/>
        <w:rPr>
          <w:rFonts w:hint="eastAsia"/>
          <w:highlight w:val="none"/>
        </w:rPr>
      </w:pPr>
      <w:r>
        <w:rPr>
          <w:rFonts w:hint="eastAsia"/>
          <w:highlight w:val="none"/>
        </w:rPr>
        <w:t>【科教文卫】</w:t>
      </w:r>
    </w:p>
    <w:p w14:paraId="4D8FD910">
      <w:pPr>
        <w:rPr>
          <w:rFonts w:hint="eastAsia" w:hAnsi="宋体" w:cs="宋体"/>
          <w:highlight w:val="none"/>
        </w:rPr>
      </w:pPr>
      <w:r>
        <w:rPr>
          <w:rFonts w:hint="eastAsia" w:hAnsi="宋体" w:cs="宋体"/>
          <w:highlight w:val="none"/>
        </w:rPr>
        <w:t>2015年末有幼儿园（所）1所，在园幼儿57人，专任教师6人；小学1所，在校生274人，专任教师39人，小学适龄儿童入学率100%；初中适龄人口入学率100%，小升初升学率100%，九年义务教育覆盖率达100%。有公立卫生院1所，病床10张，专业卫生人员25人，其中执业医师6人，执业助理医师5人，注册护士11人。农村安全饮用水普及率100%。广播电视机顶盒用户497户。电信企业1家，服务网点1个。发电企业12家，综合电压合格率99.98%，供电可靠率99.98%。2015年末镇区有自来水厂2座，居民自来水普及率100％。</w:t>
      </w:r>
    </w:p>
    <w:p w14:paraId="0B3D776F">
      <w:pPr>
        <w:pStyle w:val="4"/>
        <w:bidi w:val="0"/>
        <w:rPr>
          <w:rFonts w:hint="eastAsia"/>
          <w:highlight w:val="none"/>
        </w:rPr>
      </w:pPr>
      <w:r>
        <w:rPr>
          <w:rFonts w:hint="eastAsia"/>
          <w:highlight w:val="none"/>
        </w:rPr>
        <w:t>【社会保障】</w:t>
      </w:r>
    </w:p>
    <w:p w14:paraId="2585CAD5">
      <w:pPr>
        <w:rPr>
          <w:rFonts w:hint="eastAsia" w:hAnsi="宋体" w:cs="宋体"/>
          <w:highlight w:val="none"/>
        </w:rPr>
      </w:pPr>
      <w:r>
        <w:rPr>
          <w:rFonts w:hint="eastAsia" w:hAnsi="宋体" w:cs="宋体"/>
          <w:highlight w:val="none"/>
        </w:rPr>
        <w:t>2015年为低保户、困难户等弱势群体发放大米5000斤，棉被100张，棉服30件，15户困难群众申请大病医疗救助，14户房屋住房贫困户每户申请救助18500元，25户特困群众办理生活补贴。新农合参保率达到100%；城镇居民医保参保率101%；城镇居民养老保险完成任务数100%；新农保完成续保任务数的103%。</w:t>
      </w:r>
    </w:p>
    <w:p w14:paraId="23B8AF9B">
      <w:pPr>
        <w:pStyle w:val="4"/>
        <w:bidi w:val="0"/>
        <w:rPr>
          <w:rFonts w:hint="eastAsia"/>
          <w:highlight w:val="none"/>
        </w:rPr>
      </w:pPr>
      <w:r>
        <w:rPr>
          <w:rFonts w:hint="eastAsia"/>
          <w:highlight w:val="none"/>
        </w:rPr>
        <w:t>【扶贫工作】</w:t>
      </w:r>
    </w:p>
    <w:p w14:paraId="2C2EBE86">
      <w:pPr>
        <w:rPr>
          <w:rFonts w:hint="eastAsia" w:hAnsi="宋体" w:cs="宋体"/>
          <w:highlight w:val="none"/>
        </w:rPr>
      </w:pPr>
      <w:r>
        <w:rPr>
          <w:rFonts w:hint="eastAsia" w:hAnsi="宋体" w:cs="宋体"/>
          <w:highlight w:val="none"/>
        </w:rPr>
        <w:t>2015年是第二轮扶贫开发“双到”工作收官之年。3年来，主田镇投入帮扶资金2507.2万元，其中塘山村439.5万元；西坪村708.8万元；西洞村650.7万元；窑合村708.2万元。并结合各扶贫村实际情况和村民愿望，做好重点帮扶项目建设，改善群众生产条件，提高村民的生活质量，改变贫困村贫穷落后面貌。</w:t>
      </w:r>
    </w:p>
    <w:p w14:paraId="347466EB">
      <w:pPr>
        <w:pStyle w:val="4"/>
        <w:bidi w:val="0"/>
        <w:rPr>
          <w:rFonts w:hint="eastAsia"/>
          <w:highlight w:val="none"/>
        </w:rPr>
      </w:pPr>
      <w:r>
        <w:rPr>
          <w:rFonts w:hint="eastAsia"/>
          <w:highlight w:val="none"/>
        </w:rPr>
        <w:t>【生态建设】</w:t>
      </w:r>
    </w:p>
    <w:p w14:paraId="716CEFC1">
      <w:pPr>
        <w:rPr>
          <w:rFonts w:hint="eastAsia" w:hAnsi="宋体" w:cs="宋体"/>
          <w:highlight w:val="none"/>
        </w:rPr>
      </w:pPr>
      <w:r>
        <w:rPr>
          <w:rFonts w:hint="eastAsia" w:hAnsi="宋体" w:cs="宋体"/>
          <w:highlight w:val="none"/>
        </w:rPr>
        <w:t>2015年完成造林绿化面积6000多亩；切实抓好林区防火任务，多举并措构筑起群防群控森林防火网，保护好森林资源安全，山林火灾高发势头得到有效遏制。</w:t>
      </w:r>
    </w:p>
    <w:p w14:paraId="4A880AEA">
      <w:pPr>
        <w:pStyle w:val="4"/>
        <w:bidi w:val="0"/>
        <w:rPr>
          <w:rFonts w:hint="eastAsia"/>
          <w:highlight w:val="none"/>
        </w:rPr>
      </w:pPr>
      <w:r>
        <w:rPr>
          <w:rFonts w:hint="eastAsia"/>
          <w:highlight w:val="none"/>
        </w:rPr>
        <w:t>【计生工作】</w:t>
      </w:r>
    </w:p>
    <w:p w14:paraId="0759386B">
      <w:pPr>
        <w:rPr>
          <w:rFonts w:hint="eastAsia" w:hAnsi="宋体" w:cs="宋体"/>
          <w:highlight w:val="none"/>
        </w:rPr>
      </w:pPr>
      <w:r>
        <w:rPr>
          <w:rFonts w:hint="eastAsia" w:hAnsi="宋体" w:cs="宋体"/>
          <w:highlight w:val="none"/>
        </w:rPr>
        <w:t>2015年出生195人，政策生育率为91.79%，出生人口性别比为105.26，出生率为13.48‰，自然增长率7.4‰。</w:t>
      </w:r>
    </w:p>
    <w:p w14:paraId="64E4A5FE">
      <w:pPr>
        <w:pStyle w:val="4"/>
        <w:bidi w:val="0"/>
        <w:rPr>
          <w:rFonts w:hint="eastAsia"/>
          <w:highlight w:val="none"/>
        </w:rPr>
      </w:pPr>
      <w:r>
        <w:rPr>
          <w:rFonts w:hint="eastAsia"/>
          <w:highlight w:val="none"/>
        </w:rPr>
        <w:t>【社会维稳】</w:t>
      </w:r>
    </w:p>
    <w:p w14:paraId="1958C620">
      <w:pPr>
        <w:rPr>
          <w:rFonts w:hint="eastAsia" w:hAnsi="宋体" w:cs="宋体"/>
          <w:highlight w:val="none"/>
        </w:rPr>
      </w:pPr>
      <w:r>
        <w:rPr>
          <w:rFonts w:hint="eastAsia" w:hAnsi="宋体" w:cs="宋体"/>
          <w:highlight w:val="none"/>
        </w:rPr>
        <w:t>加强社会管理工作，对全镇稳定情况，做到底数清、情况明，实行矛盾纠纷隐患排查和信访苗头隐患排查制度，排查率100%，2015年受理调解案件18宗，调处18宗，调处率100%，有效预防不稳定事件发生，稳定经济社会发展环境。</w:t>
      </w:r>
    </w:p>
    <w:p w14:paraId="0F4C05D5">
      <w:pPr>
        <w:pStyle w:val="4"/>
        <w:bidi w:val="0"/>
        <w:rPr>
          <w:rFonts w:hint="eastAsia"/>
          <w:highlight w:val="none"/>
        </w:rPr>
      </w:pPr>
      <w:r>
        <w:rPr>
          <w:rFonts w:hint="eastAsia"/>
          <w:highlight w:val="none"/>
        </w:rPr>
        <w:t>【各村委会（社区）基本情况】</w:t>
      </w:r>
    </w:p>
    <w:p w14:paraId="04DD429B">
      <w:pPr>
        <w:rPr>
          <w:rFonts w:hint="eastAsia" w:hAnsi="宋体" w:cs="宋体"/>
          <w:b/>
          <w:highlight w:val="none"/>
        </w:rPr>
      </w:pPr>
      <w:r>
        <w:rPr>
          <w:rFonts w:hint="eastAsia" w:hAnsi="宋体" w:cs="宋体"/>
          <w:b/>
          <w:highlight w:val="none"/>
        </w:rPr>
        <w:t>主田社区</w:t>
      </w:r>
      <w:r>
        <w:rPr>
          <w:rFonts w:hint="eastAsia" w:hAnsi="宋体" w:cs="宋体"/>
          <w:b/>
          <w:highlight w:val="none"/>
          <w:lang w:val="en-US" w:eastAsia="zh-CN"/>
        </w:rPr>
        <w:t xml:space="preserve">  </w:t>
      </w:r>
      <w:r>
        <w:rPr>
          <w:rFonts w:hint="eastAsia" w:hAnsi="宋体" w:cs="宋体"/>
          <w:highlight w:val="none"/>
        </w:rPr>
        <w:t>位于主田镇中部，距镇政府1公里，地质属于燕山期花岗岩体及寒武纪震旦纪变质岩体，气候属于亚热带季风湿润气候区。总人口为1405人，其中劳动力人口为1310人，党员数为16人，居委会干部3人</w:t>
      </w:r>
      <w:r>
        <w:rPr>
          <w:rFonts w:hint="eastAsia" w:hAnsi="宋体" w:cs="宋体"/>
          <w:b/>
          <w:highlight w:val="none"/>
        </w:rPr>
        <w:t>。</w:t>
      </w:r>
    </w:p>
    <w:p w14:paraId="08B3EFAF">
      <w:pPr>
        <w:rPr>
          <w:rFonts w:hint="eastAsia" w:hAnsi="宋体" w:cs="宋体"/>
          <w:b/>
          <w:highlight w:val="none"/>
        </w:rPr>
      </w:pPr>
      <w:r>
        <w:rPr>
          <w:rFonts w:hint="eastAsia" w:hAnsi="宋体" w:cs="宋体"/>
          <w:b/>
          <w:highlight w:val="none"/>
        </w:rPr>
        <w:t>城门村</w:t>
      </w:r>
      <w:r>
        <w:rPr>
          <w:rFonts w:hint="eastAsia" w:hAnsi="宋体" w:cs="宋体"/>
          <w:b/>
          <w:highlight w:val="none"/>
          <w:lang w:val="en-US" w:eastAsia="zh-CN"/>
        </w:rPr>
        <w:t xml:space="preserve">  </w:t>
      </w:r>
      <w:r>
        <w:rPr>
          <w:rFonts w:hint="eastAsia" w:hAnsi="宋体" w:cs="宋体"/>
          <w:highlight w:val="none"/>
        </w:rPr>
        <w:t>位于主田镇西部，距镇政府2.5公里，地质属于燕山期花岗岩体及寒武纪震旦纪变质岩体，气候属于亚热带季风湿润气候区。城门村18个村小组，总户数874户，全村总人口3579人，其中常住人口2315人。党员人数87人，村干部6人。全村总面积11561亩，山林面积9981亩，耕地面积4796亩，其中有水田2741亩，旱地2055亩。以种植黄烟、水稻、花生为主。2015年交售烟叶456吨，收购金额1121万元，水稻种植面积3457亩，花生种植面积927亩。人均收入11020元</w:t>
      </w:r>
      <w:r>
        <w:rPr>
          <w:rFonts w:hint="eastAsia" w:hAnsi="宋体" w:cs="宋体"/>
          <w:b/>
          <w:highlight w:val="none"/>
        </w:rPr>
        <w:t>。</w:t>
      </w:r>
    </w:p>
    <w:p w14:paraId="3B7C51CE">
      <w:pPr>
        <w:rPr>
          <w:rFonts w:hint="eastAsia" w:hAnsi="宋体" w:cs="宋体"/>
          <w:b/>
          <w:highlight w:val="none"/>
        </w:rPr>
      </w:pPr>
      <w:r>
        <w:rPr>
          <w:rFonts w:hint="eastAsia" w:hAnsi="宋体" w:cs="宋体"/>
          <w:b/>
          <w:highlight w:val="none"/>
        </w:rPr>
        <w:t>主田村</w:t>
      </w:r>
      <w:r>
        <w:rPr>
          <w:rFonts w:hint="eastAsia" w:hAnsi="宋体" w:cs="宋体"/>
          <w:b/>
          <w:highlight w:val="none"/>
          <w:lang w:val="en-US" w:eastAsia="zh-CN"/>
        </w:rPr>
        <w:t xml:space="preserve">  </w:t>
      </w:r>
      <w:r>
        <w:rPr>
          <w:rFonts w:hint="eastAsia" w:hAnsi="宋体" w:cs="宋体"/>
          <w:highlight w:val="none"/>
        </w:rPr>
        <w:t>位于主田镇北部，距镇政府1公里，地质属于燕山期花岗岩体及寒武纪震旦纪变质岩体，气候属于亚热带季风湿润气候区。全村有15个村小组，总户数533户，总人口2058人，其中常住人口1395人，党员71人，村干部5人。全村总面积1.5万亩，山林面积0.86万亩</w:t>
      </w:r>
      <w:r>
        <w:rPr>
          <w:rFonts w:hint="eastAsia" w:hAnsi="宋体" w:cs="宋体"/>
          <w:highlight w:val="none"/>
          <w:lang w:eastAsia="zh-CN"/>
        </w:rPr>
        <w:t>，</w:t>
      </w:r>
      <w:r>
        <w:rPr>
          <w:rFonts w:hint="eastAsia" w:hAnsi="宋体" w:cs="宋体"/>
          <w:highlight w:val="none"/>
        </w:rPr>
        <w:t>耕地面积3442亩</w:t>
      </w:r>
      <w:r>
        <w:rPr>
          <w:rFonts w:hint="eastAsia" w:hAnsi="宋体" w:cs="宋体"/>
          <w:highlight w:val="none"/>
          <w:lang w:eastAsia="zh-CN"/>
        </w:rPr>
        <w:t>，</w:t>
      </w:r>
      <w:r>
        <w:rPr>
          <w:rFonts w:hint="eastAsia" w:hAnsi="宋体" w:cs="宋体"/>
          <w:highlight w:val="none"/>
        </w:rPr>
        <w:t>其中水田2028亩</w:t>
      </w:r>
      <w:r>
        <w:rPr>
          <w:rFonts w:hint="eastAsia" w:hAnsi="宋体" w:cs="宋体"/>
          <w:highlight w:val="none"/>
          <w:lang w:eastAsia="zh-CN"/>
        </w:rPr>
        <w:t>，</w:t>
      </w:r>
      <w:r>
        <w:rPr>
          <w:rFonts w:hint="eastAsia" w:hAnsi="宋体" w:cs="宋体"/>
          <w:highlight w:val="none"/>
        </w:rPr>
        <w:t>旱地1414亩。主要经济农作物以黄烟、水稻为主。2015年交售烟叶332吨，收购金额816万元，水稻种植面积3010亩，花生种植面积815亩。主要特色产业为养殖业。人均收入11250元</w:t>
      </w:r>
      <w:r>
        <w:rPr>
          <w:rFonts w:hint="eastAsia" w:hAnsi="宋体" w:cs="宋体"/>
          <w:b/>
          <w:highlight w:val="none"/>
        </w:rPr>
        <w:t>。</w:t>
      </w:r>
    </w:p>
    <w:p w14:paraId="4C5FDD65">
      <w:pPr>
        <w:rPr>
          <w:rFonts w:hint="eastAsia" w:hAnsi="宋体" w:cs="宋体"/>
          <w:b/>
          <w:highlight w:val="none"/>
        </w:rPr>
      </w:pPr>
      <w:r>
        <w:rPr>
          <w:rFonts w:hint="eastAsia" w:hAnsi="宋体" w:cs="宋体"/>
          <w:b/>
          <w:highlight w:val="none"/>
        </w:rPr>
        <w:t>大坝村</w:t>
      </w:r>
      <w:r>
        <w:rPr>
          <w:rFonts w:hint="eastAsia" w:hAnsi="宋体" w:cs="宋体"/>
          <w:b/>
          <w:highlight w:val="none"/>
          <w:lang w:val="en-US" w:eastAsia="zh-CN"/>
        </w:rPr>
        <w:t xml:space="preserve">  </w:t>
      </w:r>
      <w:r>
        <w:rPr>
          <w:rFonts w:hint="eastAsia" w:hAnsi="宋体" w:cs="宋体"/>
          <w:highlight w:val="none"/>
        </w:rPr>
        <w:t>位于主田镇中部，距镇政府0.5公里，地质属于燕山期花岗岩体及寒武纪震旦纪变质岩体，气候属于亚热带季风湿润气候区。全村有18个村小组</w:t>
      </w:r>
      <w:r>
        <w:rPr>
          <w:rFonts w:hint="eastAsia" w:hAnsi="宋体" w:cs="宋体"/>
          <w:highlight w:val="none"/>
          <w:lang w:eastAsia="zh-CN"/>
        </w:rPr>
        <w:t>，</w:t>
      </w:r>
      <w:r>
        <w:rPr>
          <w:rFonts w:hint="eastAsia" w:hAnsi="宋体" w:cs="宋体"/>
          <w:highlight w:val="none"/>
        </w:rPr>
        <w:t>总户数673户</w:t>
      </w:r>
      <w:r>
        <w:rPr>
          <w:rFonts w:hint="eastAsia" w:hAnsi="宋体" w:cs="宋体"/>
          <w:highlight w:val="none"/>
          <w:lang w:eastAsia="zh-CN"/>
        </w:rPr>
        <w:t>，</w:t>
      </w:r>
      <w:r>
        <w:rPr>
          <w:rFonts w:hint="eastAsia" w:hAnsi="宋体" w:cs="宋体"/>
          <w:highlight w:val="none"/>
        </w:rPr>
        <w:t>总人口2602人，其中常住人口1557人</w:t>
      </w:r>
      <w:r>
        <w:rPr>
          <w:rFonts w:hint="eastAsia" w:hAnsi="宋体" w:cs="宋体"/>
          <w:highlight w:val="none"/>
          <w:lang w:eastAsia="zh-CN"/>
        </w:rPr>
        <w:t>，</w:t>
      </w:r>
      <w:r>
        <w:rPr>
          <w:rFonts w:hint="eastAsia" w:hAnsi="宋体" w:cs="宋体"/>
          <w:highlight w:val="none"/>
        </w:rPr>
        <w:t>党员61人，村干部6人。全村总面积32816.44亩</w:t>
      </w:r>
      <w:r>
        <w:rPr>
          <w:rFonts w:hint="eastAsia" w:hAnsi="宋体" w:cs="宋体"/>
          <w:highlight w:val="none"/>
          <w:lang w:eastAsia="zh-CN"/>
        </w:rPr>
        <w:t>，</w:t>
      </w:r>
      <w:r>
        <w:rPr>
          <w:rFonts w:hint="eastAsia" w:hAnsi="宋体" w:cs="宋体"/>
          <w:highlight w:val="none"/>
        </w:rPr>
        <w:t>山林面积29310.04亩</w:t>
      </w:r>
      <w:r>
        <w:rPr>
          <w:rFonts w:hint="eastAsia" w:hAnsi="宋体" w:cs="宋体"/>
          <w:highlight w:val="none"/>
          <w:lang w:eastAsia="zh-CN"/>
        </w:rPr>
        <w:t>，</w:t>
      </w:r>
      <w:r>
        <w:rPr>
          <w:rFonts w:hint="eastAsia" w:hAnsi="宋体" w:cs="宋体"/>
          <w:highlight w:val="none"/>
        </w:rPr>
        <w:t>耕地面积3037亩</w:t>
      </w:r>
      <w:r>
        <w:rPr>
          <w:rFonts w:hint="eastAsia" w:hAnsi="宋体" w:cs="宋体"/>
          <w:highlight w:val="none"/>
          <w:lang w:eastAsia="zh-CN"/>
        </w:rPr>
        <w:t>，</w:t>
      </w:r>
      <w:r>
        <w:rPr>
          <w:rFonts w:hint="eastAsia" w:hAnsi="宋体" w:cs="宋体"/>
          <w:highlight w:val="none"/>
        </w:rPr>
        <w:t>其中水田2868亩</w:t>
      </w:r>
      <w:r>
        <w:rPr>
          <w:rFonts w:hint="eastAsia" w:hAnsi="宋体" w:cs="宋体"/>
          <w:highlight w:val="none"/>
          <w:lang w:eastAsia="zh-CN"/>
        </w:rPr>
        <w:t>，</w:t>
      </w:r>
      <w:r>
        <w:rPr>
          <w:rFonts w:hint="eastAsia" w:hAnsi="宋体" w:cs="宋体"/>
          <w:highlight w:val="none"/>
        </w:rPr>
        <w:t>旱地169亩。主要经济农作物以黄烟、水稻为主。2015年交售烟叶265吨，收购金额651万元，水稻种植面积3133亩，花生种植面积879亩。人均收入11100元</w:t>
      </w:r>
      <w:r>
        <w:rPr>
          <w:rFonts w:hint="eastAsia" w:hAnsi="宋体" w:cs="宋体"/>
          <w:b/>
          <w:highlight w:val="none"/>
        </w:rPr>
        <w:t>。</w:t>
      </w:r>
    </w:p>
    <w:p w14:paraId="4964FFEC">
      <w:pPr>
        <w:rPr>
          <w:rFonts w:hint="eastAsia" w:hAnsi="宋体" w:cs="宋体"/>
          <w:b/>
          <w:highlight w:val="none"/>
        </w:rPr>
      </w:pPr>
      <w:r>
        <w:rPr>
          <w:rFonts w:hint="eastAsia" w:hAnsi="宋体" w:cs="宋体"/>
          <w:b/>
          <w:highlight w:val="none"/>
        </w:rPr>
        <w:t>塘山村</w:t>
      </w:r>
      <w:r>
        <w:rPr>
          <w:rFonts w:hint="eastAsia" w:hAnsi="宋体" w:cs="宋体"/>
          <w:b/>
          <w:highlight w:val="none"/>
          <w:lang w:val="en-US" w:eastAsia="zh-CN"/>
        </w:rPr>
        <w:t xml:space="preserve">  </w:t>
      </w:r>
      <w:r>
        <w:rPr>
          <w:rFonts w:hint="eastAsia" w:hAnsi="宋体" w:cs="宋体"/>
          <w:highlight w:val="none"/>
        </w:rPr>
        <w:t>位于主田镇的西南部，距镇政府4公里，地质属于燕山期花岗岩体及寒武纪震旦纪变质岩体，气候属于亚热带季风湿润气候区。辖区共14个村小组，总户数为271户，全村总人口为1036人，其中常住人口630人，党员50人，村干部4人。全村总面积为2.8万亩</w:t>
      </w:r>
      <w:r>
        <w:rPr>
          <w:rFonts w:hint="eastAsia" w:hAnsi="宋体" w:cs="宋体"/>
          <w:highlight w:val="none"/>
          <w:lang w:eastAsia="zh-CN"/>
        </w:rPr>
        <w:t>，</w:t>
      </w:r>
      <w:r>
        <w:rPr>
          <w:rFonts w:hint="eastAsia" w:hAnsi="宋体" w:cs="宋体"/>
          <w:highlight w:val="none"/>
        </w:rPr>
        <w:t>山林面积2.7万亩，耕地面积1330亩</w:t>
      </w:r>
      <w:r>
        <w:rPr>
          <w:rFonts w:hint="eastAsia" w:hAnsi="宋体" w:cs="宋体"/>
          <w:highlight w:val="none"/>
          <w:lang w:eastAsia="zh-CN"/>
        </w:rPr>
        <w:t>，</w:t>
      </w:r>
      <w:r>
        <w:rPr>
          <w:rFonts w:hint="eastAsia" w:hAnsi="宋体" w:cs="宋体"/>
          <w:highlight w:val="none"/>
        </w:rPr>
        <w:t>其中水田1268亩，旱地62亩。主要经济农作物以黄烟、水稻为主，2015年交售烟叶61吨，收购金额150万元，水稻种植面积1247亩，花生种植面积284亩。人均收入11050元</w:t>
      </w:r>
      <w:r>
        <w:rPr>
          <w:rFonts w:hint="eastAsia" w:hAnsi="宋体" w:cs="宋体"/>
          <w:b/>
          <w:highlight w:val="none"/>
        </w:rPr>
        <w:t>。</w:t>
      </w:r>
    </w:p>
    <w:p w14:paraId="3974F5F3">
      <w:pPr>
        <w:rPr>
          <w:rFonts w:hint="eastAsia" w:hAnsi="宋体" w:cs="宋体"/>
          <w:b/>
          <w:highlight w:val="none"/>
        </w:rPr>
      </w:pPr>
      <w:r>
        <w:rPr>
          <w:rFonts w:hint="eastAsia" w:hAnsi="宋体" w:cs="宋体"/>
          <w:b/>
          <w:highlight w:val="none"/>
        </w:rPr>
        <w:t>西坪村</w:t>
      </w:r>
      <w:r>
        <w:rPr>
          <w:rFonts w:hint="eastAsia" w:hAnsi="宋体" w:cs="宋体"/>
          <w:b/>
          <w:highlight w:val="none"/>
          <w:lang w:val="en-US" w:eastAsia="zh-CN"/>
        </w:rPr>
        <w:t xml:space="preserve">  </w:t>
      </w:r>
      <w:r>
        <w:rPr>
          <w:rFonts w:hint="eastAsia" w:hAnsi="宋体" w:cs="宋体"/>
          <w:highlight w:val="none"/>
        </w:rPr>
        <w:t>位于主田镇的东南部，距镇政府20公里，地质属于燕山期花岗岩体及寒武纪震旦纪变质岩体，气候属于亚热带季风湿润气候区。辖区共6个村小组，总户数172户，全村总人口660人，其中常住人口425人，党员26人，村干部4人。全村总面积2.69万亩，山林面积2.59万亩，耕地面积985亩，其中水田957亩，旱田28亩。主要经济农作物以黄烟、水稻、花生为主，2015年交售烟叶33吨，收购金额81万元，水稻种植面积795亩，花生种植面积165亩。人均收入11110元</w:t>
      </w:r>
      <w:r>
        <w:rPr>
          <w:rFonts w:hint="eastAsia" w:hAnsi="宋体" w:cs="宋体"/>
          <w:b/>
          <w:highlight w:val="none"/>
        </w:rPr>
        <w:t>。</w:t>
      </w:r>
    </w:p>
    <w:p w14:paraId="03ECAB50">
      <w:pPr>
        <w:rPr>
          <w:rFonts w:hint="eastAsia" w:hAnsi="宋体" w:cs="宋体"/>
          <w:b/>
          <w:highlight w:val="none"/>
        </w:rPr>
      </w:pPr>
      <w:r>
        <w:rPr>
          <w:rFonts w:hint="eastAsia" w:hAnsi="宋体" w:cs="宋体"/>
          <w:b/>
          <w:highlight w:val="none"/>
        </w:rPr>
        <w:t>西洞村</w:t>
      </w:r>
      <w:r>
        <w:rPr>
          <w:rFonts w:hint="eastAsia" w:hAnsi="宋体" w:cs="宋体"/>
          <w:b/>
          <w:highlight w:val="none"/>
          <w:lang w:val="en-US" w:eastAsia="zh-CN"/>
        </w:rPr>
        <w:t xml:space="preserve">  </w:t>
      </w:r>
      <w:r>
        <w:rPr>
          <w:rFonts w:hint="eastAsia" w:hAnsi="宋体" w:cs="宋体"/>
          <w:highlight w:val="none"/>
        </w:rPr>
        <w:t>位于主田镇的东南部，距镇政府20公里，地质属于燕山期花岗岩体及寒武纪震旦纪变质岩体，气候属于亚热带季风湿润气候区。辖区共8个村小组，总户数317户，全村总人口1219人，其中农村常住人口598人，党员39人</w:t>
      </w:r>
      <w:r>
        <w:rPr>
          <w:rFonts w:hint="eastAsia" w:hAnsi="宋体" w:cs="宋体"/>
          <w:highlight w:val="none"/>
          <w:lang w:eastAsia="zh-CN"/>
        </w:rPr>
        <w:t>，</w:t>
      </w:r>
      <w:r>
        <w:rPr>
          <w:rFonts w:hint="eastAsia" w:hAnsi="宋体" w:cs="宋体"/>
          <w:highlight w:val="none"/>
        </w:rPr>
        <w:t>村干部5人。全村总面积3.26万亩，山林面积3.1万亩，耕地面积1612亩</w:t>
      </w:r>
      <w:r>
        <w:rPr>
          <w:rFonts w:hint="eastAsia" w:hAnsi="宋体" w:cs="宋体"/>
          <w:highlight w:val="none"/>
          <w:lang w:eastAsia="zh-CN"/>
        </w:rPr>
        <w:t>，</w:t>
      </w:r>
      <w:r>
        <w:rPr>
          <w:rFonts w:hint="eastAsia" w:hAnsi="宋体" w:cs="宋体"/>
          <w:highlight w:val="none"/>
        </w:rPr>
        <w:t>其中水田1530亩，旱地82亩。主要经济农作物以黄烟、水稻为主，2015年交售烟叶37吨，收购金额91万元，水稻种植面积926亩，花生种植面积238亩。人均收入11080元</w:t>
      </w:r>
      <w:r>
        <w:rPr>
          <w:rFonts w:hint="eastAsia" w:hAnsi="宋体" w:cs="宋体"/>
          <w:b/>
          <w:highlight w:val="none"/>
        </w:rPr>
        <w:t>。</w:t>
      </w:r>
    </w:p>
    <w:p w14:paraId="4B87AE1C">
      <w:pPr>
        <w:rPr>
          <w:rFonts w:hint="eastAsia" w:hAnsi="宋体" w:cs="宋体"/>
          <w:b/>
          <w:highlight w:val="none"/>
        </w:rPr>
      </w:pPr>
      <w:r>
        <w:rPr>
          <w:rFonts w:hint="eastAsia" w:hAnsi="宋体" w:cs="宋体"/>
          <w:b/>
          <w:highlight w:val="none"/>
        </w:rPr>
        <w:t>窑合村</w:t>
      </w:r>
      <w:r>
        <w:rPr>
          <w:rFonts w:hint="eastAsia" w:hAnsi="宋体" w:cs="宋体"/>
          <w:b/>
          <w:highlight w:val="none"/>
          <w:lang w:val="en-US" w:eastAsia="zh-CN"/>
        </w:rPr>
        <w:t xml:space="preserve">  </w:t>
      </w:r>
      <w:r>
        <w:rPr>
          <w:rFonts w:hint="eastAsia" w:hAnsi="宋体" w:cs="宋体"/>
          <w:highlight w:val="none"/>
        </w:rPr>
        <w:t>位于主田镇的东南部，距镇政府25公里，地质属于燕山期花岗岩体及寒武纪震旦纪变质岩体，气候属于亚热带季风湿润气候区。辖区共9个村小组</w:t>
      </w:r>
      <w:r>
        <w:rPr>
          <w:rFonts w:hint="eastAsia" w:hAnsi="宋体" w:cs="宋体"/>
          <w:highlight w:val="none"/>
          <w:lang w:eastAsia="zh-CN"/>
        </w:rPr>
        <w:t>，</w:t>
      </w:r>
      <w:r>
        <w:rPr>
          <w:rFonts w:hint="eastAsia" w:hAnsi="宋体" w:cs="宋体"/>
          <w:highlight w:val="none"/>
        </w:rPr>
        <w:t>总户数279户，全村总人口1054人，其中常住人口611人，党员43人，村干部5人。全村总面积3.11万亩，山林面积2.9万亩</w:t>
      </w:r>
      <w:r>
        <w:rPr>
          <w:rFonts w:hint="eastAsia" w:hAnsi="宋体" w:cs="宋体"/>
          <w:highlight w:val="none"/>
          <w:lang w:eastAsia="zh-CN"/>
        </w:rPr>
        <w:t>，</w:t>
      </w:r>
      <w:r>
        <w:rPr>
          <w:rFonts w:hint="eastAsia" w:hAnsi="宋体" w:cs="宋体"/>
          <w:highlight w:val="none"/>
        </w:rPr>
        <w:t>耕地面积1907万亩</w:t>
      </w:r>
      <w:r>
        <w:rPr>
          <w:rFonts w:hint="eastAsia" w:hAnsi="宋体" w:cs="宋体"/>
          <w:highlight w:val="none"/>
          <w:lang w:eastAsia="zh-CN"/>
        </w:rPr>
        <w:t>，</w:t>
      </w:r>
      <w:r>
        <w:rPr>
          <w:rFonts w:hint="eastAsia" w:hAnsi="宋体" w:cs="宋体"/>
          <w:highlight w:val="none"/>
        </w:rPr>
        <w:t>其中水田1839亩，旱地68亩。主要经济农作物以黄烟、水稻为主，2015年交售烟叶36吨，收购金额88万元，水稻种植面积1170亩，花生种植面积185亩。人均收入11000元</w:t>
      </w:r>
      <w:r>
        <w:rPr>
          <w:rFonts w:hint="eastAsia" w:hAnsi="宋体" w:cs="宋体"/>
          <w:b/>
          <w:highlight w:val="none"/>
        </w:rPr>
        <w:t>。</w:t>
      </w:r>
    </w:p>
    <w:p w14:paraId="317C0FFF">
      <w:pPr>
        <w:rPr>
          <w:rFonts w:hint="eastAsia" w:hAnsi="宋体" w:cs="宋体"/>
          <w:highlight w:val="none"/>
        </w:rPr>
      </w:pPr>
      <w:r>
        <w:rPr>
          <w:rFonts w:hint="eastAsia" w:hAnsi="宋体" w:cs="宋体"/>
          <w:b/>
          <w:highlight w:val="none"/>
        </w:rPr>
        <w:t>高峰村</w:t>
      </w:r>
      <w:r>
        <w:rPr>
          <w:rFonts w:hint="eastAsia" w:hAnsi="宋体" w:cs="宋体"/>
          <w:b/>
          <w:highlight w:val="none"/>
          <w:lang w:val="en-US" w:eastAsia="zh-CN"/>
        </w:rPr>
        <w:t xml:space="preserve">  </w:t>
      </w:r>
      <w:r>
        <w:rPr>
          <w:rFonts w:hint="eastAsia" w:hAnsi="宋体" w:cs="宋体"/>
          <w:highlight w:val="none"/>
        </w:rPr>
        <w:t>位于主田镇东南部，距镇政府26公里，是少数民族革命老区村，是主田镇最偏远的山区村。地质属于燕山期花岗岩体及寒武纪震旦纪变质岩体，气候属于亚热带季风湿润气候区。辖区共14个村小组，总户数为262户，全村总人口为1005人，常住人口550人，党员39人，村干部5人。全村总面积4万亩，山林面积2万亩，耕地面积1665亩，其中水田1550亩，旱地100亩。主要经济农作物以水稻为主，主要特色产业为竹木。2015年水稻种植面积1150亩，花生种植面积272亩。人均收入11125元。（蓝威）</w:t>
      </w:r>
    </w:p>
    <w:p w14:paraId="01875A52">
      <w:pPr>
        <w:rPr>
          <w:rFonts w:hint="eastAsia" w:hAnsi="宋体" w:eastAsia="宋体" w:cs="宋体"/>
          <w:b w:val="0"/>
          <w:bCs w:val="0"/>
          <w:highlight w:val="none"/>
          <w:lang w:eastAsia="zh-CN"/>
        </w:rPr>
      </w:pPr>
      <w:r>
        <w:rPr>
          <w:rFonts w:hint="eastAsia" w:hAnsi="宋体" w:cs="宋体"/>
          <w:b w:val="0"/>
          <w:bCs w:val="0"/>
          <w:highlight w:val="none"/>
        </w:rPr>
        <w:t>附：2015年主田镇领导班子成员名单</w:t>
      </w:r>
    </w:p>
    <w:p w14:paraId="6E62303A">
      <w:pPr>
        <w:rPr>
          <w:rFonts w:hint="eastAsia" w:hAnsi="宋体" w:eastAsia="宋体" w:cs="宋体"/>
          <w:b w:val="0"/>
          <w:bCs w:val="0"/>
          <w:highlight w:val="none"/>
          <w:lang w:eastAsia="zh-CN"/>
        </w:rPr>
      </w:pPr>
      <w:r>
        <w:rPr>
          <w:rFonts w:hint="eastAsia" w:hAnsi="宋体" w:cs="宋体"/>
          <w:b w:val="0"/>
          <w:bCs w:val="0"/>
          <w:highlight w:val="none"/>
        </w:rPr>
        <w:t>党委书记、人大主席：刘</w:t>
      </w:r>
      <w:r>
        <w:rPr>
          <w:rFonts w:hint="eastAsia" w:hAnsi="宋体" w:cs="宋体"/>
          <w:b w:val="0"/>
          <w:bCs w:val="0"/>
          <w:highlight w:val="none"/>
          <w:lang w:val="en-US" w:eastAsia="zh-CN"/>
        </w:rPr>
        <w:t xml:space="preserve">  </w:t>
      </w:r>
      <w:r>
        <w:rPr>
          <w:rFonts w:hint="eastAsia" w:hAnsi="宋体" w:cs="宋体"/>
          <w:b w:val="0"/>
          <w:bCs w:val="0"/>
          <w:highlight w:val="none"/>
        </w:rPr>
        <w:t>飞</w:t>
      </w:r>
    </w:p>
    <w:p w14:paraId="1E62FA4A">
      <w:pPr>
        <w:rPr>
          <w:rFonts w:hint="eastAsia" w:hAnsi="宋体" w:eastAsia="宋体" w:cs="宋体"/>
          <w:b w:val="0"/>
          <w:bCs w:val="0"/>
          <w:highlight w:val="none"/>
          <w:lang w:eastAsia="zh-CN"/>
        </w:rPr>
      </w:pPr>
      <w:r>
        <w:rPr>
          <w:rFonts w:hint="eastAsia" w:hAnsi="宋体" w:cs="宋体"/>
          <w:b w:val="0"/>
          <w:bCs w:val="0"/>
          <w:highlight w:val="none"/>
        </w:rPr>
        <w:t>党委副书记、镇长：丘铭山</w:t>
      </w:r>
    </w:p>
    <w:p w14:paraId="4E3BD8AA">
      <w:pPr>
        <w:rPr>
          <w:rFonts w:hint="eastAsia" w:hAnsi="宋体" w:eastAsia="宋体" w:cs="宋体"/>
          <w:b w:val="0"/>
          <w:bCs w:val="0"/>
          <w:highlight w:val="none"/>
          <w:lang w:eastAsia="zh-CN"/>
        </w:rPr>
      </w:pPr>
      <w:r>
        <w:rPr>
          <w:rFonts w:hint="eastAsia" w:hAnsi="宋体" w:cs="宋体"/>
          <w:b w:val="0"/>
          <w:bCs w:val="0"/>
          <w:highlight w:val="none"/>
        </w:rPr>
        <w:t>党委副书记：何军平</w:t>
      </w:r>
      <w:r>
        <w:rPr>
          <w:rFonts w:hint="eastAsia" w:hAnsi="宋体" w:cs="宋体"/>
          <w:b w:val="0"/>
          <w:bCs w:val="0"/>
          <w:highlight w:val="none"/>
          <w:lang w:eastAsia="zh-CN"/>
        </w:rPr>
        <w:t>（</w:t>
      </w:r>
      <w:r>
        <w:rPr>
          <w:rFonts w:hint="eastAsia" w:hAnsi="宋体" w:cs="宋体"/>
          <w:b w:val="0"/>
          <w:bCs w:val="0"/>
          <w:highlight w:val="none"/>
        </w:rPr>
        <w:t>任至6月</w:t>
      </w:r>
      <w:r>
        <w:rPr>
          <w:rFonts w:hint="eastAsia" w:hAnsi="宋体" w:cs="宋体"/>
          <w:b w:val="0"/>
          <w:bCs w:val="0"/>
          <w:highlight w:val="none"/>
          <w:lang w:eastAsia="zh-CN"/>
        </w:rPr>
        <w:t>）</w:t>
      </w:r>
      <w:r>
        <w:rPr>
          <w:rFonts w:hint="eastAsia" w:hAnsi="宋体" w:cs="宋体"/>
          <w:b w:val="0"/>
          <w:bCs w:val="0"/>
          <w:highlight w:val="none"/>
        </w:rPr>
        <w:t>林斌（9月任）</w:t>
      </w:r>
    </w:p>
    <w:p w14:paraId="1485C07A">
      <w:pPr>
        <w:rPr>
          <w:rFonts w:hint="eastAsia" w:hAnsi="宋体" w:eastAsia="宋体" w:cs="宋体"/>
          <w:b w:val="0"/>
          <w:bCs w:val="0"/>
          <w:highlight w:val="none"/>
          <w:lang w:eastAsia="zh-CN"/>
        </w:rPr>
      </w:pPr>
      <w:r>
        <w:rPr>
          <w:rFonts w:hint="eastAsia" w:hAnsi="宋体" w:cs="宋体"/>
          <w:b w:val="0"/>
          <w:bCs w:val="0"/>
          <w:highlight w:val="none"/>
        </w:rPr>
        <w:t>党委委员、纪委书记：王</w:t>
      </w:r>
      <w:r>
        <w:rPr>
          <w:rFonts w:hint="eastAsia" w:hAnsi="宋体" w:cs="宋体"/>
          <w:b w:val="0"/>
          <w:bCs w:val="0"/>
          <w:highlight w:val="none"/>
          <w:lang w:val="en-US" w:eastAsia="zh-CN"/>
        </w:rPr>
        <w:t xml:space="preserve">  </w:t>
      </w:r>
      <w:r>
        <w:rPr>
          <w:rFonts w:hint="eastAsia" w:hAnsi="宋体" w:cs="宋体"/>
          <w:b w:val="0"/>
          <w:bCs w:val="0"/>
          <w:highlight w:val="none"/>
        </w:rPr>
        <w:t>静</w:t>
      </w:r>
    </w:p>
    <w:p w14:paraId="12791694">
      <w:pPr>
        <w:rPr>
          <w:rFonts w:hint="eastAsia" w:hAnsi="宋体" w:eastAsia="宋体" w:cs="宋体"/>
          <w:b w:val="0"/>
          <w:bCs w:val="0"/>
          <w:highlight w:val="none"/>
          <w:lang w:eastAsia="zh-CN"/>
        </w:rPr>
      </w:pPr>
      <w:r>
        <w:rPr>
          <w:rFonts w:hint="eastAsia" w:hAnsi="宋体" w:cs="宋体"/>
          <w:b w:val="0"/>
          <w:bCs w:val="0"/>
          <w:highlight w:val="none"/>
        </w:rPr>
        <w:t>党委委员、组织委员：黄世明</w:t>
      </w:r>
    </w:p>
    <w:p w14:paraId="563D34A4">
      <w:pPr>
        <w:rPr>
          <w:rFonts w:hint="eastAsia" w:hAnsi="宋体" w:eastAsia="宋体" w:cs="宋体"/>
          <w:highlight w:val="none"/>
          <w:lang w:eastAsia="zh-CN"/>
        </w:rPr>
      </w:pPr>
      <w:r>
        <w:rPr>
          <w:rFonts w:hint="eastAsia" w:hAnsi="宋体" w:cs="宋体"/>
          <w:highlight w:val="none"/>
        </w:rPr>
        <w:t>党委委员、宣传委员：刘志鹏</w:t>
      </w:r>
    </w:p>
    <w:p w14:paraId="34848050">
      <w:pPr>
        <w:rPr>
          <w:rFonts w:hint="eastAsia" w:hAnsi="宋体" w:eastAsia="宋体" w:cs="宋体"/>
          <w:highlight w:val="none"/>
          <w:lang w:eastAsia="zh-CN"/>
        </w:rPr>
      </w:pPr>
      <w:r>
        <w:rPr>
          <w:rFonts w:hint="eastAsia" w:hAnsi="宋体" w:cs="宋体"/>
          <w:highlight w:val="none"/>
        </w:rPr>
        <w:t>党委委员、人大副主席：衷旭春</w:t>
      </w:r>
    </w:p>
    <w:p w14:paraId="053DF898">
      <w:pPr>
        <w:rPr>
          <w:rFonts w:hint="eastAsia" w:hAnsi="宋体" w:eastAsia="宋体" w:cs="宋体"/>
          <w:highlight w:val="none"/>
          <w:lang w:eastAsia="zh-CN"/>
        </w:rPr>
      </w:pPr>
      <w:r>
        <w:rPr>
          <w:rFonts w:hint="eastAsia" w:hAnsi="宋体" w:cs="宋体"/>
          <w:highlight w:val="none"/>
        </w:rPr>
        <w:t>党委委员、武装部部长：卢隆舟</w:t>
      </w:r>
    </w:p>
    <w:p w14:paraId="24C80A79">
      <w:pPr>
        <w:rPr>
          <w:rFonts w:hint="eastAsia" w:hAnsi="宋体" w:eastAsia="宋体" w:cs="宋体"/>
          <w:highlight w:val="none"/>
          <w:lang w:eastAsia="zh-CN"/>
        </w:rPr>
      </w:pPr>
      <w:r>
        <w:rPr>
          <w:rFonts w:hint="eastAsia" w:hAnsi="宋体" w:cs="宋体"/>
          <w:highlight w:val="none"/>
        </w:rPr>
        <w:t>党委委员、综治中心专职副主任：林四珍</w:t>
      </w:r>
    </w:p>
    <w:p w14:paraId="3AFF2B2F">
      <w:pPr>
        <w:rPr>
          <w:rFonts w:hint="eastAsia" w:hAnsi="宋体" w:eastAsia="宋体" w:cs="宋体"/>
          <w:highlight w:val="none"/>
          <w:lang w:eastAsia="zh-CN"/>
        </w:rPr>
      </w:pPr>
      <w:r>
        <w:rPr>
          <w:rFonts w:hint="eastAsia" w:hAnsi="宋体" w:cs="宋体"/>
          <w:highlight w:val="none"/>
        </w:rPr>
        <w:t>副镇长：刘宏艺 廖海泉（任至5月）黄承洲（9月任）罗祥忠（任至9月）</w:t>
      </w:r>
    </w:p>
    <w:p w14:paraId="2CD64B60">
      <w:pPr>
        <w:pStyle w:val="3"/>
        <w:bidi w:val="0"/>
        <w:rPr>
          <w:rFonts w:hint="eastAsia" w:eastAsia="宋体"/>
          <w:highlight w:val="none"/>
          <w:lang w:eastAsia="zh-CN"/>
        </w:rPr>
      </w:pPr>
      <w:r>
        <w:rPr>
          <w:rFonts w:hint="eastAsia"/>
          <w:highlight w:val="none"/>
        </w:rPr>
        <w:t>南亩镇</w:t>
      </w:r>
    </w:p>
    <w:p w14:paraId="47087066">
      <w:pPr>
        <w:pStyle w:val="4"/>
        <w:bidi w:val="0"/>
        <w:rPr>
          <w:rFonts w:hint="eastAsia"/>
          <w:highlight w:val="none"/>
        </w:rPr>
      </w:pPr>
      <w:r>
        <w:rPr>
          <w:rFonts w:hint="eastAsia"/>
          <w:highlight w:val="none"/>
        </w:rPr>
        <w:t>【概况】</w:t>
      </w:r>
    </w:p>
    <w:p w14:paraId="2624F87C">
      <w:pPr>
        <w:rPr>
          <w:rFonts w:hint="eastAsia" w:hAnsi="宋体" w:cs="宋体"/>
          <w:highlight w:val="none"/>
        </w:rPr>
      </w:pPr>
      <w:r>
        <w:rPr>
          <w:rFonts w:hint="eastAsia" w:hAnsi="宋体" w:cs="宋体"/>
          <w:highlight w:val="none"/>
        </w:rPr>
        <w:t>南亩镇位于南雄市东南部，距南雄市区30公里，东邻坪田镇，北接乌迳、黄坑镇，西连水口镇，南与江西省全南县交界。全镇下辖11个行政村和1个居委会，104个村小组</w:t>
      </w:r>
      <w:r>
        <w:rPr>
          <w:rFonts w:hint="eastAsia" w:hAnsi="宋体" w:cs="宋体"/>
          <w:highlight w:val="none"/>
          <w:lang w:eastAsia="zh-CN"/>
        </w:rPr>
        <w:t>，</w:t>
      </w:r>
      <w:r>
        <w:rPr>
          <w:rFonts w:hint="eastAsia" w:hAnsi="宋体" w:cs="宋体"/>
          <w:highlight w:val="none"/>
        </w:rPr>
        <w:t>总户数3805户，总人口16687人，其中农业人口15882人。土地总面积110.3平方公里，其中山地7767公顷，耕地904.47公顷。地处半山区丘陵地带，属亚热湿润气候区，冬冷夏热，四季分明，有山地、竹木和稀土资源，经济产业以种养为主，素有“油茶之乡”“水果之乡”美誉。</w:t>
      </w:r>
    </w:p>
    <w:p w14:paraId="1F397088">
      <w:pPr>
        <w:pStyle w:val="4"/>
        <w:bidi w:val="0"/>
        <w:rPr>
          <w:rFonts w:hint="eastAsia"/>
          <w:highlight w:val="none"/>
        </w:rPr>
      </w:pPr>
      <w:r>
        <w:rPr>
          <w:rFonts w:hint="eastAsia"/>
          <w:highlight w:val="none"/>
        </w:rPr>
        <w:t>【经济社会发展】</w:t>
      </w:r>
    </w:p>
    <w:p w14:paraId="765DB361">
      <w:pPr>
        <w:rPr>
          <w:rFonts w:hint="eastAsia" w:hAnsi="宋体" w:cs="宋体"/>
          <w:highlight w:val="none"/>
        </w:rPr>
      </w:pPr>
      <w:r>
        <w:rPr>
          <w:rFonts w:hint="eastAsia" w:hAnsi="宋体" w:cs="宋体"/>
          <w:highlight w:val="none"/>
        </w:rPr>
        <w:t>2015年，国民生产总值2.62亿元，增长4.8%；固定资产完成投资22260万元，水稻、花生等作物获得丰收，粮食作物总产量8242吨，增长1.6%，黄烟生产完成市下达收购任务，畜牧业生产稳定，生猪出栏72867头，农村人均纯收入9285元，增长2.3%，财政预算收入201万元，各项经济指标基本实现预期目标。</w:t>
      </w:r>
    </w:p>
    <w:p w14:paraId="39B8C8E5">
      <w:pPr>
        <w:pStyle w:val="4"/>
        <w:bidi w:val="0"/>
        <w:rPr>
          <w:rFonts w:hint="eastAsia"/>
          <w:highlight w:val="none"/>
        </w:rPr>
      </w:pPr>
      <w:r>
        <w:rPr>
          <w:rFonts w:hint="eastAsia"/>
          <w:highlight w:val="none"/>
        </w:rPr>
        <w:t>【社会事业发展】</w:t>
      </w:r>
    </w:p>
    <w:p w14:paraId="0A3C34D0">
      <w:pPr>
        <w:rPr>
          <w:rFonts w:hint="eastAsia" w:hAnsi="宋体" w:cs="宋体"/>
          <w:highlight w:val="none"/>
        </w:rPr>
      </w:pPr>
      <w:r>
        <w:rPr>
          <w:rFonts w:hint="eastAsia" w:hAnsi="宋体" w:cs="宋体"/>
          <w:highlight w:val="none"/>
        </w:rPr>
        <w:t>实施“科教兴镇”战略，加大教育投入，改善教学条件，基本形成幼儿教育、基础教育和成人文化教育协调发展全民教育体系。镇现有1所九年一贯制学校（南亩学校）、1所非完全小学（中寺小学）、1个村级教学点（芙蓉教学点），1所公办幼儿园（南亩镇中心幼儿园）和吉利、启慧2所民办幼儿园，以及1所成人文化技术学校。全镇中小学通过义务教育标准化学校验收，2015年通过省级“教育创强”工作。</w:t>
      </w:r>
    </w:p>
    <w:p w14:paraId="391D10A1">
      <w:pPr>
        <w:rPr>
          <w:rFonts w:hint="eastAsia" w:hAnsi="宋体" w:cs="宋体"/>
          <w:highlight w:val="none"/>
        </w:rPr>
      </w:pPr>
      <w:r>
        <w:rPr>
          <w:rFonts w:hint="eastAsia" w:hAnsi="宋体" w:cs="宋体"/>
          <w:highlight w:val="none"/>
        </w:rPr>
        <w:t>2015年完成16—59周岁城乡居民养老保险缴费人数4276人，100%完成市下达新型农村合作医疗、新农保和居民养老保险工作任务，完成农村劳动力技能培训42人，农村劳动力转移就业281人，城镇新增就业人数53人，失业人员再就业32人，就业困难对象再就业10人。</w:t>
      </w:r>
    </w:p>
    <w:p w14:paraId="1FF00157">
      <w:pPr>
        <w:pStyle w:val="4"/>
        <w:bidi w:val="0"/>
        <w:rPr>
          <w:rFonts w:hint="eastAsia"/>
          <w:highlight w:val="none"/>
        </w:rPr>
      </w:pPr>
      <w:r>
        <w:rPr>
          <w:rFonts w:hint="eastAsia"/>
          <w:highlight w:val="none"/>
        </w:rPr>
        <w:t>【扶贫“双到”工作】</w:t>
      </w:r>
    </w:p>
    <w:p w14:paraId="751494BF">
      <w:pPr>
        <w:rPr>
          <w:rFonts w:hint="eastAsia" w:hAnsi="宋体" w:cs="宋体"/>
          <w:highlight w:val="none"/>
        </w:rPr>
      </w:pPr>
      <w:r>
        <w:rPr>
          <w:rFonts w:hint="eastAsia" w:hAnsi="宋体" w:cs="宋体"/>
          <w:highlight w:val="none"/>
        </w:rPr>
        <w:t>2015年是省市第二轮扶贫收官之年，在本轮扶贫工作中，7个帮扶单位3年来投入资金4452万多元。帮扶各村完善基础设施建设，新建芙蓉、官田村委会办公楼，完成5个村委会改扩建工程，新建7个垃圾屋，购买垃圾运输车2台，安装LED路灯870盏，修建蛇岭薯坑陂头水坝，完成23.9公里三面光建设、完成12.5公里道路硬底建设，修建15座机耕桥和1.8公里机耕路等，较大地改善贫困户生产生活条件。</w:t>
      </w:r>
    </w:p>
    <w:p w14:paraId="54A2024A">
      <w:pPr>
        <w:pStyle w:val="4"/>
        <w:bidi w:val="0"/>
        <w:rPr>
          <w:rFonts w:hint="eastAsia"/>
          <w:highlight w:val="none"/>
        </w:rPr>
      </w:pPr>
      <w:r>
        <w:rPr>
          <w:rFonts w:hint="eastAsia"/>
          <w:highlight w:val="none"/>
        </w:rPr>
        <w:t>【民生项目建设】</w:t>
      </w:r>
    </w:p>
    <w:p w14:paraId="257A07D0">
      <w:pPr>
        <w:rPr>
          <w:rFonts w:hint="eastAsia" w:hAnsi="宋体" w:cs="宋体"/>
          <w:highlight w:val="none"/>
        </w:rPr>
      </w:pPr>
      <w:r>
        <w:rPr>
          <w:rFonts w:hint="eastAsia" w:hAnsi="宋体" w:cs="宋体"/>
          <w:highlight w:val="none"/>
        </w:rPr>
        <w:t>推进新农村建设。对各村实施农家书屋和绿化、美化、亮化等工作，基础设施建设得到逐步完善；完善樟屋、鱼鲜、岭下部分村组文化室建设、太阳能路灯安装、道路美化、水圳三面光工程等民生工程；2015年对村容村貌进行重点治理，投入20多万元。</w:t>
      </w:r>
    </w:p>
    <w:p w14:paraId="72587466">
      <w:pPr>
        <w:rPr>
          <w:rFonts w:hint="eastAsia" w:hAnsi="宋体" w:cs="宋体"/>
          <w:highlight w:val="none"/>
        </w:rPr>
      </w:pPr>
      <w:r>
        <w:rPr>
          <w:rFonts w:hint="eastAsia" w:hAnsi="宋体" w:cs="宋体"/>
          <w:highlight w:val="none"/>
        </w:rPr>
        <w:t>抓好“两违”工作落实。开展“整脏治乱”“两违清理”工作，重点打击“两违”行为，对违法建筑予以拆除，违法用地予以恢复；对墟镇进行农村生活垃圾治理，层层签订目标责任书，层层分解工作任务、工作责任，确保责任到岗到人。组织6次历史存量垃圾专项整治工作，投入资金10万元，清理垃圾90余吨，改善公路两旁下水道和排水沟建设，聘请3名环卫工人，包片管理卫生。“脏、乱、差”的现象得到有效的遏制，群众生产生活环境改善，城镇化建设水平逐步提升。</w:t>
      </w:r>
    </w:p>
    <w:p w14:paraId="30856E33">
      <w:pPr>
        <w:rPr>
          <w:rFonts w:hint="eastAsia" w:hAnsi="宋体" w:cs="宋体"/>
          <w:highlight w:val="none"/>
        </w:rPr>
      </w:pPr>
      <w:r>
        <w:rPr>
          <w:rFonts w:hint="eastAsia" w:hAnsi="宋体" w:cs="宋体"/>
          <w:highlight w:val="none"/>
        </w:rPr>
        <w:t>民政工作落实。推进殡葬改革，提倡丧事简办，倡导文明新风、移风易俗，推行清明节文明安全扫墓，减少森林火灾隐患。做好困难群众和农村低保困难补助的发放、复员军人定补、农村危房改造等惠民工作。全镇有152户254人纳入低保户，发放城市、农村残疾人生活津贴9万元。</w:t>
      </w:r>
    </w:p>
    <w:p w14:paraId="1BABBBDC">
      <w:pPr>
        <w:pStyle w:val="4"/>
        <w:bidi w:val="0"/>
        <w:rPr>
          <w:rFonts w:hint="eastAsia"/>
          <w:highlight w:val="none"/>
        </w:rPr>
      </w:pPr>
      <w:r>
        <w:rPr>
          <w:rFonts w:hint="eastAsia"/>
          <w:highlight w:val="none"/>
        </w:rPr>
        <w:t>【生态林业建设】</w:t>
      </w:r>
    </w:p>
    <w:p w14:paraId="692C3C3D">
      <w:pPr>
        <w:rPr>
          <w:rFonts w:hint="eastAsia" w:hAnsi="宋体" w:cs="宋体"/>
          <w:highlight w:val="none"/>
        </w:rPr>
      </w:pPr>
      <w:r>
        <w:rPr>
          <w:rFonts w:hint="eastAsia" w:hAnsi="宋体" w:cs="宋体"/>
          <w:highlight w:val="none"/>
        </w:rPr>
        <w:t>林地面积12.98万亩，其中封山育林2.28万亩，新增生态公益林面积7262亩，签订封山育林责任书115份，张贴宣传横幅、标语400余条，发放防火公开信3490份，投入防火宣传经费2.6万元。完成碳汇林种植抚育6196亩，油茶种植800多亩，茶叶种植1300多亩；配备专职育林护林员5名和村级护林员11名，打击破坏森林资源违法行为，查处各类违法林业案件6宗，处理6人，罚款人民币2.4万元，林政案件同比下降65%，有效打击林业违法行为，维护林业秩序和谐稳定。</w:t>
      </w:r>
    </w:p>
    <w:p w14:paraId="7060164A">
      <w:pPr>
        <w:pStyle w:val="4"/>
        <w:bidi w:val="0"/>
        <w:rPr>
          <w:rFonts w:hint="eastAsia"/>
          <w:highlight w:val="none"/>
        </w:rPr>
      </w:pPr>
      <w:r>
        <w:rPr>
          <w:rFonts w:hint="eastAsia"/>
          <w:highlight w:val="none"/>
        </w:rPr>
        <w:t>【安全生产和食品药品管理】</w:t>
      </w:r>
    </w:p>
    <w:p w14:paraId="614B6BC8">
      <w:pPr>
        <w:rPr>
          <w:rFonts w:hint="eastAsia" w:hAnsi="宋体" w:cs="宋体"/>
          <w:highlight w:val="none"/>
        </w:rPr>
      </w:pPr>
      <w:r>
        <w:rPr>
          <w:rFonts w:hint="eastAsia" w:hAnsi="宋体" w:cs="宋体"/>
          <w:highlight w:val="none"/>
        </w:rPr>
        <w:t>2015年出动执法260人次，检查单位30家120次，其中药品20家次，餐饮服务单位20家次，学校食堂16家次，食品经营单位60家次，医疗机构4次。书记、镇长落实食品药品安全监管属地管理责任制度，与相关单位负责人签订食品药品安全工作目标责任书。部署食品药品专项整治行动、组织举办食品药品培训教育、开展食品安全宣传活动周活动等形式，联合各职能部门，齐抓共管，保障食品药品安全。</w:t>
      </w:r>
    </w:p>
    <w:p w14:paraId="7321C55C">
      <w:pPr>
        <w:pStyle w:val="4"/>
        <w:bidi w:val="0"/>
        <w:rPr>
          <w:rFonts w:hint="eastAsia"/>
          <w:highlight w:val="none"/>
        </w:rPr>
      </w:pPr>
      <w:r>
        <w:rPr>
          <w:rFonts w:hint="eastAsia"/>
          <w:highlight w:val="none"/>
        </w:rPr>
        <w:t>【社会治安综合治理】</w:t>
      </w:r>
    </w:p>
    <w:p w14:paraId="0B80835A">
      <w:pPr>
        <w:rPr>
          <w:rFonts w:hint="eastAsia" w:hAnsi="宋体" w:cs="宋体"/>
          <w:highlight w:val="none"/>
        </w:rPr>
      </w:pPr>
      <w:r>
        <w:rPr>
          <w:rFonts w:hint="eastAsia" w:hAnsi="宋体" w:cs="宋体"/>
          <w:highlight w:val="none"/>
        </w:rPr>
        <w:t>2015年受理来信来访11宗次，办结率达100%，调处各类民事纠纷65起，案件调解率100%，无群体性突发事件发生。结合国家宪法日、法制宣传日等重大活动，发放宣传资料500余份，解答群众咨询268人次。推进依法治镇工作，发挥村（社区）法律顾问作用，提升群众法律意识，推动平安村（社区）建设。</w:t>
      </w:r>
    </w:p>
    <w:p w14:paraId="482E0AD0">
      <w:pPr>
        <w:pStyle w:val="4"/>
        <w:bidi w:val="0"/>
        <w:rPr>
          <w:rFonts w:hint="eastAsia"/>
          <w:highlight w:val="none"/>
        </w:rPr>
      </w:pPr>
      <w:r>
        <w:rPr>
          <w:rFonts w:hint="eastAsia"/>
          <w:highlight w:val="none"/>
        </w:rPr>
        <w:t>【党建工作】</w:t>
      </w:r>
    </w:p>
    <w:p w14:paraId="26566F7C">
      <w:pPr>
        <w:rPr>
          <w:rFonts w:hint="eastAsia" w:hAnsi="宋体" w:cs="宋体"/>
          <w:highlight w:val="none"/>
        </w:rPr>
      </w:pPr>
      <w:r>
        <w:rPr>
          <w:rFonts w:hint="eastAsia" w:hAnsi="宋体" w:cs="宋体"/>
          <w:highlight w:val="none"/>
        </w:rPr>
        <w:t>强化党员教育培训。组织支部书记、普通党员参加党建理论、廉洁从政、形势政策及党务知识培训。严格党员发展和管理工作。2015年，全镇新发展党员10名，处置不合格党员1名；开展“双学双比”主题实践活动。</w:t>
      </w:r>
    </w:p>
    <w:p w14:paraId="5CB4B94E">
      <w:pPr>
        <w:pStyle w:val="4"/>
        <w:bidi w:val="0"/>
        <w:rPr>
          <w:rFonts w:hint="eastAsia"/>
          <w:highlight w:val="none"/>
        </w:rPr>
      </w:pPr>
      <w:r>
        <w:rPr>
          <w:rFonts w:hint="eastAsia"/>
          <w:highlight w:val="none"/>
        </w:rPr>
        <w:t>【各村委会（社区）基本情况】</w:t>
      </w:r>
    </w:p>
    <w:p w14:paraId="226866AD">
      <w:pPr>
        <w:rPr>
          <w:rFonts w:hint="eastAsia" w:hAnsi="宋体" w:cs="宋体"/>
          <w:highlight w:val="none"/>
        </w:rPr>
      </w:pPr>
      <w:r>
        <w:rPr>
          <w:rFonts w:hint="eastAsia" w:hAnsi="宋体" w:cs="宋体"/>
          <w:b/>
          <w:highlight w:val="none"/>
        </w:rPr>
        <w:t>南亩社区</w:t>
      </w:r>
      <w:r>
        <w:rPr>
          <w:rFonts w:hint="eastAsia" w:hAnsi="宋体" w:cs="宋体"/>
          <w:b/>
          <w:highlight w:val="none"/>
          <w:lang w:val="en-US" w:eastAsia="zh-CN"/>
        </w:rPr>
        <w:t xml:space="preserve">  </w:t>
      </w:r>
      <w:r>
        <w:rPr>
          <w:rFonts w:hint="eastAsia" w:hAnsi="宋体" w:cs="宋体"/>
          <w:highlight w:val="none"/>
        </w:rPr>
        <w:t>位于南亩圩，面积1平方公里，现有户籍人口929人，其中居民户口805人，党员27人，社区干部3人，经济来源主要依靠劳务输出。</w:t>
      </w:r>
    </w:p>
    <w:p w14:paraId="49E89299">
      <w:pPr>
        <w:rPr>
          <w:rFonts w:hint="eastAsia" w:hAnsi="宋体" w:cs="宋体"/>
          <w:highlight w:val="none"/>
        </w:rPr>
      </w:pPr>
      <w:r>
        <w:rPr>
          <w:rFonts w:hint="eastAsia" w:hAnsi="宋体" w:cs="宋体"/>
          <w:b/>
          <w:highlight w:val="none"/>
        </w:rPr>
        <w:t>长洞村委会</w:t>
      </w:r>
      <w:r>
        <w:rPr>
          <w:rFonts w:hint="eastAsia" w:hAnsi="宋体" w:cs="宋体"/>
          <w:b/>
          <w:highlight w:val="none"/>
          <w:lang w:val="en-US" w:eastAsia="zh-CN"/>
        </w:rPr>
        <w:t xml:space="preserve">  </w:t>
      </w:r>
      <w:r>
        <w:rPr>
          <w:rFonts w:hint="eastAsia" w:hAnsi="宋体" w:cs="宋体"/>
          <w:highlight w:val="none"/>
        </w:rPr>
        <w:t>位于镇东南部，与江西省全南县社迳、陂头镇相邻，距南亩镇政府19公里，属边远山区贫困村，全村土地总面积21平方公里，其中山地面积17500亩，耕地面积926亩，下辖9个村小组，233户，1012人</w:t>
      </w:r>
      <w:r>
        <w:rPr>
          <w:rFonts w:hint="eastAsia" w:hAnsi="宋体" w:cs="宋体"/>
          <w:highlight w:val="none"/>
          <w:lang w:eastAsia="zh-CN"/>
        </w:rPr>
        <w:t>，</w:t>
      </w:r>
      <w:r>
        <w:rPr>
          <w:rFonts w:hint="eastAsia" w:hAnsi="宋体" w:cs="宋体"/>
          <w:highlight w:val="none"/>
        </w:rPr>
        <w:t>人均收入达到6590元。农作物以种植水稻、花生、小辣椒、油茶和毛竹等为主。</w:t>
      </w:r>
    </w:p>
    <w:p w14:paraId="39231821">
      <w:pPr>
        <w:rPr>
          <w:rFonts w:hint="eastAsia" w:hAnsi="宋体" w:cs="宋体"/>
          <w:highlight w:val="none"/>
        </w:rPr>
      </w:pPr>
      <w:r>
        <w:rPr>
          <w:rFonts w:hint="eastAsia" w:hAnsi="宋体" w:cs="宋体"/>
          <w:b/>
          <w:highlight w:val="none"/>
        </w:rPr>
        <w:t>水塘村委会</w:t>
      </w:r>
      <w:r>
        <w:rPr>
          <w:rFonts w:hint="eastAsia" w:hAnsi="宋体" w:cs="宋体"/>
          <w:b/>
          <w:highlight w:val="none"/>
          <w:lang w:val="en-US" w:eastAsia="zh-CN"/>
        </w:rPr>
        <w:t xml:space="preserve">  </w:t>
      </w:r>
      <w:r>
        <w:rPr>
          <w:rFonts w:hint="eastAsia" w:hAnsi="宋体" w:cs="宋体"/>
          <w:highlight w:val="none"/>
        </w:rPr>
        <w:t>位于镇东南部，下辖8个村小组，总户数223户，873人。全村土地面积7907亩，其中耕地678亩，林地7118亩，竹林面积110亩，现有“两委”干部3人。主要以种植水稻、花生、小辣椒、油茶和毛竹等为主，人均收入6476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93F7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3A10843">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16935" cy="2289175"/>
                  <wp:effectExtent l="0" t="0" r="12065" b="15875"/>
                  <wp:docPr id="122" name="图片 297" descr="官田村慰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7" descr="官田村慰问"/>
                          <pic:cNvPicPr>
                            <a:picLocks noChangeAspect="1"/>
                          </pic:cNvPicPr>
                        </pic:nvPicPr>
                        <pic:blipFill>
                          <a:blip r:embed="rId127"/>
                          <a:stretch>
                            <a:fillRect/>
                          </a:stretch>
                        </pic:blipFill>
                        <pic:spPr>
                          <a:xfrm>
                            <a:off x="0" y="0"/>
                            <a:ext cx="3416935" cy="2289175"/>
                          </a:xfrm>
                          <a:prstGeom prst="rect">
                            <a:avLst/>
                          </a:prstGeom>
                          <a:noFill/>
                          <a:ln>
                            <a:noFill/>
                          </a:ln>
                        </pic:spPr>
                      </pic:pic>
                    </a:graphicData>
                  </a:graphic>
                </wp:inline>
              </w:drawing>
            </w:r>
          </w:p>
        </w:tc>
      </w:tr>
      <w:tr w14:paraId="229C0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3E0EDC2">
            <w:pPr>
              <w:jc w:val="center"/>
              <w:rPr>
                <w:rFonts w:hint="eastAsia" w:hAnsi="宋体" w:cs="宋体"/>
                <w:highlight w:val="none"/>
                <w:vertAlign w:val="baseline"/>
              </w:rPr>
            </w:pPr>
            <w:r>
              <w:rPr>
                <w:rFonts w:hint="eastAsia" w:hAnsi="宋体" w:cs="宋体"/>
                <w:highlight w:val="none"/>
                <w:vertAlign w:val="baseline"/>
              </w:rPr>
              <w:t>8月19日，市委副书记丘德周（右一）到南亩镇官田村慰问困难群众</w:t>
            </w:r>
          </w:p>
        </w:tc>
      </w:tr>
    </w:tbl>
    <w:p w14:paraId="77CE79F9">
      <w:pPr>
        <w:rPr>
          <w:rFonts w:hint="eastAsia" w:hAnsi="宋体" w:cs="宋体"/>
          <w:highlight w:val="none"/>
        </w:rPr>
      </w:pPr>
      <w:r>
        <w:rPr>
          <w:rFonts w:hint="eastAsia" w:hAnsi="宋体" w:cs="宋体"/>
          <w:b/>
          <w:highlight w:val="none"/>
        </w:rPr>
        <w:t>中寺村委会</w:t>
      </w:r>
      <w:r>
        <w:rPr>
          <w:rFonts w:hint="eastAsia" w:hAnsi="宋体" w:cs="宋体"/>
          <w:b/>
          <w:highlight w:val="none"/>
          <w:lang w:val="en-US" w:eastAsia="zh-CN"/>
        </w:rPr>
        <w:t xml:space="preserve">  </w:t>
      </w:r>
      <w:r>
        <w:rPr>
          <w:rFonts w:hint="eastAsia" w:hAnsi="宋体" w:cs="宋体"/>
          <w:highlight w:val="none"/>
        </w:rPr>
        <w:t>位于镇东部，典型的边远山区，海拔600多米，是革命老区村，下辖15个村小组，总户数343户，1705人。全村土地面积19710亩，其中耕地1608亩，林地16350亩，竹林面积3000亩。主要以种植水稻、花生、小辣椒、油茶和毛竹等为主，经济收入主要靠种养业和劳务收入，2015年人均收入6533元。</w:t>
      </w:r>
    </w:p>
    <w:p w14:paraId="7E4BA89B">
      <w:pPr>
        <w:rPr>
          <w:rFonts w:hint="eastAsia" w:hAnsi="宋体" w:cs="宋体"/>
          <w:highlight w:val="none"/>
        </w:rPr>
      </w:pPr>
      <w:r>
        <w:rPr>
          <w:rFonts w:hint="eastAsia" w:hAnsi="宋体" w:cs="宋体"/>
          <w:b/>
          <w:highlight w:val="none"/>
        </w:rPr>
        <w:t>岭下村委会</w:t>
      </w:r>
      <w:r>
        <w:rPr>
          <w:rFonts w:hint="eastAsia" w:hAnsi="宋体" w:cs="宋体"/>
          <w:b/>
          <w:highlight w:val="none"/>
          <w:lang w:val="en-US" w:eastAsia="zh-CN"/>
        </w:rPr>
        <w:t xml:space="preserve">  </w:t>
      </w:r>
      <w:r>
        <w:rPr>
          <w:rFonts w:hint="eastAsia" w:hAnsi="宋体" w:cs="宋体"/>
          <w:highlight w:val="none"/>
        </w:rPr>
        <w:t>位于镇东南部，距镇政府6公里，下辖9个村小组，290户，1267人，山林面积15380亩，耕地面积815亩，属革命老区村，也是贫困村。主要农作物以种植水稻、花生、小辣椒、油茶和毛竹等为主，经济来源主要靠种养和劳务收入，2012年在镇、帮扶单位的支持下，发展良种白花油茶基地100亩，500头规模以上养猪场1个，集体经济不断得到加强，人均纯收入达到6563元。</w:t>
      </w:r>
    </w:p>
    <w:p w14:paraId="6C14BFF9">
      <w:pPr>
        <w:rPr>
          <w:rFonts w:hint="eastAsia" w:hAnsi="宋体" w:cs="宋体"/>
          <w:highlight w:val="none"/>
        </w:rPr>
      </w:pPr>
      <w:r>
        <w:rPr>
          <w:rFonts w:hint="eastAsia" w:hAnsi="宋体" w:cs="宋体"/>
          <w:b/>
          <w:highlight w:val="none"/>
        </w:rPr>
        <w:t>中岭村委会</w:t>
      </w:r>
      <w:r>
        <w:rPr>
          <w:rFonts w:hint="eastAsia" w:hAnsi="宋体" w:cs="宋体"/>
          <w:b/>
          <w:highlight w:val="none"/>
          <w:lang w:val="en-US" w:eastAsia="zh-CN"/>
        </w:rPr>
        <w:t xml:space="preserve">  </w:t>
      </w:r>
      <w:r>
        <w:rPr>
          <w:rFonts w:hint="eastAsia" w:hAnsi="宋体" w:cs="宋体"/>
          <w:highlight w:val="none"/>
        </w:rPr>
        <w:t>位于镇南部，距镇政府12公里</w:t>
      </w:r>
      <w:r>
        <w:rPr>
          <w:rFonts w:hint="eastAsia" w:hAnsi="宋体" w:cs="宋体"/>
          <w:highlight w:val="none"/>
          <w:lang w:eastAsia="zh-CN"/>
        </w:rPr>
        <w:t>，</w:t>
      </w:r>
      <w:r>
        <w:rPr>
          <w:rFonts w:hint="eastAsia" w:hAnsi="宋体" w:cs="宋体"/>
          <w:highlight w:val="none"/>
        </w:rPr>
        <w:t>辖7个村民小组，全村191户、772人。现有“两委”干部3人，党员19人，全村土地面积9495亩，山林面积8643亩、耕地面积752亩，其中旱地面积81亩。经济发展比较滞后，村民主要经济来源是种养业和劳务输出。主要经济作物以种植水稻、花生、小辣椒、油茶和毛竹等，2015年人均收入6633元。</w:t>
      </w:r>
    </w:p>
    <w:p w14:paraId="25041BCB">
      <w:pPr>
        <w:rPr>
          <w:rFonts w:hint="eastAsia" w:hAnsi="宋体" w:cs="宋体"/>
          <w:highlight w:val="none"/>
        </w:rPr>
      </w:pPr>
      <w:r>
        <w:rPr>
          <w:rFonts w:hint="eastAsia" w:hAnsi="宋体" w:cs="宋体"/>
          <w:b/>
          <w:highlight w:val="none"/>
        </w:rPr>
        <w:t>水尾村委会</w:t>
      </w:r>
      <w:r>
        <w:rPr>
          <w:rFonts w:hint="eastAsia" w:hAnsi="宋体" w:cs="宋体"/>
          <w:b/>
          <w:highlight w:val="none"/>
          <w:lang w:val="en-US" w:eastAsia="zh-CN"/>
        </w:rPr>
        <w:t xml:space="preserve">  </w:t>
      </w:r>
      <w:r>
        <w:rPr>
          <w:rFonts w:hint="eastAsia" w:hAnsi="宋体" w:cs="宋体"/>
          <w:highlight w:val="none"/>
        </w:rPr>
        <w:t>位于镇西南部，距镇政府8公里，属革命老区，全村下辖7个村小组，总户数256户，1225人，现有“两委”干部4人，党员23人。全村土地面积822亩，其中旱地76亩，水田746亩，林地13890亩。村主要经济来源是种养和劳务输出，经济作物以种植水稻、花生、甜玉米、大豆、油茶和蔬菜为主，2015年人均收入6456元。</w:t>
      </w:r>
    </w:p>
    <w:p w14:paraId="781C40BD">
      <w:pPr>
        <w:rPr>
          <w:rFonts w:hint="eastAsia" w:hAnsi="宋体" w:cs="宋体"/>
          <w:highlight w:val="none"/>
        </w:rPr>
      </w:pPr>
      <w:r>
        <w:rPr>
          <w:rFonts w:hint="eastAsia" w:hAnsi="宋体" w:cs="宋体"/>
          <w:b/>
          <w:highlight w:val="none"/>
        </w:rPr>
        <w:t>芙蓉村委会</w:t>
      </w:r>
      <w:r>
        <w:rPr>
          <w:rFonts w:hint="eastAsia" w:hAnsi="宋体" w:cs="宋体"/>
          <w:b/>
          <w:highlight w:val="none"/>
          <w:lang w:val="en-US" w:eastAsia="zh-CN"/>
        </w:rPr>
        <w:t xml:space="preserve">  </w:t>
      </w:r>
      <w:r>
        <w:rPr>
          <w:rFonts w:hint="eastAsia" w:hAnsi="宋体" w:cs="宋体"/>
          <w:highlight w:val="none"/>
        </w:rPr>
        <w:t>位于镇西南部，下辖6个村名小组，人口1306人，户数297户，现有党员26人，村干部5人，主要经济来源以种养和劳务输出为主，种植方面有优质稻、甜玉米、小辣椒、花生、油茶、毛竹等，2015年人均收入6632元。</w:t>
      </w:r>
    </w:p>
    <w:p w14:paraId="23CB06DE">
      <w:pPr>
        <w:rPr>
          <w:rFonts w:hint="eastAsia" w:hAnsi="宋体" w:cs="宋体"/>
          <w:highlight w:val="none"/>
        </w:rPr>
      </w:pPr>
      <w:r>
        <w:rPr>
          <w:rFonts w:hint="eastAsia" w:hAnsi="宋体" w:cs="宋体"/>
          <w:b/>
          <w:highlight w:val="none"/>
        </w:rPr>
        <w:t>鱼鲜村委会</w:t>
      </w:r>
      <w:r>
        <w:rPr>
          <w:rFonts w:hint="eastAsia" w:hAnsi="宋体" w:cs="宋体"/>
          <w:b/>
          <w:highlight w:val="none"/>
          <w:lang w:val="en-US" w:eastAsia="zh-CN"/>
        </w:rPr>
        <w:t xml:space="preserve">  </w:t>
      </w:r>
      <w:r>
        <w:rPr>
          <w:rFonts w:hint="eastAsia" w:hAnsi="宋体" w:cs="宋体"/>
          <w:highlight w:val="none"/>
        </w:rPr>
        <w:t>位于镇的东部，东与坪田镇相接，下辖11个村小组，总户数423户，人口2114人，党员46人。全村土地面积17006亩，耕地面积1806亩，林地面积15200亩。境内有座花林寺，建于元代，属重点保护文物，鱼鲜村2008年被评为省级“古村落”。全村农作物种植主要以水稻、花生、黄烟、大豆、水果油茶和蔬菜为主，2015年人均收入6438元。</w:t>
      </w:r>
    </w:p>
    <w:p w14:paraId="1B03AF20">
      <w:pPr>
        <w:rPr>
          <w:rFonts w:hint="eastAsia" w:hAnsi="宋体" w:cs="宋体"/>
          <w:highlight w:val="none"/>
        </w:rPr>
      </w:pPr>
      <w:r>
        <w:rPr>
          <w:rFonts w:hint="eastAsia" w:hAnsi="宋体" w:cs="宋体"/>
          <w:b/>
          <w:highlight w:val="none"/>
        </w:rPr>
        <w:t>南亩村委会</w:t>
      </w:r>
      <w:r>
        <w:rPr>
          <w:rFonts w:hint="eastAsia" w:hAnsi="宋体" w:cs="宋体"/>
          <w:b/>
          <w:highlight w:val="none"/>
          <w:lang w:val="en-US" w:eastAsia="zh-CN"/>
        </w:rPr>
        <w:t xml:space="preserve">  </w:t>
      </w:r>
      <w:r>
        <w:rPr>
          <w:rFonts w:hint="eastAsia" w:hAnsi="宋体" w:cs="宋体"/>
          <w:highlight w:val="none"/>
        </w:rPr>
        <w:t>位于南亩墟</w:t>
      </w:r>
      <w:r>
        <w:rPr>
          <w:rFonts w:hint="eastAsia" w:hAnsi="宋体" w:cs="宋体"/>
          <w:highlight w:val="none"/>
          <w:lang w:eastAsia="zh-CN"/>
        </w:rPr>
        <w:t>，</w:t>
      </w:r>
      <w:r>
        <w:rPr>
          <w:rFonts w:hint="eastAsia" w:hAnsi="宋体" w:cs="宋体"/>
          <w:highlight w:val="none"/>
        </w:rPr>
        <w:t>革命老区村，辖11个村民小组，全村456户、2189人。现有“两委”干部4人，党员41人。全村土地面积10275亩，山林面积8600亩、耕地面积1675亩，全村农作物种植主要以水稻、花生、黄烟、大豆、水果油茶和蔬菜为主，2015年人均收入6854元。</w:t>
      </w:r>
    </w:p>
    <w:p w14:paraId="4F87E704">
      <w:pPr>
        <w:rPr>
          <w:rFonts w:hint="eastAsia" w:hAnsi="宋体" w:cs="宋体"/>
          <w:highlight w:val="none"/>
        </w:rPr>
      </w:pPr>
      <w:r>
        <w:rPr>
          <w:rFonts w:hint="eastAsia" w:hAnsi="宋体" w:cs="宋体"/>
          <w:b/>
          <w:highlight w:val="none"/>
        </w:rPr>
        <w:t>樟屋村委会</w:t>
      </w:r>
      <w:r>
        <w:rPr>
          <w:rFonts w:hint="eastAsia" w:hAnsi="宋体" w:cs="宋体"/>
          <w:b/>
          <w:highlight w:val="none"/>
          <w:lang w:val="en-US" w:eastAsia="zh-CN"/>
        </w:rPr>
        <w:t xml:space="preserve">  </w:t>
      </w:r>
      <w:r>
        <w:rPr>
          <w:rFonts w:hint="eastAsia" w:hAnsi="宋体" w:cs="宋体"/>
          <w:highlight w:val="none"/>
        </w:rPr>
        <w:t>位于镇北部，距镇政府2.5公里</w:t>
      </w:r>
      <w:r>
        <w:rPr>
          <w:rFonts w:hint="eastAsia" w:hAnsi="宋体" w:cs="宋体"/>
          <w:highlight w:val="none"/>
          <w:lang w:eastAsia="zh-CN"/>
        </w:rPr>
        <w:t>，</w:t>
      </w:r>
      <w:r>
        <w:rPr>
          <w:rFonts w:hint="eastAsia" w:hAnsi="宋体" w:cs="宋体"/>
          <w:highlight w:val="none"/>
        </w:rPr>
        <w:t>辖9个村民小组，全村405户、1749人。现有“两委”干部4人，党员38人。全村土地面积8750亩，山林面积7307亩、耕地面积2400亩。全村农作物种植主要以水稻、花生、黄烟、大豆、水果、油茶和蔬菜为主，2015年人均收入6724元。</w:t>
      </w:r>
    </w:p>
    <w:p w14:paraId="57C581AC">
      <w:pPr>
        <w:rPr>
          <w:rFonts w:hint="eastAsia" w:hAnsi="宋体" w:cs="宋体"/>
          <w:highlight w:val="none"/>
        </w:rPr>
      </w:pPr>
      <w:r>
        <w:rPr>
          <w:rFonts w:hint="eastAsia" w:hAnsi="宋体" w:cs="宋体"/>
          <w:b/>
          <w:highlight w:val="none"/>
        </w:rPr>
        <w:t>官田村委会</w:t>
      </w:r>
      <w:r>
        <w:rPr>
          <w:rFonts w:hint="eastAsia" w:hAnsi="宋体" w:cs="宋体"/>
          <w:b/>
          <w:highlight w:val="none"/>
          <w:lang w:val="en-US" w:eastAsia="zh-CN"/>
        </w:rPr>
        <w:t xml:space="preserve">  </w:t>
      </w:r>
      <w:r>
        <w:rPr>
          <w:rFonts w:hint="eastAsia" w:hAnsi="宋体" w:cs="宋体"/>
          <w:highlight w:val="none"/>
        </w:rPr>
        <w:t>位于镇西部</w:t>
      </w:r>
      <w:r>
        <w:rPr>
          <w:rFonts w:hint="eastAsia" w:hAnsi="宋体" w:cs="宋体"/>
          <w:highlight w:val="none"/>
          <w:lang w:eastAsia="zh-CN"/>
        </w:rPr>
        <w:t>，</w:t>
      </w:r>
      <w:r>
        <w:rPr>
          <w:rFonts w:hint="eastAsia" w:hAnsi="宋体" w:cs="宋体"/>
          <w:highlight w:val="none"/>
        </w:rPr>
        <w:t>距镇政府3.5公里，下辖12个村民小组，总户数365户1549人。现有“两委”干部4人，党员34人。现有耕地面积1112亩（其中旱地133亩、水田979亩），林地6950亩。全村农作物种植主要以水稻、花生、黄烟、大豆、水果、油茶和蔬菜为主，2015年人均纯收入6762元。（潘健）</w:t>
      </w:r>
    </w:p>
    <w:p w14:paraId="4E72CC43">
      <w:pPr>
        <w:rPr>
          <w:rFonts w:hint="eastAsia" w:hAnsi="宋体" w:cs="宋体"/>
          <w:highlight w:val="none"/>
        </w:rPr>
      </w:pPr>
      <w:r>
        <w:rPr>
          <w:rFonts w:hint="eastAsia" w:hAnsi="宋体" w:cs="宋体"/>
          <w:highlight w:val="none"/>
        </w:rPr>
        <w:t>附：2015年南亩镇领导班子成员名单</w:t>
      </w:r>
    </w:p>
    <w:p w14:paraId="24CCBEDA">
      <w:pPr>
        <w:rPr>
          <w:rFonts w:hint="eastAsia" w:hAnsi="宋体" w:cs="宋体"/>
          <w:highlight w:val="none"/>
        </w:rPr>
      </w:pPr>
      <w:r>
        <w:rPr>
          <w:rFonts w:hint="eastAsia" w:hAnsi="宋体" w:cs="宋体"/>
          <w:highlight w:val="none"/>
        </w:rPr>
        <w:t>党委书记、人大主席：孔建国</w:t>
      </w:r>
    </w:p>
    <w:p w14:paraId="45BF8172">
      <w:pPr>
        <w:rPr>
          <w:rFonts w:hint="eastAsia" w:hAnsi="宋体" w:cs="宋体"/>
          <w:highlight w:val="none"/>
        </w:rPr>
      </w:pPr>
      <w:r>
        <w:rPr>
          <w:rFonts w:hint="eastAsia" w:hAnsi="宋体" w:cs="宋体"/>
          <w:highlight w:val="none"/>
        </w:rPr>
        <w:t>党委副书记、镇长：池宏安</w:t>
      </w:r>
    </w:p>
    <w:p w14:paraId="781768EE">
      <w:pPr>
        <w:rPr>
          <w:rFonts w:hint="eastAsia" w:hAnsi="宋体" w:cs="宋体"/>
          <w:highlight w:val="none"/>
        </w:rPr>
      </w:pPr>
      <w:r>
        <w:rPr>
          <w:rFonts w:hint="eastAsia" w:hAnsi="宋体" w:cs="宋体"/>
          <w:highlight w:val="none"/>
        </w:rPr>
        <w:t>党委副书记：苏学才</w:t>
      </w:r>
    </w:p>
    <w:p w14:paraId="7613DF08">
      <w:pPr>
        <w:rPr>
          <w:rFonts w:hint="eastAsia" w:hAnsi="宋体" w:cs="宋体"/>
          <w:highlight w:val="none"/>
        </w:rPr>
      </w:pPr>
      <w:r>
        <w:rPr>
          <w:rFonts w:hint="eastAsia" w:hAnsi="宋体" w:cs="宋体"/>
          <w:highlight w:val="none"/>
        </w:rPr>
        <w:t>纪委书记：潘希荣</w:t>
      </w:r>
    </w:p>
    <w:p w14:paraId="05569089">
      <w:pPr>
        <w:rPr>
          <w:rFonts w:hint="eastAsia" w:hAnsi="宋体" w:cs="宋体"/>
          <w:highlight w:val="none"/>
        </w:rPr>
      </w:pPr>
      <w:r>
        <w:rPr>
          <w:rFonts w:hint="eastAsia" w:hAnsi="宋体" w:cs="宋体"/>
          <w:highlight w:val="none"/>
        </w:rPr>
        <w:t>组织委员：黄承洲</w:t>
      </w:r>
    </w:p>
    <w:p w14:paraId="0954962C">
      <w:pPr>
        <w:rPr>
          <w:rFonts w:hint="eastAsia" w:hAnsi="宋体" w:cs="宋体"/>
          <w:highlight w:val="none"/>
        </w:rPr>
      </w:pPr>
      <w:r>
        <w:rPr>
          <w:rFonts w:hint="eastAsia" w:hAnsi="宋体" w:cs="宋体"/>
          <w:highlight w:val="none"/>
        </w:rPr>
        <w:t>宣传委员：叶常祖</w:t>
      </w:r>
    </w:p>
    <w:p w14:paraId="5BFAD215">
      <w:pPr>
        <w:rPr>
          <w:rFonts w:hint="eastAsia" w:hAnsi="宋体" w:cs="宋体"/>
          <w:highlight w:val="none"/>
        </w:rPr>
      </w:pPr>
      <w:r>
        <w:rPr>
          <w:rFonts w:hint="eastAsia" w:hAnsi="宋体" w:cs="宋体"/>
          <w:highlight w:val="none"/>
        </w:rPr>
        <w:t>党委委员、人大副主席：高洁</w:t>
      </w:r>
    </w:p>
    <w:p w14:paraId="571CA5CE">
      <w:pPr>
        <w:rPr>
          <w:rFonts w:hint="eastAsia" w:hAnsi="宋体" w:cs="宋体"/>
          <w:highlight w:val="none"/>
        </w:rPr>
      </w:pPr>
      <w:r>
        <w:rPr>
          <w:rFonts w:hint="eastAsia" w:hAnsi="宋体" w:cs="宋体"/>
          <w:highlight w:val="none"/>
        </w:rPr>
        <w:t>党委委员、武装部部长：饶海华</w:t>
      </w:r>
    </w:p>
    <w:p w14:paraId="4459269E">
      <w:pPr>
        <w:rPr>
          <w:rFonts w:hint="eastAsia" w:hAnsi="宋体" w:cs="宋体"/>
          <w:highlight w:val="none"/>
        </w:rPr>
      </w:pPr>
      <w:r>
        <w:rPr>
          <w:rFonts w:hint="eastAsia" w:hAnsi="宋体" w:cs="宋体"/>
          <w:highlight w:val="none"/>
        </w:rPr>
        <w:t>党委委员、综治办专职副主任：邓地状</w:t>
      </w:r>
    </w:p>
    <w:p w14:paraId="1CB9A7B0">
      <w:pPr>
        <w:rPr>
          <w:rFonts w:hint="eastAsia" w:hAnsi="宋体" w:cs="宋体"/>
          <w:highlight w:val="none"/>
        </w:rPr>
      </w:pPr>
      <w:r>
        <w:rPr>
          <w:rFonts w:hint="eastAsia" w:hAnsi="宋体" w:cs="宋体"/>
          <w:highlight w:val="none"/>
        </w:rPr>
        <w:t>副镇长：伍国亮</w:t>
      </w:r>
      <w:r>
        <w:rPr>
          <w:rFonts w:hint="eastAsia" w:hAnsi="宋体" w:cs="宋体"/>
          <w:highlight w:val="none"/>
          <w:lang w:val="en-US" w:eastAsia="zh-CN"/>
        </w:rPr>
        <w:t xml:space="preserve"> </w:t>
      </w:r>
      <w:r>
        <w:rPr>
          <w:rFonts w:hint="eastAsia" w:hAnsi="宋体" w:cs="宋体"/>
          <w:highlight w:val="none"/>
        </w:rPr>
        <w:t>陈碧霞</w:t>
      </w:r>
      <w:r>
        <w:rPr>
          <w:rFonts w:hint="eastAsia" w:hAnsi="宋体" w:cs="宋体"/>
          <w:highlight w:val="none"/>
          <w:lang w:val="en-US" w:eastAsia="zh-CN"/>
        </w:rPr>
        <w:t xml:space="preserve"> </w:t>
      </w:r>
      <w:r>
        <w:rPr>
          <w:rFonts w:hint="eastAsia" w:hAnsi="宋体" w:cs="宋体"/>
          <w:highlight w:val="none"/>
        </w:rPr>
        <w:t>陈于泉</w:t>
      </w:r>
    </w:p>
    <w:p w14:paraId="170E10CC">
      <w:pPr>
        <w:pStyle w:val="3"/>
        <w:bidi w:val="0"/>
        <w:rPr>
          <w:rFonts w:hint="eastAsia"/>
          <w:highlight w:val="none"/>
        </w:rPr>
      </w:pPr>
      <w:r>
        <w:rPr>
          <w:rFonts w:hint="eastAsia"/>
          <w:highlight w:val="none"/>
        </w:rPr>
        <w:t>界址镇</w:t>
      </w:r>
    </w:p>
    <w:p w14:paraId="35FEF459">
      <w:pPr>
        <w:pStyle w:val="4"/>
        <w:bidi w:val="0"/>
        <w:rPr>
          <w:rFonts w:hint="eastAsia"/>
          <w:highlight w:val="none"/>
        </w:rPr>
      </w:pPr>
      <w:r>
        <w:rPr>
          <w:rFonts w:hint="eastAsia"/>
          <w:highlight w:val="none"/>
        </w:rPr>
        <w:t>【概况】</w:t>
      </w:r>
    </w:p>
    <w:p w14:paraId="14C09C15">
      <w:pPr>
        <w:rPr>
          <w:rFonts w:hint="eastAsia" w:hAnsi="宋体" w:cs="宋体"/>
          <w:highlight w:val="none"/>
        </w:rPr>
      </w:pPr>
      <w:r>
        <w:rPr>
          <w:rFonts w:hint="eastAsia" w:hAnsi="宋体" w:cs="宋体"/>
          <w:highlight w:val="none"/>
        </w:rPr>
        <w:t>界址，原名界至，因处在广东省与江西省交界地带而得名。位于广东省南雄市东北部，南部与坪田镇相邻，西部与乌迳接壤，东、北部与江西省信丰县交界，距南雄市区47公里，总面积62.5平方公里，其中耕地面积20434亩</w:t>
      </w:r>
      <w:r>
        <w:rPr>
          <w:rFonts w:hint="eastAsia" w:hAnsi="宋体" w:cs="宋体"/>
          <w:highlight w:val="none"/>
          <w:lang w:eastAsia="zh-CN"/>
        </w:rPr>
        <w:t>（</w:t>
      </w:r>
      <w:r>
        <w:rPr>
          <w:rFonts w:hint="eastAsia" w:hAnsi="宋体" w:cs="宋体"/>
          <w:highlight w:val="none"/>
        </w:rPr>
        <w:t>常用耕地面积10322亩</w:t>
      </w:r>
      <w:r>
        <w:rPr>
          <w:rFonts w:hint="eastAsia" w:hAnsi="宋体" w:cs="宋体"/>
          <w:highlight w:val="none"/>
          <w:lang w:eastAsia="zh-CN"/>
        </w:rPr>
        <w:t>，</w:t>
      </w:r>
      <w:r>
        <w:rPr>
          <w:rFonts w:hint="eastAsia" w:hAnsi="宋体" w:cs="宋体"/>
          <w:highlight w:val="none"/>
        </w:rPr>
        <w:t>其中水田8386亩，水浇地1936亩），山林面积4396公顷。民国18年（1929年）废约建乡，属第六区崇化乡、大坊乡。1950年设立界址乡，属第三区（乌迳）。1958年人民公社化，属乌迳人民公社。1962年设立界址人民公社。1980年实行政社分开，改为界址区。1986年设立界址镇至今。全镇现辖有界址、下屋、赵屋、崇化、百罗、大坑、大坊、马芫8个村委会和界址圩社区居委会，69个村民小组，户数4365户，户籍人口14877人。</w:t>
      </w:r>
    </w:p>
    <w:p w14:paraId="685F7989">
      <w:pPr>
        <w:rPr>
          <w:rFonts w:hint="eastAsia" w:hAnsi="宋体" w:cs="宋体"/>
          <w:highlight w:val="none"/>
        </w:rPr>
      </w:pPr>
      <w:r>
        <w:rPr>
          <w:rFonts w:hint="eastAsia" w:hAnsi="宋体" w:cs="宋体"/>
          <w:highlight w:val="none"/>
        </w:rPr>
        <w:t>2015年，镇党委、政府以开展“项目落实年”“双学双比”主题活动为载体，坚定不移打好苏区牌、走好生态路，紧紧围绕市委、市政府提出的六大战略和镇级“十个一”、村级“四个一”亮点工作，不断提高经济社会发展水平，扎实推进惠民工程，有力促进农村社会经济文化稳步发展。</w:t>
      </w:r>
    </w:p>
    <w:p w14:paraId="313F6A18">
      <w:pPr>
        <w:pStyle w:val="4"/>
        <w:bidi w:val="0"/>
        <w:rPr>
          <w:rFonts w:hint="eastAsia"/>
          <w:highlight w:val="none"/>
        </w:rPr>
      </w:pPr>
      <w:r>
        <w:rPr>
          <w:rFonts w:hint="eastAsia"/>
          <w:highlight w:val="none"/>
        </w:rPr>
        <w:t>【农业和农村经济】</w:t>
      </w:r>
    </w:p>
    <w:p w14:paraId="1187CAC4">
      <w:pPr>
        <w:rPr>
          <w:rFonts w:hint="eastAsia" w:hAnsi="宋体" w:cs="宋体"/>
          <w:highlight w:val="none"/>
        </w:rPr>
      </w:pPr>
      <w:r>
        <w:rPr>
          <w:rFonts w:hint="eastAsia" w:hAnsi="宋体" w:cs="宋体"/>
          <w:highlight w:val="none"/>
        </w:rPr>
        <w:t>因地制宜，突出特色，在抓好农作物种植的基础上，继续扩大中草药种植面积，推进以金银花为主，以玉竹、忘忧草（黄花菜）、半夏、茯苓等为辅的中药材产业基地建设。2015年，界址镇组织人员远赴山东、湖南实地考察、深入调研，引进蓝莓、金银花、玉竹特色农业项目，成功建立金银花种植园、玉竹种植基地以及600亩蓝莓种植基地。一年间，悬挂宣传横幅15条，免费发放宣传资料3000份，金银花种植面积达1000多亩，玉竹400多亩，忘忧草300多亩，初步形成以金银花为主，玉竹、忘忧草为辅的中草药生产基地。</w:t>
      </w:r>
    </w:p>
    <w:p w14:paraId="6B8FBE65">
      <w:pPr>
        <w:pStyle w:val="4"/>
        <w:bidi w:val="0"/>
        <w:rPr>
          <w:rFonts w:hint="eastAsia"/>
          <w:highlight w:val="none"/>
        </w:rPr>
      </w:pPr>
      <w:r>
        <w:rPr>
          <w:rFonts w:hint="eastAsia"/>
          <w:highlight w:val="none"/>
        </w:rPr>
        <w:t>【林业情况】</w:t>
      </w:r>
    </w:p>
    <w:p w14:paraId="777FBBF3">
      <w:pPr>
        <w:rPr>
          <w:rFonts w:hint="eastAsia" w:hAnsi="宋体" w:cs="宋体"/>
          <w:highlight w:val="none"/>
        </w:rPr>
      </w:pPr>
      <w:r>
        <w:rPr>
          <w:rFonts w:hint="eastAsia" w:hAnsi="宋体" w:cs="宋体"/>
          <w:highlight w:val="none"/>
        </w:rPr>
        <w:t>围绕建设绿色界址为目标，落实《新一轮绿化南雄大行动实施方案》，创办界址、马芫等2个乡村绿化美化示范点和下屋、崇化、大坊等3个荒山造林示范点，打造4条乡村道路样板路，开展生态林扩面工作。</w:t>
      </w:r>
    </w:p>
    <w:p w14:paraId="2822C65F">
      <w:pPr>
        <w:pStyle w:val="4"/>
        <w:bidi w:val="0"/>
        <w:rPr>
          <w:rFonts w:hint="eastAsia"/>
          <w:highlight w:val="none"/>
        </w:rPr>
      </w:pPr>
      <w:r>
        <w:rPr>
          <w:rFonts w:hint="eastAsia"/>
          <w:highlight w:val="none"/>
        </w:rPr>
        <w:t>【扶贫“双到”工作】</w:t>
      </w:r>
    </w:p>
    <w:p w14:paraId="4FFD01E5">
      <w:pPr>
        <w:rPr>
          <w:rFonts w:hint="eastAsia" w:hAnsi="宋体" w:cs="宋体"/>
          <w:highlight w:val="none"/>
        </w:rPr>
      </w:pPr>
      <w:r>
        <w:rPr>
          <w:rFonts w:hint="eastAsia" w:hAnsi="宋体" w:cs="宋体"/>
          <w:highlight w:val="none"/>
        </w:rPr>
        <w:t>5月28日，东莞市莞城街道人大联络委副主任陈金荣一行，到界址镇调研，指导帮扶工作，并表示，莞城街道将一如既往在资金和农民工岗前培训方面给予支持；</w:t>
      </w:r>
    </w:p>
    <w:p w14:paraId="3B220D1E">
      <w:pPr>
        <w:rPr>
          <w:rFonts w:hint="eastAsia" w:hAnsi="宋体" w:cs="宋体"/>
          <w:highlight w:val="none"/>
        </w:rPr>
      </w:pPr>
      <w:r>
        <w:rPr>
          <w:rFonts w:hint="eastAsia" w:hAnsi="宋体" w:cs="宋体"/>
          <w:highlight w:val="none"/>
        </w:rPr>
        <w:t>7月23日，东莞市莞城街道党委书记刘林宏一行在南雄市副市长马细妹的陪同下，深入界址镇大坊、崇化、赵屋3个村走访调研、召开座谈会，指导扶贫开发“双到”工作，双方就贫困村基础设施建设、村集体经济发展、基层党组织建设等问题进行深入探讨。</w:t>
      </w:r>
    </w:p>
    <w:p w14:paraId="67CD308A">
      <w:pPr>
        <w:rPr>
          <w:rFonts w:hint="eastAsia" w:hAnsi="宋体" w:cs="宋体"/>
          <w:highlight w:val="none"/>
        </w:rPr>
      </w:pPr>
      <w:r>
        <w:rPr>
          <w:rFonts w:hint="eastAsia" w:hAnsi="宋体" w:cs="宋体"/>
          <w:highlight w:val="none"/>
        </w:rPr>
        <w:t>8月20日，东莞市莞城街道党委副书记、街道办事处主任陈慧贞一行到界址镇进行扶贫“双到”工作调研。陈慧贞一行到3个贫困村实地调研扶贫开发“双到”工作开展情况，并进行一对一帮扶入户调研，查看3年来帮扶成效。</w:t>
      </w:r>
    </w:p>
    <w:p w14:paraId="6343181E">
      <w:pPr>
        <w:rPr>
          <w:rFonts w:hint="eastAsia" w:hAnsi="宋体" w:cs="宋体"/>
          <w:highlight w:val="none"/>
        </w:rPr>
      </w:pPr>
      <w:r>
        <w:rPr>
          <w:rFonts w:hint="eastAsia" w:hAnsi="宋体" w:cs="宋体"/>
          <w:highlight w:val="none"/>
        </w:rPr>
        <w:t>在东莞市莞城街道办事处支持和市“双到”办指导下，扶贫“双到”工作以壮大村集体经济和农民增收为目标，以发展当地特色产业、提高素质培训为重点，成效凸显。村集体收入从帮扶前千余元增加到近6万元，贫困户年均收入9000元，123户有劳动能力贫困户均已脱贫，脱贫率100%。3年来，投入帮扶资金1722万元，其中大坊村812万元，赵屋村488万元，崇化村422万元。农田、水利基础设施、低收入和困难户住房改造等26项指标已全面完成。顺利通过省第二轮扶贫“双到”工作验收。</w:t>
      </w:r>
    </w:p>
    <w:p w14:paraId="4F8724AA">
      <w:pPr>
        <w:pStyle w:val="4"/>
        <w:bidi w:val="0"/>
        <w:rPr>
          <w:rFonts w:hint="eastAsia"/>
          <w:highlight w:val="none"/>
        </w:rPr>
      </w:pPr>
      <w:r>
        <w:rPr>
          <w:rFonts w:hint="eastAsia"/>
          <w:highlight w:val="none"/>
        </w:rPr>
        <w:t>【基层组织建设】</w:t>
      </w:r>
    </w:p>
    <w:p w14:paraId="47EE775F">
      <w:pPr>
        <w:rPr>
          <w:rFonts w:hint="eastAsia" w:hAnsi="宋体" w:cs="宋体"/>
          <w:highlight w:val="none"/>
        </w:rPr>
      </w:pPr>
      <w:r>
        <w:rPr>
          <w:rFonts w:hint="eastAsia" w:hAnsi="宋体" w:cs="宋体"/>
          <w:highlight w:val="none"/>
        </w:rPr>
        <w:t>全镇党员总数396名，其中35岁以下的青年党员87名，占党员总数的21.96%；党员队伍中具有高中以上学历的190名，占总数的47.98%，其中大学专科以上学历的有81名，占总数的20.45%；女党员66名，占党员总数的16.66%；少数民族党员9名，占党员总数的2.27%。党员队伍中包括工人、农民、牧民、渔民、知识分子、机关干部、企事业单位管理人员及专业技术人员等诸多社会阶层人士；完善基层组织基础设施、设备配备工程工作，实现各村委会（社区）现代化办公条件，强化基层组织建设和党风廉政建设，推进党务公开，打造透明阳光政务。</w:t>
      </w:r>
    </w:p>
    <w:p w14:paraId="451A6F2B">
      <w:pPr>
        <w:pStyle w:val="4"/>
        <w:bidi w:val="0"/>
        <w:rPr>
          <w:rFonts w:hint="eastAsia"/>
          <w:highlight w:val="none"/>
        </w:rPr>
      </w:pPr>
      <w:r>
        <w:rPr>
          <w:rFonts w:hint="eastAsia"/>
          <w:highlight w:val="none"/>
        </w:rPr>
        <w:t>【党风廉政建设】</w:t>
      </w:r>
    </w:p>
    <w:p w14:paraId="5F294DF7">
      <w:pPr>
        <w:rPr>
          <w:rFonts w:hint="eastAsia" w:hAnsi="宋体" w:cs="宋体"/>
          <w:highlight w:val="none"/>
        </w:rPr>
      </w:pPr>
      <w:r>
        <w:rPr>
          <w:rFonts w:hint="eastAsia" w:hAnsi="宋体" w:cs="宋体"/>
          <w:highlight w:val="none"/>
        </w:rPr>
        <w:t>制定《2015年界址镇党风廉政建设和反腐败工作任务分解表》，将反腐倡廉工作任务分解到每个班子成员及各部门，实行党委书记负总责，明确责任内容，落实具体责任人，促进党风廉政建设和反腐败工作的顺利开展。制定《界址镇贯彻落实中央〈建立健全惩治和预防腐败体系2013—2017年工作规划〉的工作方案》</w:t>
      </w:r>
      <w:r>
        <w:rPr>
          <w:rFonts w:hint="eastAsia" w:hAnsi="宋体" w:cs="宋体"/>
          <w:highlight w:val="none"/>
          <w:lang w:eastAsia="zh-CN"/>
        </w:rPr>
        <w:t>，</w:t>
      </w:r>
      <w:r>
        <w:rPr>
          <w:rFonts w:hint="eastAsia" w:hAnsi="宋体" w:cs="宋体"/>
          <w:highlight w:val="none"/>
        </w:rPr>
        <w:t>深入推进作风建设，加大惩治腐败力度；加强领导干部廉洁自律责任，严格执行《领导干部廉洁从政若干准则》《加强对党员领导干部操办婚丧喜庆事宜监督的规定》等规定。开展以“严明组织纪律，锻造优良作风”为主题纪律教育学习月活动。开展“廉洁界址”创建活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0878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3D71651">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49170"/>
                  <wp:effectExtent l="0" t="0" r="8890" b="17780"/>
                  <wp:docPr id="123" name="图片 299" descr="幼儿园建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99" descr="幼儿园建设"/>
                          <pic:cNvPicPr>
                            <a:picLocks noChangeAspect="1"/>
                          </pic:cNvPicPr>
                        </pic:nvPicPr>
                        <pic:blipFill>
                          <a:blip r:embed="rId128"/>
                          <a:stretch>
                            <a:fillRect/>
                          </a:stretch>
                        </pic:blipFill>
                        <pic:spPr>
                          <a:xfrm>
                            <a:off x="0" y="0"/>
                            <a:ext cx="3420110" cy="2249170"/>
                          </a:xfrm>
                          <a:prstGeom prst="rect">
                            <a:avLst/>
                          </a:prstGeom>
                          <a:noFill/>
                          <a:ln>
                            <a:noFill/>
                          </a:ln>
                        </pic:spPr>
                      </pic:pic>
                    </a:graphicData>
                  </a:graphic>
                </wp:inline>
              </w:drawing>
            </w:r>
          </w:p>
        </w:tc>
      </w:tr>
      <w:tr w14:paraId="1A0C6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118CF84">
            <w:pPr>
              <w:jc w:val="center"/>
              <w:rPr>
                <w:rFonts w:hint="eastAsia" w:hAnsi="宋体" w:cs="宋体"/>
                <w:highlight w:val="none"/>
                <w:vertAlign w:val="baseline"/>
              </w:rPr>
            </w:pPr>
            <w:r>
              <w:rPr>
                <w:rFonts w:hint="eastAsia" w:hAnsi="宋体" w:cs="宋体"/>
                <w:highlight w:val="none"/>
                <w:vertAlign w:val="baseline"/>
              </w:rPr>
              <w:t>副市长马细妹（中）调研界址幼儿园建设</w:t>
            </w:r>
          </w:p>
        </w:tc>
      </w:tr>
    </w:tbl>
    <w:p w14:paraId="6460EC4E">
      <w:pPr>
        <w:pStyle w:val="4"/>
        <w:bidi w:val="0"/>
        <w:rPr>
          <w:rFonts w:hint="eastAsia"/>
          <w:highlight w:val="none"/>
        </w:rPr>
      </w:pPr>
      <w:r>
        <w:rPr>
          <w:rFonts w:hint="eastAsia"/>
          <w:highlight w:val="none"/>
        </w:rPr>
        <w:t>【镇区建设】</w:t>
      </w:r>
    </w:p>
    <w:p w14:paraId="5031F5E0">
      <w:pPr>
        <w:rPr>
          <w:rFonts w:hint="eastAsia" w:hAnsi="宋体" w:cs="宋体"/>
          <w:highlight w:val="none"/>
        </w:rPr>
      </w:pPr>
      <w:r>
        <w:rPr>
          <w:rFonts w:hint="eastAsia" w:hAnsi="宋体" w:cs="宋体"/>
          <w:highlight w:val="none"/>
        </w:rPr>
        <w:t>2015年是大坊新镇区建设重要一年</w:t>
      </w:r>
      <w:r>
        <w:rPr>
          <w:rFonts w:hint="eastAsia" w:hAnsi="宋体" w:cs="宋体"/>
          <w:highlight w:val="none"/>
          <w:lang w:eastAsia="zh-CN"/>
        </w:rPr>
        <w:t>，</w:t>
      </w:r>
      <w:r>
        <w:rPr>
          <w:rFonts w:hint="eastAsia" w:hAnsi="宋体" w:cs="宋体"/>
          <w:highlight w:val="none"/>
        </w:rPr>
        <w:t>继续完善新镇区用地手续，已上报省正调规60多亩，已完成调规32亩。逐步完善新镇区基础设施建设，投入45万元，完成1200米排水沟建设、1650米街道水泥硬化工程。着力规划功能布局，吸引各方商户、群众在大坊片聚集，投资经营、生活。在兴建新镇区同时，全面整治完善老圩基础设施，完成建设界址中学门口道路等6条横向街道计1.3公里路面水泥硬化，完善老圩镇横向街道3公里排水沟整治清理，使大坊片与界址片共同发展。</w:t>
      </w:r>
    </w:p>
    <w:p w14:paraId="6905F370">
      <w:pPr>
        <w:pStyle w:val="4"/>
        <w:bidi w:val="0"/>
        <w:rPr>
          <w:rFonts w:hint="eastAsia"/>
          <w:highlight w:val="none"/>
        </w:rPr>
      </w:pPr>
      <w:r>
        <w:rPr>
          <w:rFonts w:hint="eastAsia"/>
          <w:highlight w:val="none"/>
        </w:rPr>
        <w:t>【基础设施建设】</w:t>
      </w:r>
    </w:p>
    <w:p w14:paraId="03E50EDF">
      <w:pPr>
        <w:rPr>
          <w:rFonts w:hint="eastAsia" w:hAnsi="宋体" w:cs="宋体"/>
          <w:highlight w:val="none"/>
        </w:rPr>
      </w:pPr>
      <w:r>
        <w:rPr>
          <w:rFonts w:hint="eastAsia" w:hAnsi="宋体" w:cs="宋体"/>
          <w:highlight w:val="none"/>
        </w:rPr>
        <w:t>2015年，全镇道路硬底化率达95%，通汽车村委（社区）9个，通车率100%；投资130万元，改造县道X342线穿圩段道路及两侧排水沟，界址村委会门口道路及排水沟、垇子脑文体广场；投资100多万元，全面升级改造自来水厂，在改造后县道X342线道路两旁铺设3.3公里水管，解决老圩片等区域生活用水不足问题。</w:t>
      </w:r>
    </w:p>
    <w:p w14:paraId="280F11EC">
      <w:pPr>
        <w:pStyle w:val="4"/>
        <w:bidi w:val="0"/>
        <w:rPr>
          <w:rFonts w:hint="eastAsia"/>
          <w:highlight w:val="none"/>
        </w:rPr>
      </w:pPr>
      <w:r>
        <w:rPr>
          <w:rFonts w:hint="eastAsia"/>
          <w:highlight w:val="none"/>
        </w:rPr>
        <w:t>【文化教育】</w:t>
      </w:r>
    </w:p>
    <w:p w14:paraId="414AF9A4">
      <w:pPr>
        <w:rPr>
          <w:rFonts w:hint="eastAsia" w:hAnsi="宋体" w:cs="宋体"/>
          <w:highlight w:val="none"/>
        </w:rPr>
      </w:pPr>
      <w:r>
        <w:rPr>
          <w:rFonts w:hint="eastAsia" w:hAnsi="宋体" w:cs="宋体"/>
          <w:highlight w:val="none"/>
        </w:rPr>
        <w:t>开展社会主义核心价值体系学习教育，用社会主义核心价值体系引领社会思潮、凝聚社会共识。全面实施素质教育，教育事业取得好成绩。界址中学中考成绩600分以上人数占南雄市农村初中学校几乎一半，考上韶关市一中以上学校有3人。全力推进教育强镇创建工作，顺利通过省政府教育督导室创建教育强镇验收考核。</w:t>
      </w:r>
    </w:p>
    <w:p w14:paraId="161054C6">
      <w:pPr>
        <w:pStyle w:val="4"/>
        <w:bidi w:val="0"/>
        <w:rPr>
          <w:rFonts w:hint="eastAsia"/>
          <w:highlight w:val="none"/>
        </w:rPr>
      </w:pPr>
      <w:r>
        <w:rPr>
          <w:rFonts w:hint="eastAsia"/>
          <w:highlight w:val="none"/>
        </w:rPr>
        <w:t>【民生工程】</w:t>
      </w:r>
    </w:p>
    <w:p w14:paraId="1F74FDFB">
      <w:pPr>
        <w:rPr>
          <w:rFonts w:hint="eastAsia" w:hAnsi="宋体" w:cs="宋体"/>
          <w:highlight w:val="none"/>
        </w:rPr>
      </w:pPr>
      <w:r>
        <w:rPr>
          <w:rFonts w:hint="eastAsia" w:hAnsi="宋体" w:cs="宋体"/>
          <w:highlight w:val="none"/>
        </w:rPr>
        <w:t>2015年，完成总投入360万元，建成14个文体广场、村级运动场，其中8个新建（4个列入市“五小场所”奖补），6个维修。已完成2000平方米以上文体广场6个（大坊新镇区、老圩、乌泥坑、牛栏背、荷树坑、崇化）建设；已完成2000平方米以下村级运动场8个（赵屋、赵坑东头、西头、洋街、新屋俚、下屋、大坑、孔班）。投入120多万元，建成1500亩，集生态示范林保护、自然生态、文化休闲、运动健身于一体的界址森林公园。投入26万元，建设农村幸福院。利用老圩原政府办公楼装修完成360平方米老人活动中心。</w:t>
      </w:r>
    </w:p>
    <w:p w14:paraId="254318BE">
      <w:pPr>
        <w:rPr>
          <w:rFonts w:hint="eastAsia" w:hAnsi="宋体" w:cs="宋体"/>
          <w:highlight w:val="none"/>
        </w:rPr>
      </w:pPr>
      <w:r>
        <w:rPr>
          <w:rFonts w:hint="eastAsia" w:hAnsi="宋体" w:cs="宋体"/>
          <w:highlight w:val="none"/>
        </w:rPr>
        <w:t>全镇安装753盏路灯（其中享受市“路灯”奖补637盏，已完成总投入325万元）。完成由镇政府出资和外出乡贤全额捐赠省道S342线及县道X342线两条贯穿全镇主干道19.5公里路灯安装。完成镇政府出资的新镇区和老圩镇街道131盏路灯安装。完成由各村筹资村组339盏路灯安装。</w:t>
      </w:r>
    </w:p>
    <w:p w14:paraId="37268D43">
      <w:pPr>
        <w:pStyle w:val="4"/>
        <w:bidi w:val="0"/>
        <w:rPr>
          <w:rFonts w:hint="eastAsia"/>
          <w:highlight w:val="none"/>
        </w:rPr>
      </w:pPr>
      <w:r>
        <w:rPr>
          <w:rFonts w:hint="eastAsia"/>
          <w:highlight w:val="none"/>
        </w:rPr>
        <w:t>【镇级亮点工作】</w:t>
      </w:r>
    </w:p>
    <w:p w14:paraId="4775060D">
      <w:pPr>
        <w:rPr>
          <w:rFonts w:hint="eastAsia" w:hAnsi="宋体" w:cs="宋体"/>
          <w:highlight w:val="none"/>
        </w:rPr>
      </w:pPr>
      <w:r>
        <w:rPr>
          <w:rFonts w:hint="eastAsia" w:hAnsi="宋体" w:cs="宋体"/>
          <w:highlight w:val="none"/>
        </w:rPr>
        <w:t>完成大坊文体广场建设；赵屋村村道路灯建设；协助办好赵氏姓氏文化节；打造百罗村标兵党组织；创办下屋村蓝莓种植农业示范基地；种植雷公丘生态示范林；打造农土特产种植的助民致富路子；建设好大坊休闲农庄；建设好界址村老年活动中心；创建大坊文明法治新村亮点工作。</w:t>
      </w:r>
    </w:p>
    <w:p w14:paraId="12E023EB">
      <w:pPr>
        <w:pStyle w:val="4"/>
        <w:bidi w:val="0"/>
        <w:rPr>
          <w:rFonts w:hint="eastAsia"/>
          <w:highlight w:val="none"/>
        </w:rPr>
      </w:pPr>
      <w:r>
        <w:rPr>
          <w:rFonts w:hint="eastAsia"/>
          <w:highlight w:val="none"/>
        </w:rPr>
        <w:t>【计划生育】</w:t>
      </w:r>
    </w:p>
    <w:p w14:paraId="4449C476">
      <w:pPr>
        <w:rPr>
          <w:rFonts w:hint="eastAsia" w:hAnsi="宋体" w:cs="宋体"/>
          <w:highlight w:val="none"/>
        </w:rPr>
      </w:pPr>
      <w:r>
        <w:rPr>
          <w:rFonts w:hint="eastAsia" w:hAnsi="宋体" w:cs="宋体"/>
          <w:highlight w:val="none"/>
        </w:rPr>
        <w:t>建立健全计划生育工作制度，实施层级动态管理，杜绝瞒报漏报。主要指标与上年同期相比，政策生育率提高0.83个百分点；人口性别比下降2.24</w:t>
      </w:r>
      <w:r>
        <w:rPr>
          <w:rFonts w:hint="eastAsia" w:hAnsi="宋体" w:cs="宋体"/>
          <w:highlight w:val="none"/>
          <w:lang w:eastAsia="zh-CN"/>
        </w:rPr>
        <w:t>；</w:t>
      </w:r>
      <w:r>
        <w:rPr>
          <w:rFonts w:hint="eastAsia" w:hAnsi="宋体" w:cs="宋体"/>
          <w:highlight w:val="none"/>
        </w:rPr>
        <w:t>政策外多孩率下降0.78个百分点。</w:t>
      </w:r>
    </w:p>
    <w:p w14:paraId="7E3B7DE2">
      <w:pPr>
        <w:pStyle w:val="4"/>
        <w:bidi w:val="0"/>
        <w:rPr>
          <w:rFonts w:hint="eastAsia"/>
          <w:highlight w:val="none"/>
        </w:rPr>
      </w:pPr>
      <w:r>
        <w:rPr>
          <w:rFonts w:hint="eastAsia"/>
          <w:highlight w:val="none"/>
        </w:rPr>
        <w:t>【社会管理】</w:t>
      </w:r>
    </w:p>
    <w:p w14:paraId="3AFEA376">
      <w:pPr>
        <w:rPr>
          <w:rFonts w:hint="eastAsia" w:hAnsi="宋体" w:cs="宋体"/>
          <w:highlight w:val="none"/>
        </w:rPr>
      </w:pPr>
      <w:r>
        <w:rPr>
          <w:rFonts w:hint="eastAsia" w:hAnsi="宋体" w:cs="宋体"/>
          <w:highlight w:val="none"/>
        </w:rPr>
        <w:t>发挥综治中心作用，及时调处群众矛盾纠纷，2015年调处矛盾纠纷13件，调处率100%。开展防邪工作，做到“三零、三无”和7个“绝对不能发生”。开展整治“两违”工作，重拳出击，2015年，国土部门及时制止违法违规用地19宗，调处解决土地纠纷3宗，未发生一起违法建筑。推进安全生产和食品药品安全工作。对辖区开展巡查、重点式排查和大检查，检查地点达80多个，着重清查山塘水库、山体滑坡、群众危房计30多个。同时组织开展“八打八治”行动、“四打四治”行动和食品药品“两网”建设工作。</w:t>
      </w:r>
    </w:p>
    <w:p w14:paraId="3F8588FC">
      <w:pPr>
        <w:pStyle w:val="4"/>
        <w:bidi w:val="0"/>
        <w:rPr>
          <w:rFonts w:hint="eastAsia"/>
          <w:highlight w:val="none"/>
        </w:rPr>
      </w:pPr>
      <w:r>
        <w:rPr>
          <w:rFonts w:hint="eastAsia"/>
          <w:highlight w:val="none"/>
        </w:rPr>
        <w:t>【政务信息公开】</w:t>
      </w:r>
    </w:p>
    <w:p w14:paraId="45785C0F">
      <w:pPr>
        <w:rPr>
          <w:rFonts w:hint="eastAsia" w:hAnsi="宋体" w:cs="宋体"/>
          <w:highlight w:val="none"/>
        </w:rPr>
      </w:pPr>
      <w:r>
        <w:rPr>
          <w:rFonts w:hint="eastAsia" w:hAnsi="宋体" w:cs="宋体"/>
          <w:highlight w:val="none"/>
        </w:rPr>
        <w:t>2015年，主动公开政府信息283条，提供服务类信息152条，其中网上咨询人数49人次，现场接待人数231人次，咨询电话接听数132人次，网站专栏页面访问量99人次。</w:t>
      </w:r>
    </w:p>
    <w:p w14:paraId="7E9EF86F">
      <w:pPr>
        <w:pStyle w:val="4"/>
        <w:bidi w:val="0"/>
        <w:rPr>
          <w:rFonts w:hint="eastAsia"/>
          <w:highlight w:val="none"/>
        </w:rPr>
      </w:pPr>
      <w:r>
        <w:rPr>
          <w:rFonts w:hint="eastAsia"/>
          <w:highlight w:val="none"/>
        </w:rPr>
        <w:t>【精神文明建设】</w:t>
      </w:r>
    </w:p>
    <w:p w14:paraId="7582D10C">
      <w:pPr>
        <w:rPr>
          <w:rFonts w:hint="eastAsia" w:hAnsi="宋体" w:cs="宋体"/>
          <w:highlight w:val="none"/>
        </w:rPr>
      </w:pPr>
      <w:r>
        <w:rPr>
          <w:rFonts w:hint="eastAsia" w:hAnsi="宋体" w:cs="宋体"/>
          <w:highlight w:val="none"/>
        </w:rPr>
        <w:t>2015年，推进依法治镇、治村进程，用法律武器管理农村各项事务，开展大型普法宣传教育活动3次，在各村开展法制教育进家庭活动19次，创建大坊“民主法治示范村”；投入使用乡村图书室9个、文化站1个。（陈文翔）</w:t>
      </w:r>
    </w:p>
    <w:p w14:paraId="54F72724">
      <w:pPr>
        <w:pStyle w:val="4"/>
        <w:bidi w:val="0"/>
        <w:rPr>
          <w:rFonts w:hint="eastAsia"/>
          <w:highlight w:val="none"/>
        </w:rPr>
      </w:pPr>
      <w:r>
        <w:rPr>
          <w:rFonts w:hint="eastAsia"/>
          <w:highlight w:val="none"/>
        </w:rPr>
        <w:t>【各村（居）委会基本情况】</w:t>
      </w:r>
    </w:p>
    <w:p w14:paraId="7B73DE62">
      <w:pPr>
        <w:rPr>
          <w:rFonts w:hint="eastAsia" w:hAnsi="宋体" w:cs="宋体"/>
          <w:highlight w:val="none"/>
        </w:rPr>
      </w:pPr>
      <w:r>
        <w:rPr>
          <w:rFonts w:hint="eastAsia" w:hAnsi="宋体" w:cs="宋体"/>
          <w:highlight w:val="none"/>
        </w:rPr>
        <w:t>见下表。</w:t>
      </w:r>
    </w:p>
    <w:p w14:paraId="4E51B199">
      <w:pPr>
        <w:jc w:val="center"/>
        <w:rPr>
          <w:rFonts w:hint="eastAsia" w:hAnsi="宋体" w:cs="宋体"/>
          <w:highlight w:val="none"/>
        </w:rPr>
      </w:pPr>
      <w:r>
        <w:rPr>
          <w:rFonts w:hint="eastAsia" w:hAnsi="宋体" w:cs="宋体"/>
          <w:highlight w:val="none"/>
        </w:rPr>
        <w:t>2015年界址镇各村（居）委会基本情况</w:t>
      </w:r>
    </w:p>
    <w:p w14:paraId="0DADA3B4">
      <w:pPr>
        <w:rPr>
          <w:rFonts w:hAnsi="宋体" w:cs="宋体"/>
          <w:highlight w:val="none"/>
        </w:rPr>
      </w:pPr>
      <w:r>
        <w:rPr>
          <w:rFonts w:hint="eastAsia" w:hAnsi="宋体" w:cs="宋体"/>
          <w:highlight w:val="none"/>
        </w:rPr>
        <w:t>表33</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6"/>
        <w:gridCol w:w="963"/>
        <w:gridCol w:w="1182"/>
        <w:gridCol w:w="1195"/>
        <w:gridCol w:w="1905"/>
        <w:gridCol w:w="2125"/>
      </w:tblGrid>
      <w:tr w14:paraId="146C1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410" w:type="dxa"/>
            <w:noWrap w:val="0"/>
            <w:vAlign w:val="top"/>
          </w:tcPr>
          <w:p w14:paraId="5468F2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村（居）委会</w:t>
            </w:r>
          </w:p>
        </w:tc>
        <w:tc>
          <w:tcPr>
            <w:tcW w:w="1080" w:type="dxa"/>
            <w:noWrap w:val="0"/>
            <w:vAlign w:val="top"/>
          </w:tcPr>
          <w:p w14:paraId="2528D7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村民小组</w:t>
            </w:r>
          </w:p>
        </w:tc>
        <w:tc>
          <w:tcPr>
            <w:tcW w:w="1335" w:type="dxa"/>
            <w:noWrap w:val="0"/>
            <w:vAlign w:val="top"/>
          </w:tcPr>
          <w:p w14:paraId="0B1A5D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总户数（户）</w:t>
            </w:r>
          </w:p>
        </w:tc>
        <w:tc>
          <w:tcPr>
            <w:tcW w:w="1350" w:type="dxa"/>
            <w:noWrap w:val="0"/>
            <w:vAlign w:val="top"/>
          </w:tcPr>
          <w:p w14:paraId="0894B4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总人口（人）</w:t>
            </w:r>
          </w:p>
        </w:tc>
        <w:tc>
          <w:tcPr>
            <w:tcW w:w="2175" w:type="dxa"/>
            <w:noWrap w:val="0"/>
            <w:vAlign w:val="top"/>
          </w:tcPr>
          <w:p w14:paraId="4036AB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农民人均纯收入（元）</w:t>
            </w:r>
          </w:p>
        </w:tc>
        <w:tc>
          <w:tcPr>
            <w:tcW w:w="2430" w:type="dxa"/>
            <w:noWrap w:val="0"/>
            <w:vAlign w:val="top"/>
          </w:tcPr>
          <w:p w14:paraId="137EA4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农村经济总收入（万元）</w:t>
            </w:r>
          </w:p>
        </w:tc>
      </w:tr>
      <w:tr w14:paraId="468FE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410" w:type="dxa"/>
            <w:noWrap w:val="0"/>
            <w:vAlign w:val="top"/>
          </w:tcPr>
          <w:p w14:paraId="2E1D33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w:t>
            </w:r>
          </w:p>
        </w:tc>
        <w:tc>
          <w:tcPr>
            <w:tcW w:w="1080" w:type="dxa"/>
            <w:noWrap w:val="0"/>
            <w:vAlign w:val="top"/>
          </w:tcPr>
          <w:p w14:paraId="4F036D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335" w:type="dxa"/>
            <w:noWrap w:val="0"/>
            <w:vAlign w:val="top"/>
          </w:tcPr>
          <w:p w14:paraId="33BB93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634</w:t>
            </w:r>
          </w:p>
        </w:tc>
        <w:tc>
          <w:tcPr>
            <w:tcW w:w="1350" w:type="dxa"/>
            <w:noWrap w:val="0"/>
            <w:vAlign w:val="top"/>
          </w:tcPr>
          <w:p w14:paraId="797910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2464</w:t>
            </w:r>
          </w:p>
        </w:tc>
        <w:tc>
          <w:tcPr>
            <w:tcW w:w="2175" w:type="dxa"/>
            <w:noWrap w:val="0"/>
            <w:vAlign w:val="top"/>
          </w:tcPr>
          <w:p w14:paraId="7AE89A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9704</w:t>
            </w:r>
          </w:p>
        </w:tc>
        <w:tc>
          <w:tcPr>
            <w:tcW w:w="2430" w:type="dxa"/>
            <w:noWrap w:val="0"/>
            <w:vAlign w:val="top"/>
          </w:tcPr>
          <w:p w14:paraId="6E4474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2974</w:t>
            </w:r>
          </w:p>
        </w:tc>
      </w:tr>
      <w:tr w14:paraId="1B597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410" w:type="dxa"/>
            <w:noWrap w:val="0"/>
            <w:vAlign w:val="top"/>
          </w:tcPr>
          <w:p w14:paraId="4378EB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百罗</w:t>
            </w:r>
          </w:p>
        </w:tc>
        <w:tc>
          <w:tcPr>
            <w:tcW w:w="1080" w:type="dxa"/>
            <w:noWrap w:val="0"/>
            <w:vAlign w:val="top"/>
          </w:tcPr>
          <w:p w14:paraId="3FB622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335" w:type="dxa"/>
            <w:noWrap w:val="0"/>
            <w:vAlign w:val="top"/>
          </w:tcPr>
          <w:p w14:paraId="0D12BA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330</w:t>
            </w:r>
          </w:p>
        </w:tc>
        <w:tc>
          <w:tcPr>
            <w:tcW w:w="1350" w:type="dxa"/>
            <w:noWrap w:val="0"/>
            <w:vAlign w:val="top"/>
          </w:tcPr>
          <w:p w14:paraId="79CBEB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1320</w:t>
            </w:r>
          </w:p>
        </w:tc>
        <w:tc>
          <w:tcPr>
            <w:tcW w:w="2175" w:type="dxa"/>
            <w:noWrap w:val="0"/>
            <w:vAlign w:val="top"/>
          </w:tcPr>
          <w:p w14:paraId="6E635D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9326</w:t>
            </w:r>
          </w:p>
        </w:tc>
        <w:tc>
          <w:tcPr>
            <w:tcW w:w="2430" w:type="dxa"/>
            <w:noWrap w:val="0"/>
            <w:vAlign w:val="top"/>
          </w:tcPr>
          <w:p w14:paraId="3A323D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2124</w:t>
            </w:r>
          </w:p>
        </w:tc>
      </w:tr>
      <w:tr w14:paraId="67A77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410" w:type="dxa"/>
            <w:noWrap w:val="0"/>
            <w:vAlign w:val="top"/>
          </w:tcPr>
          <w:p w14:paraId="7D07B4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赵屋</w:t>
            </w:r>
          </w:p>
        </w:tc>
        <w:tc>
          <w:tcPr>
            <w:tcW w:w="1080" w:type="dxa"/>
            <w:noWrap w:val="0"/>
            <w:vAlign w:val="top"/>
          </w:tcPr>
          <w:p w14:paraId="70E59D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335" w:type="dxa"/>
            <w:noWrap w:val="0"/>
            <w:vAlign w:val="top"/>
          </w:tcPr>
          <w:p w14:paraId="4D08DA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596</w:t>
            </w:r>
          </w:p>
        </w:tc>
        <w:tc>
          <w:tcPr>
            <w:tcW w:w="1350" w:type="dxa"/>
            <w:noWrap w:val="0"/>
            <w:vAlign w:val="top"/>
          </w:tcPr>
          <w:p w14:paraId="313698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2175</w:t>
            </w:r>
          </w:p>
        </w:tc>
        <w:tc>
          <w:tcPr>
            <w:tcW w:w="2175" w:type="dxa"/>
            <w:noWrap w:val="0"/>
            <w:vAlign w:val="top"/>
          </w:tcPr>
          <w:p w14:paraId="353C47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9191</w:t>
            </w:r>
          </w:p>
        </w:tc>
        <w:tc>
          <w:tcPr>
            <w:tcW w:w="2430" w:type="dxa"/>
            <w:noWrap w:val="0"/>
            <w:vAlign w:val="top"/>
          </w:tcPr>
          <w:p w14:paraId="376362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2751</w:t>
            </w:r>
          </w:p>
        </w:tc>
      </w:tr>
      <w:tr w14:paraId="5B449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410" w:type="dxa"/>
            <w:noWrap w:val="0"/>
            <w:vAlign w:val="top"/>
          </w:tcPr>
          <w:p w14:paraId="4E67BE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下屋</w:t>
            </w:r>
          </w:p>
        </w:tc>
        <w:tc>
          <w:tcPr>
            <w:tcW w:w="1080" w:type="dxa"/>
            <w:noWrap w:val="0"/>
            <w:vAlign w:val="top"/>
          </w:tcPr>
          <w:p w14:paraId="67C574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335" w:type="dxa"/>
            <w:noWrap w:val="0"/>
            <w:vAlign w:val="top"/>
          </w:tcPr>
          <w:p w14:paraId="2E7087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326</w:t>
            </w:r>
          </w:p>
        </w:tc>
        <w:tc>
          <w:tcPr>
            <w:tcW w:w="1350" w:type="dxa"/>
            <w:noWrap w:val="0"/>
            <w:vAlign w:val="top"/>
          </w:tcPr>
          <w:p w14:paraId="4AD465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1186</w:t>
            </w:r>
          </w:p>
        </w:tc>
        <w:tc>
          <w:tcPr>
            <w:tcW w:w="2175" w:type="dxa"/>
            <w:noWrap w:val="0"/>
            <w:vAlign w:val="top"/>
          </w:tcPr>
          <w:p w14:paraId="6C5908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9511</w:t>
            </w:r>
          </w:p>
        </w:tc>
        <w:tc>
          <w:tcPr>
            <w:tcW w:w="2430" w:type="dxa"/>
            <w:noWrap w:val="0"/>
            <w:vAlign w:val="top"/>
          </w:tcPr>
          <w:p w14:paraId="5059C5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2038</w:t>
            </w:r>
          </w:p>
        </w:tc>
      </w:tr>
      <w:tr w14:paraId="59D6A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410" w:type="dxa"/>
            <w:noWrap w:val="0"/>
            <w:vAlign w:val="top"/>
          </w:tcPr>
          <w:p w14:paraId="61CCBC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崇化</w:t>
            </w:r>
          </w:p>
        </w:tc>
        <w:tc>
          <w:tcPr>
            <w:tcW w:w="1080" w:type="dxa"/>
            <w:noWrap w:val="0"/>
            <w:vAlign w:val="top"/>
          </w:tcPr>
          <w:p w14:paraId="4BA205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335" w:type="dxa"/>
            <w:noWrap w:val="0"/>
            <w:vAlign w:val="top"/>
          </w:tcPr>
          <w:p w14:paraId="4BABAF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580</w:t>
            </w:r>
          </w:p>
        </w:tc>
        <w:tc>
          <w:tcPr>
            <w:tcW w:w="1350" w:type="dxa"/>
            <w:noWrap w:val="0"/>
            <w:vAlign w:val="top"/>
          </w:tcPr>
          <w:p w14:paraId="58AECB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1953</w:t>
            </w:r>
          </w:p>
        </w:tc>
        <w:tc>
          <w:tcPr>
            <w:tcW w:w="2175" w:type="dxa"/>
            <w:noWrap w:val="0"/>
            <w:vAlign w:val="top"/>
          </w:tcPr>
          <w:p w14:paraId="2355F8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8797</w:t>
            </w:r>
          </w:p>
        </w:tc>
        <w:tc>
          <w:tcPr>
            <w:tcW w:w="2430" w:type="dxa"/>
            <w:noWrap w:val="0"/>
            <w:vAlign w:val="top"/>
          </w:tcPr>
          <w:p w14:paraId="3F521A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2516</w:t>
            </w:r>
          </w:p>
        </w:tc>
      </w:tr>
      <w:tr w14:paraId="38A2D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410" w:type="dxa"/>
            <w:noWrap w:val="0"/>
            <w:vAlign w:val="top"/>
          </w:tcPr>
          <w:p w14:paraId="0B2908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大坊</w:t>
            </w:r>
          </w:p>
        </w:tc>
        <w:tc>
          <w:tcPr>
            <w:tcW w:w="1080" w:type="dxa"/>
            <w:noWrap w:val="0"/>
            <w:vAlign w:val="top"/>
          </w:tcPr>
          <w:p w14:paraId="0A6386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335" w:type="dxa"/>
            <w:noWrap w:val="0"/>
            <w:vAlign w:val="top"/>
          </w:tcPr>
          <w:p w14:paraId="06B2E7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542</w:t>
            </w:r>
          </w:p>
        </w:tc>
        <w:tc>
          <w:tcPr>
            <w:tcW w:w="1350" w:type="dxa"/>
            <w:noWrap w:val="0"/>
            <w:vAlign w:val="top"/>
          </w:tcPr>
          <w:p w14:paraId="4B4567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2073</w:t>
            </w:r>
          </w:p>
        </w:tc>
        <w:tc>
          <w:tcPr>
            <w:tcW w:w="2175" w:type="dxa"/>
            <w:noWrap w:val="0"/>
            <w:vAlign w:val="top"/>
          </w:tcPr>
          <w:p w14:paraId="1FB4A4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9537</w:t>
            </w:r>
          </w:p>
        </w:tc>
        <w:tc>
          <w:tcPr>
            <w:tcW w:w="2430" w:type="dxa"/>
            <w:noWrap w:val="0"/>
            <w:vAlign w:val="top"/>
          </w:tcPr>
          <w:p w14:paraId="368ED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2497</w:t>
            </w:r>
          </w:p>
        </w:tc>
      </w:tr>
      <w:tr w14:paraId="3C13D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410" w:type="dxa"/>
            <w:noWrap w:val="0"/>
            <w:vAlign w:val="top"/>
          </w:tcPr>
          <w:p w14:paraId="399F36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大坑</w:t>
            </w:r>
          </w:p>
        </w:tc>
        <w:tc>
          <w:tcPr>
            <w:tcW w:w="1080" w:type="dxa"/>
            <w:noWrap w:val="0"/>
            <w:vAlign w:val="top"/>
          </w:tcPr>
          <w:p w14:paraId="7C86F6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c>
          <w:tcPr>
            <w:tcW w:w="1335" w:type="dxa"/>
            <w:noWrap w:val="0"/>
            <w:vAlign w:val="top"/>
          </w:tcPr>
          <w:p w14:paraId="678C06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500</w:t>
            </w:r>
          </w:p>
        </w:tc>
        <w:tc>
          <w:tcPr>
            <w:tcW w:w="1350" w:type="dxa"/>
            <w:noWrap w:val="0"/>
            <w:vAlign w:val="top"/>
          </w:tcPr>
          <w:p w14:paraId="09A3B6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1783</w:t>
            </w:r>
          </w:p>
        </w:tc>
        <w:tc>
          <w:tcPr>
            <w:tcW w:w="2175" w:type="dxa"/>
            <w:noWrap w:val="0"/>
            <w:vAlign w:val="top"/>
          </w:tcPr>
          <w:p w14:paraId="207602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9394</w:t>
            </w:r>
          </w:p>
        </w:tc>
        <w:tc>
          <w:tcPr>
            <w:tcW w:w="2430" w:type="dxa"/>
            <w:noWrap w:val="0"/>
            <w:vAlign w:val="top"/>
          </w:tcPr>
          <w:p w14:paraId="432B19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2326</w:t>
            </w:r>
          </w:p>
        </w:tc>
      </w:tr>
      <w:tr w14:paraId="7CA79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410" w:type="dxa"/>
            <w:noWrap w:val="0"/>
            <w:vAlign w:val="top"/>
          </w:tcPr>
          <w:p w14:paraId="1A8A1B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马芫</w:t>
            </w:r>
          </w:p>
        </w:tc>
        <w:tc>
          <w:tcPr>
            <w:tcW w:w="1080" w:type="dxa"/>
            <w:noWrap w:val="0"/>
            <w:vAlign w:val="top"/>
          </w:tcPr>
          <w:p w14:paraId="7B059D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335" w:type="dxa"/>
            <w:noWrap w:val="0"/>
            <w:vAlign w:val="top"/>
          </w:tcPr>
          <w:p w14:paraId="4412EF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328</w:t>
            </w:r>
          </w:p>
        </w:tc>
        <w:tc>
          <w:tcPr>
            <w:tcW w:w="1350" w:type="dxa"/>
            <w:noWrap w:val="0"/>
            <w:vAlign w:val="top"/>
          </w:tcPr>
          <w:p w14:paraId="63E5E5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1083</w:t>
            </w:r>
          </w:p>
        </w:tc>
        <w:tc>
          <w:tcPr>
            <w:tcW w:w="2175" w:type="dxa"/>
            <w:noWrap w:val="0"/>
            <w:vAlign w:val="top"/>
          </w:tcPr>
          <w:p w14:paraId="50C9DA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8938</w:t>
            </w:r>
          </w:p>
        </w:tc>
        <w:tc>
          <w:tcPr>
            <w:tcW w:w="2430" w:type="dxa"/>
            <w:noWrap w:val="0"/>
            <w:vAlign w:val="top"/>
          </w:tcPr>
          <w:p w14:paraId="166133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1821</w:t>
            </w:r>
          </w:p>
        </w:tc>
      </w:tr>
      <w:tr w14:paraId="67D21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410" w:type="dxa"/>
            <w:noWrap w:val="0"/>
            <w:vAlign w:val="top"/>
          </w:tcPr>
          <w:p w14:paraId="5E2DEA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社区</w:t>
            </w:r>
          </w:p>
        </w:tc>
        <w:tc>
          <w:tcPr>
            <w:tcW w:w="1080" w:type="dxa"/>
            <w:noWrap w:val="0"/>
            <w:vAlign w:val="top"/>
          </w:tcPr>
          <w:p w14:paraId="40EACE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335" w:type="dxa"/>
            <w:noWrap w:val="0"/>
            <w:vAlign w:val="top"/>
          </w:tcPr>
          <w:p w14:paraId="6CC077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529</w:t>
            </w:r>
          </w:p>
        </w:tc>
        <w:tc>
          <w:tcPr>
            <w:tcW w:w="1350" w:type="dxa"/>
            <w:noWrap w:val="0"/>
            <w:vAlign w:val="top"/>
          </w:tcPr>
          <w:p w14:paraId="748FE1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840</w:t>
            </w:r>
          </w:p>
        </w:tc>
        <w:tc>
          <w:tcPr>
            <w:tcW w:w="2175" w:type="dxa"/>
            <w:noWrap w:val="0"/>
            <w:vAlign w:val="top"/>
          </w:tcPr>
          <w:p w14:paraId="0D4D01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2430" w:type="dxa"/>
            <w:noWrap w:val="0"/>
            <w:vAlign w:val="top"/>
          </w:tcPr>
          <w:p w14:paraId="253452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r w14:paraId="2AEA4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410" w:type="dxa"/>
            <w:noWrap w:val="0"/>
            <w:vAlign w:val="top"/>
          </w:tcPr>
          <w:p w14:paraId="345983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合计</w:t>
            </w:r>
          </w:p>
        </w:tc>
        <w:tc>
          <w:tcPr>
            <w:tcW w:w="1080" w:type="dxa"/>
            <w:noWrap w:val="0"/>
            <w:vAlign w:val="top"/>
          </w:tcPr>
          <w:p w14:paraId="56A5C6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w:t>
            </w:r>
          </w:p>
        </w:tc>
        <w:tc>
          <w:tcPr>
            <w:tcW w:w="1335" w:type="dxa"/>
            <w:noWrap w:val="0"/>
            <w:vAlign w:val="top"/>
          </w:tcPr>
          <w:p w14:paraId="417D9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4365</w:t>
            </w:r>
          </w:p>
        </w:tc>
        <w:tc>
          <w:tcPr>
            <w:tcW w:w="1350" w:type="dxa"/>
            <w:noWrap w:val="0"/>
            <w:vAlign w:val="top"/>
          </w:tcPr>
          <w:p w14:paraId="097148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14877</w:t>
            </w:r>
          </w:p>
        </w:tc>
        <w:tc>
          <w:tcPr>
            <w:tcW w:w="2175" w:type="dxa"/>
            <w:noWrap w:val="0"/>
            <w:vAlign w:val="top"/>
          </w:tcPr>
          <w:p w14:paraId="0C3AE7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2430" w:type="dxa"/>
            <w:noWrap w:val="0"/>
            <w:vAlign w:val="top"/>
          </w:tcPr>
          <w:p w14:paraId="52AFB3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19047</w:t>
            </w:r>
          </w:p>
        </w:tc>
      </w:tr>
    </w:tbl>
    <w:p w14:paraId="0CD81F65">
      <w:pPr>
        <w:rPr>
          <w:rFonts w:hint="eastAsia" w:hAnsi="宋体" w:cs="宋体"/>
          <w:highlight w:val="none"/>
        </w:rPr>
      </w:pPr>
      <w:r>
        <w:rPr>
          <w:rFonts w:hint="eastAsia" w:hAnsi="宋体" w:cs="宋体"/>
          <w:highlight w:val="none"/>
        </w:rPr>
        <w:t>附：2015年界址镇领导班子成员名单</w:t>
      </w:r>
    </w:p>
    <w:p w14:paraId="08F1E9AC">
      <w:pPr>
        <w:rPr>
          <w:rFonts w:hint="eastAsia" w:hAnsi="宋体" w:cs="宋体"/>
          <w:highlight w:val="none"/>
        </w:rPr>
      </w:pPr>
      <w:r>
        <w:rPr>
          <w:rFonts w:hint="eastAsia" w:hAnsi="宋体" w:cs="宋体"/>
          <w:highlight w:val="none"/>
        </w:rPr>
        <w:t>党委书记、人大主席：李泉洲</w:t>
      </w:r>
    </w:p>
    <w:p w14:paraId="5E43FD7F">
      <w:pPr>
        <w:ind w:firstLine="420"/>
        <w:rPr>
          <w:rFonts w:hint="eastAsia" w:hAnsi="宋体" w:cs="宋体"/>
          <w:b w:val="0"/>
          <w:bCs w:val="0"/>
          <w:highlight w:val="none"/>
        </w:rPr>
      </w:pPr>
      <w:r>
        <w:rPr>
          <w:rFonts w:hint="eastAsia" w:hAnsi="宋体" w:cs="宋体"/>
          <w:b w:val="0"/>
          <w:bCs w:val="0"/>
          <w:highlight w:val="none"/>
        </w:rPr>
        <w:t>党委副书记、镇长：李见宏</w:t>
      </w:r>
    </w:p>
    <w:p w14:paraId="49175D23">
      <w:pPr>
        <w:ind w:firstLine="420"/>
        <w:rPr>
          <w:rFonts w:hint="eastAsia" w:hAnsi="宋体" w:cs="宋体"/>
          <w:b w:val="0"/>
          <w:bCs w:val="0"/>
          <w:highlight w:val="none"/>
        </w:rPr>
      </w:pPr>
      <w:r>
        <w:rPr>
          <w:rFonts w:hint="eastAsia" w:hAnsi="宋体" w:cs="宋体"/>
          <w:b w:val="0"/>
          <w:bCs w:val="0"/>
          <w:highlight w:val="none"/>
        </w:rPr>
        <w:t>党委副书记：李绍林</w:t>
      </w:r>
    </w:p>
    <w:p w14:paraId="1801809D">
      <w:pPr>
        <w:rPr>
          <w:rFonts w:hint="eastAsia" w:hAnsi="宋体" w:cs="宋体"/>
          <w:b w:val="0"/>
          <w:bCs w:val="0"/>
          <w:highlight w:val="none"/>
        </w:rPr>
      </w:pPr>
      <w:r>
        <w:rPr>
          <w:rFonts w:hint="eastAsia" w:hAnsi="宋体" w:cs="宋体"/>
          <w:b w:val="0"/>
          <w:bCs w:val="0"/>
          <w:highlight w:val="none"/>
        </w:rPr>
        <w:t>党委委员、纪委书记：刘</w:t>
      </w:r>
      <w:r>
        <w:rPr>
          <w:rFonts w:hint="eastAsia" w:hAnsi="宋体" w:cs="宋体"/>
          <w:b w:val="0"/>
          <w:bCs w:val="0"/>
          <w:highlight w:val="none"/>
          <w:lang w:val="en-US" w:eastAsia="zh-CN"/>
        </w:rPr>
        <w:t xml:space="preserve">  </w:t>
      </w:r>
      <w:r>
        <w:rPr>
          <w:rFonts w:hint="eastAsia" w:hAnsi="宋体" w:cs="宋体"/>
          <w:b w:val="0"/>
          <w:bCs w:val="0"/>
          <w:highlight w:val="none"/>
        </w:rPr>
        <w:t>艺</w:t>
      </w:r>
    </w:p>
    <w:p w14:paraId="79FBEE7F">
      <w:pPr>
        <w:rPr>
          <w:rFonts w:hint="eastAsia" w:hAnsi="宋体" w:cs="宋体"/>
          <w:b w:val="0"/>
          <w:bCs w:val="0"/>
          <w:highlight w:val="none"/>
        </w:rPr>
      </w:pPr>
      <w:r>
        <w:rPr>
          <w:rFonts w:hint="eastAsia" w:hAnsi="宋体" w:cs="宋体"/>
          <w:b w:val="0"/>
          <w:bCs w:val="0"/>
          <w:highlight w:val="none"/>
        </w:rPr>
        <w:t>党委组织委员：郭亿华</w:t>
      </w:r>
    </w:p>
    <w:p w14:paraId="0FA25265">
      <w:pPr>
        <w:rPr>
          <w:rFonts w:hint="eastAsia" w:hAnsi="宋体" w:cs="宋体"/>
          <w:b w:val="0"/>
          <w:bCs w:val="0"/>
          <w:highlight w:val="none"/>
        </w:rPr>
      </w:pPr>
      <w:r>
        <w:rPr>
          <w:rFonts w:hint="eastAsia" w:hAnsi="宋体" w:cs="宋体"/>
          <w:b w:val="0"/>
          <w:bCs w:val="0"/>
          <w:highlight w:val="none"/>
        </w:rPr>
        <w:t>党委宣传委员：王翔华</w:t>
      </w:r>
    </w:p>
    <w:p w14:paraId="3D77BDD0">
      <w:pPr>
        <w:rPr>
          <w:rFonts w:hint="eastAsia" w:hAnsi="宋体" w:cs="宋体"/>
          <w:highlight w:val="none"/>
        </w:rPr>
      </w:pPr>
      <w:r>
        <w:rPr>
          <w:rFonts w:hint="eastAsia" w:hAnsi="宋体" w:cs="宋体"/>
          <w:highlight w:val="none"/>
        </w:rPr>
        <w:t>党委委员、武装部长：邓荣林</w:t>
      </w:r>
    </w:p>
    <w:p w14:paraId="00CB093D">
      <w:pPr>
        <w:rPr>
          <w:rFonts w:hint="eastAsia" w:hAnsi="宋体" w:cs="宋体"/>
          <w:highlight w:val="none"/>
        </w:rPr>
      </w:pPr>
      <w:r>
        <w:rPr>
          <w:rFonts w:hint="eastAsia" w:hAnsi="宋体" w:cs="宋体"/>
          <w:highlight w:val="none"/>
        </w:rPr>
        <w:t>党委委员、综治办专职副主任：李志雄</w:t>
      </w:r>
    </w:p>
    <w:p w14:paraId="341ECD53">
      <w:pPr>
        <w:rPr>
          <w:rFonts w:hint="eastAsia" w:hAnsi="宋体" w:cs="宋体"/>
          <w:highlight w:val="none"/>
        </w:rPr>
      </w:pPr>
      <w:r>
        <w:rPr>
          <w:rFonts w:hint="eastAsia" w:hAnsi="宋体" w:cs="宋体"/>
          <w:highlight w:val="none"/>
        </w:rPr>
        <w:t>副镇长：何少连</w:t>
      </w:r>
      <w:r>
        <w:rPr>
          <w:rFonts w:hint="eastAsia" w:cs="宋体"/>
          <w:highlight w:val="none"/>
          <w:lang w:val="en-US" w:eastAsia="zh-CN"/>
        </w:rPr>
        <w:t xml:space="preserve"> </w:t>
      </w:r>
      <w:r>
        <w:rPr>
          <w:rFonts w:hint="eastAsia" w:hAnsi="宋体" w:cs="宋体"/>
          <w:highlight w:val="none"/>
        </w:rPr>
        <w:t>李石明</w:t>
      </w:r>
      <w:r>
        <w:rPr>
          <w:rFonts w:hint="eastAsia" w:cs="宋体"/>
          <w:highlight w:val="none"/>
          <w:lang w:val="en-US" w:eastAsia="zh-CN"/>
        </w:rPr>
        <w:t xml:space="preserve"> </w:t>
      </w:r>
      <w:r>
        <w:rPr>
          <w:rFonts w:hint="eastAsia" w:hAnsi="宋体" w:cs="宋体"/>
          <w:highlight w:val="none"/>
        </w:rPr>
        <w:t>朱兆协</w:t>
      </w:r>
    </w:p>
    <w:p w14:paraId="2AB3F7F8">
      <w:pPr>
        <w:pStyle w:val="3"/>
        <w:bidi w:val="0"/>
        <w:rPr>
          <w:rFonts w:hint="eastAsia"/>
          <w:highlight w:val="none"/>
        </w:rPr>
      </w:pPr>
      <w:r>
        <w:rPr>
          <w:rFonts w:hint="eastAsia"/>
          <w:highlight w:val="none"/>
        </w:rPr>
        <w:t>湖口镇</w:t>
      </w:r>
    </w:p>
    <w:p w14:paraId="0280B91D">
      <w:pPr>
        <w:pStyle w:val="4"/>
        <w:bidi w:val="0"/>
        <w:rPr>
          <w:rFonts w:hint="eastAsia"/>
          <w:highlight w:val="none"/>
        </w:rPr>
      </w:pPr>
      <w:r>
        <w:rPr>
          <w:rFonts w:hint="eastAsia"/>
          <w:highlight w:val="none"/>
        </w:rPr>
        <w:t>【概况】</w:t>
      </w:r>
    </w:p>
    <w:p w14:paraId="61DE680D">
      <w:pPr>
        <w:rPr>
          <w:rFonts w:hint="eastAsia" w:hAnsi="宋体" w:cs="宋体"/>
          <w:highlight w:val="none"/>
        </w:rPr>
      </w:pPr>
      <w:r>
        <w:rPr>
          <w:rFonts w:hint="eastAsia" w:hAnsi="宋体" w:cs="宋体"/>
          <w:highlight w:val="none"/>
        </w:rPr>
        <w:t>湖口镇政府驻湖口墟，位于北纬25°10′14″，东经114°23′59″，镇辖区在南雄市区之东。东邻黄坑镇，南与水口、雄州街道为界，西与珠玑、市区接壤，北界邓坊镇。相传此地原为湖泊的出口处，故名湖口。湖口镇明代属惠杨鸟源都，清咸丰四年（1854年）废都建约，民国属南雄第二区长平乡。1951年划分为湖口、里和、长市、新湖、承平、太和等小乡。1956年合并为湖口乡。1958年属红旗人民公社。1961年建立湖口人民公社。1984年改为区。1986年改为镇。</w:t>
      </w:r>
    </w:p>
    <w:p w14:paraId="20A45129">
      <w:pPr>
        <w:rPr>
          <w:rFonts w:hint="eastAsia" w:hAnsi="宋体" w:cs="宋体"/>
          <w:highlight w:val="none"/>
        </w:rPr>
      </w:pPr>
      <w:r>
        <w:rPr>
          <w:rFonts w:hint="eastAsia" w:hAnsi="宋体" w:cs="宋体"/>
          <w:highlight w:val="none"/>
        </w:rPr>
        <w:t>2015年末辖里和、三角、积塔、三水、长市、新湖、新迳、矿石、岗围、湖口、太和、承平12个村委会和1个居委会（社区），有194个村小组，130个自然村。镇属辖区内多以丘陵地貌为主。2015年末，总人口为35408人，其中农业人口32999人。总面积73.6平方公里，耕地面积2427公顷。</w:t>
      </w:r>
    </w:p>
    <w:p w14:paraId="6C4743F0">
      <w:pPr>
        <w:rPr>
          <w:rFonts w:hint="eastAsia" w:hAnsi="宋体" w:cs="宋体"/>
          <w:highlight w:val="none"/>
        </w:rPr>
      </w:pPr>
      <w:r>
        <w:rPr>
          <w:rFonts w:hint="eastAsia" w:hAnsi="宋体" w:cs="宋体"/>
          <w:highlight w:val="none"/>
        </w:rPr>
        <w:t>全镇经济产业以农业为主，形成上造种黄烟下造种水稻的生产模式。湖口农贸市场占地面积13028平方米，每逢单日为集市日，是农副产品交易集散地。工业有建材、粮食加工、塑料制品等厂。境内罗佛寨一带是南雄“红层”古生物化石典型地段，地质学家以罗佛寨群命名。</w:t>
      </w:r>
    </w:p>
    <w:p w14:paraId="0FA4A7C1">
      <w:pPr>
        <w:pStyle w:val="4"/>
        <w:bidi w:val="0"/>
        <w:rPr>
          <w:rFonts w:hint="eastAsia"/>
          <w:highlight w:val="none"/>
        </w:rPr>
      </w:pPr>
      <w:r>
        <w:rPr>
          <w:rFonts w:hint="eastAsia"/>
          <w:highlight w:val="none"/>
        </w:rPr>
        <w:t>【社会经济发展】</w:t>
      </w:r>
    </w:p>
    <w:p w14:paraId="564E38E6">
      <w:pPr>
        <w:rPr>
          <w:rFonts w:hint="eastAsia" w:hAnsi="宋体" w:cs="宋体"/>
          <w:highlight w:val="none"/>
        </w:rPr>
      </w:pPr>
      <w:r>
        <w:rPr>
          <w:rFonts w:hint="eastAsia" w:hAnsi="宋体" w:cs="宋体"/>
          <w:highlight w:val="none"/>
        </w:rPr>
        <w:t>2015年，全镇实现农村经济总收入74521万元，同比增长18.5%，农民人均所得10995元，同比增长17.9%。全镇种植黄烟12601亩，交售1763.25吨，收购金额达4856万元。种植水稻4.39万亩，98%以上是优质稻。年底生猪存栏达3.4万头，家禽存栏6.89万羽，畜禽免疫率达到100%。发展农民专业合作社39家。农民种养经济效益显著提高。</w:t>
      </w:r>
    </w:p>
    <w:p w14:paraId="498D2A2C">
      <w:pPr>
        <w:pStyle w:val="4"/>
        <w:bidi w:val="0"/>
        <w:rPr>
          <w:rFonts w:hint="eastAsia"/>
          <w:highlight w:val="none"/>
        </w:rPr>
      </w:pPr>
      <w:r>
        <w:rPr>
          <w:rFonts w:hint="eastAsia"/>
          <w:highlight w:val="none"/>
        </w:rPr>
        <w:t>【农业基础设施建设】</w:t>
      </w:r>
    </w:p>
    <w:p w14:paraId="1186C8FD">
      <w:pPr>
        <w:rPr>
          <w:rFonts w:hint="eastAsia" w:hAnsi="宋体" w:cs="宋体"/>
          <w:highlight w:val="none"/>
        </w:rPr>
      </w:pPr>
      <w:r>
        <w:rPr>
          <w:rFonts w:hint="eastAsia" w:hAnsi="宋体" w:cs="宋体"/>
          <w:highlight w:val="none"/>
        </w:rPr>
        <w:t>2015年，已完工村道建设10.27公里。其中，新湖、矿石村道路5公里硬底化建设投资约122.5万元，新迳、三水村道路2.5公里硬底化建设投资约61万元，里和黄泥塘1.47公里，太和老圩场0.3公里，镇通300人以上自然村道路（坪地、窝塘、牛岗坪、朱木墩、牛岗地）1公里建设（总投资24.5万元）。南山水水利综合治理二期工程建设，横江灌区湖口段节水改造工程，罗田水库三面光水渠建设，高标准基本农田建设，共涉及承平、长市、矿石、新湖、新迳5个村，面积超过15000亩。岗围村委会至矿石村委会农村路灯安装20盏，投入资金约15万元。</w:t>
      </w:r>
    </w:p>
    <w:p w14:paraId="339D728C">
      <w:pPr>
        <w:pStyle w:val="4"/>
        <w:bidi w:val="0"/>
        <w:rPr>
          <w:rFonts w:hint="eastAsia"/>
          <w:highlight w:val="none"/>
        </w:rPr>
      </w:pPr>
      <w:r>
        <w:rPr>
          <w:rFonts w:hint="eastAsia"/>
          <w:highlight w:val="none"/>
        </w:rPr>
        <w:t>【镇村休闲场所设施建设】</w:t>
      </w:r>
    </w:p>
    <w:p w14:paraId="5C85326E">
      <w:pPr>
        <w:rPr>
          <w:rFonts w:hint="eastAsia" w:hAnsi="宋体" w:cs="宋体"/>
          <w:highlight w:val="none"/>
        </w:rPr>
      </w:pPr>
      <w:r>
        <w:rPr>
          <w:rFonts w:hint="eastAsia" w:hAnsi="宋体" w:cs="宋体"/>
          <w:highlight w:val="none"/>
        </w:rPr>
        <w:t>建成湖口镇文体广场，投入资金约90万元，面积约4000平方米，可同时容纳群众3000多人，文体广场建有篮球场2个，广场路灯12盏，搭建1个大型舞台，广场周围铺设跑道并进行绿化。新迳村小广场，面积约1500平方米，投入资金46.6万元；新湖村小广场，面积约1200平方米投入资金74.28万元；三水村上下坡小运动场，面积约800平方米，投入资金47.47万元；三水村下坡山小运动场面积约700平方米，投入资金60万元；三水村小公园，投入资金80万元；太和村小停车场、总投资约12万元；湖口镇政府院内小运动场，总投资约20万元；矿石村小运动场建设面积1300平方米，总投资32.17万元。</w:t>
      </w:r>
    </w:p>
    <w:p w14:paraId="2CA41879">
      <w:pPr>
        <w:pStyle w:val="4"/>
        <w:bidi w:val="0"/>
        <w:rPr>
          <w:rFonts w:hint="eastAsia"/>
          <w:highlight w:val="none"/>
        </w:rPr>
      </w:pPr>
      <w:r>
        <w:rPr>
          <w:rFonts w:hint="eastAsia"/>
          <w:highlight w:val="none"/>
        </w:rPr>
        <w:t>【农村生活垃圾整治】</w:t>
      </w:r>
    </w:p>
    <w:p w14:paraId="59AB6C69">
      <w:pPr>
        <w:rPr>
          <w:rFonts w:hint="eastAsia" w:hAnsi="宋体" w:cs="宋体"/>
          <w:highlight w:val="none"/>
        </w:rPr>
      </w:pPr>
      <w:r>
        <w:rPr>
          <w:rFonts w:hint="eastAsia" w:hAnsi="宋体" w:cs="宋体"/>
          <w:highlight w:val="none"/>
        </w:rPr>
        <w:t>按照农村垃圾常态化清扫轮值表制度，由镇班子成员带队实行每周两扫（即星期一及星期四），并对圩镇周围200多个体户签订门前“三包”协议书。同时发出“致广大群众的一封信”1500多份，并在各主要路段及公共场所张贴宣传标语150条，悬挂横幅15条，墟场日发放垃圾清理宣传手册1100余份。全镇投放垃圾桶264个，建成12个垃圾收集点和1个垃圾转运站，圩镇周围发放200多个垃圾桶。2015年，除镇里配备1辆垃圾清运车外，还为村委会配备5辆垃圾清运车。</w:t>
      </w:r>
    </w:p>
    <w:p w14:paraId="2D288380">
      <w:pPr>
        <w:pStyle w:val="4"/>
        <w:bidi w:val="0"/>
        <w:rPr>
          <w:rFonts w:hint="eastAsia"/>
          <w:highlight w:val="none"/>
        </w:rPr>
      </w:pPr>
      <w:r>
        <w:rPr>
          <w:rFonts w:hint="eastAsia"/>
          <w:highlight w:val="none"/>
        </w:rPr>
        <w:t>【林业工作】</w:t>
      </w:r>
    </w:p>
    <w:p w14:paraId="439DFE14">
      <w:pPr>
        <w:rPr>
          <w:rFonts w:hint="eastAsia" w:hAnsi="宋体" w:cs="宋体"/>
          <w:highlight w:val="none"/>
        </w:rPr>
      </w:pPr>
      <w:r>
        <w:rPr>
          <w:rFonts w:hint="eastAsia" w:hAnsi="宋体" w:cs="宋体"/>
          <w:highlight w:val="none"/>
        </w:rPr>
        <w:t>2015年，悬挂横幅16条，张贴宣传标语300多张，发放宣传单2000多份，增强全镇人民保护生态的意识。查处林业违法案件12宗，罚款24900元。完成碳汇工程造林480亩，幼林抚育2500亩。完成义务植树3000多株。发放生态公益林效益补偿资金36.28万元，发放率达99.87%。</w:t>
      </w:r>
    </w:p>
    <w:p w14:paraId="1AB055F5">
      <w:pPr>
        <w:pStyle w:val="4"/>
        <w:bidi w:val="0"/>
        <w:rPr>
          <w:rFonts w:hint="eastAsia"/>
          <w:highlight w:val="none"/>
        </w:rPr>
      </w:pPr>
      <w:r>
        <w:rPr>
          <w:rFonts w:hint="eastAsia"/>
          <w:highlight w:val="none"/>
        </w:rPr>
        <w:t>【平安建设】</w:t>
      </w:r>
    </w:p>
    <w:p w14:paraId="5A39C677">
      <w:pPr>
        <w:rPr>
          <w:rFonts w:hint="eastAsia" w:hAnsi="宋体" w:cs="宋体"/>
          <w:highlight w:val="none"/>
        </w:rPr>
      </w:pPr>
      <w:r>
        <w:rPr>
          <w:rFonts w:hint="eastAsia" w:hAnsi="宋体" w:cs="宋体"/>
          <w:highlight w:val="none"/>
        </w:rPr>
        <w:t>2015年，调处矛盾纠纷85宗，成功84宗，调处率100%，调处成功率98%；办理信访案件18宗</w:t>
      </w:r>
      <w:r>
        <w:rPr>
          <w:rFonts w:hint="eastAsia" w:hAnsi="宋体" w:cs="宋体"/>
          <w:highlight w:val="none"/>
          <w:lang w:eastAsia="zh-CN"/>
        </w:rPr>
        <w:t>，</w:t>
      </w:r>
      <w:r>
        <w:rPr>
          <w:rFonts w:hint="eastAsia" w:hAnsi="宋体" w:cs="宋体"/>
          <w:highlight w:val="none"/>
        </w:rPr>
        <w:t>按时办结率100%，把大量矛盾纠纷化解在萌芽状态，解决在基层；湖口派出所破获25宗刑事案件，查处58宗治安案件，较好维护社会稳定。</w:t>
      </w:r>
    </w:p>
    <w:p w14:paraId="01538190">
      <w:pPr>
        <w:pStyle w:val="4"/>
        <w:bidi w:val="0"/>
        <w:rPr>
          <w:rFonts w:hint="eastAsia"/>
          <w:highlight w:val="none"/>
        </w:rPr>
      </w:pPr>
      <w:r>
        <w:rPr>
          <w:rFonts w:hint="eastAsia"/>
          <w:highlight w:val="none"/>
        </w:rPr>
        <w:t>【计划生育】</w:t>
      </w:r>
    </w:p>
    <w:p w14:paraId="7C39190A">
      <w:pPr>
        <w:rPr>
          <w:rFonts w:hint="eastAsia" w:hAnsi="宋体" w:cs="宋体"/>
          <w:highlight w:val="none"/>
        </w:rPr>
      </w:pPr>
      <w:r>
        <w:rPr>
          <w:rFonts w:hint="eastAsia" w:hAnsi="宋体" w:cs="宋体"/>
          <w:highlight w:val="none"/>
        </w:rPr>
        <w:t>2015年，全镇出生484人，其中一孩出生260人，二孩出生215人，多孩出生9人，计划生育政策生育率为91.94%；出生人口性别比为107.73，政策外多孩率为0.83%，人口出生率为13.38‰，自然增长率为8.10‰。</w:t>
      </w:r>
    </w:p>
    <w:p w14:paraId="56699EEC">
      <w:pPr>
        <w:pStyle w:val="4"/>
        <w:bidi w:val="0"/>
        <w:rPr>
          <w:rFonts w:hint="eastAsia"/>
          <w:highlight w:val="none"/>
        </w:rPr>
      </w:pPr>
      <w:r>
        <w:rPr>
          <w:rFonts w:hint="eastAsia"/>
          <w:highlight w:val="none"/>
        </w:rPr>
        <w:t>【扶贫“双到”】</w:t>
      </w:r>
    </w:p>
    <w:p w14:paraId="0E30FF70">
      <w:pPr>
        <w:rPr>
          <w:rFonts w:hint="eastAsia" w:hAnsi="宋体" w:cs="宋体"/>
          <w:highlight w:val="none"/>
        </w:rPr>
      </w:pPr>
      <w:r>
        <w:rPr>
          <w:rFonts w:hint="eastAsia" w:hAnsi="宋体" w:cs="宋体"/>
          <w:highlight w:val="none"/>
        </w:rPr>
        <w:t>全镇新一轮扶贫“双到”工作有三水、新迳、新湖、矿石4个重点帮扶贫困村，2015年投入资金1126.93万元，实施基础设施项目30个，32户住房改造已全部完成，产业层次得到明显提升，贫困人口的自我发展能力明显增强，基础设施条件明显改善，贫困户全面实现脱贫，已顺利通过省级考核验收，新一轮扶贫“双到”工作圆满结束。</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755D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C0780CD">
            <w:pPr>
              <w:ind w:left="0" w:leftChars="0" w:firstLine="0" w:firstLineChars="0"/>
              <w:jc w:val="center"/>
              <w:rPr>
                <w:rFonts w:hAnsi="宋体" w:cs="宋体"/>
                <w:highlight w:val="none"/>
                <w:vertAlign w:val="baseline"/>
              </w:rPr>
            </w:pPr>
            <w:r>
              <w:rPr>
                <w:rFonts w:hAnsi="宋体" w:cs="宋体"/>
                <w:highlight w:val="none"/>
              </w:rPr>
              <w:drawing>
                <wp:inline distT="0" distB="0" distL="114300" distR="114300">
                  <wp:extent cx="3420110" cy="1734185"/>
                  <wp:effectExtent l="0" t="0" r="8890" b="18415"/>
                  <wp:docPr id="124" name="图片 300" descr="湖口镇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00" descr="湖口镇46"/>
                          <pic:cNvPicPr>
                            <a:picLocks noChangeAspect="1"/>
                          </pic:cNvPicPr>
                        </pic:nvPicPr>
                        <pic:blipFill>
                          <a:blip r:embed="rId129"/>
                          <a:stretch>
                            <a:fillRect/>
                          </a:stretch>
                        </pic:blipFill>
                        <pic:spPr>
                          <a:xfrm>
                            <a:off x="0" y="0"/>
                            <a:ext cx="3420110" cy="1734185"/>
                          </a:xfrm>
                          <a:prstGeom prst="rect">
                            <a:avLst/>
                          </a:prstGeom>
                          <a:noFill/>
                          <a:ln>
                            <a:noFill/>
                          </a:ln>
                        </pic:spPr>
                      </pic:pic>
                    </a:graphicData>
                  </a:graphic>
                </wp:inline>
              </w:drawing>
            </w:r>
          </w:p>
        </w:tc>
      </w:tr>
      <w:tr w14:paraId="0AF4D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15AABF00">
            <w:pPr>
              <w:jc w:val="center"/>
              <w:rPr>
                <w:rFonts w:hAnsi="宋体" w:cs="宋体"/>
                <w:highlight w:val="none"/>
                <w:vertAlign w:val="baseline"/>
              </w:rPr>
            </w:pPr>
            <w:r>
              <w:rPr>
                <w:rFonts w:hint="eastAsia" w:hAnsi="宋体" w:cs="宋体"/>
                <w:highlight w:val="none"/>
                <w:vertAlign w:val="baseline"/>
              </w:rPr>
              <w:t>湖口镇文体广场</w:t>
            </w:r>
          </w:p>
        </w:tc>
      </w:tr>
    </w:tbl>
    <w:p w14:paraId="614D0E37">
      <w:pPr>
        <w:pStyle w:val="4"/>
        <w:bidi w:val="0"/>
        <w:rPr>
          <w:rFonts w:hint="eastAsia"/>
          <w:highlight w:val="none"/>
        </w:rPr>
      </w:pPr>
      <w:r>
        <w:rPr>
          <w:rFonts w:hint="eastAsia"/>
          <w:highlight w:val="none"/>
        </w:rPr>
        <w:t>【社会保障】</w:t>
      </w:r>
    </w:p>
    <w:p w14:paraId="1CAE95B5">
      <w:pPr>
        <w:rPr>
          <w:rFonts w:hint="eastAsia" w:hAnsi="宋体" w:cs="宋体"/>
          <w:highlight w:val="none"/>
        </w:rPr>
      </w:pPr>
      <w:r>
        <w:rPr>
          <w:rFonts w:hint="eastAsia" w:hAnsi="宋体" w:cs="宋体"/>
          <w:highlight w:val="none"/>
        </w:rPr>
        <w:t>2015年完成市下达城乡居民养老保险16—59岁新参保及续费人任务数（共8500人），完成8874人，超额374人，完成百分比104.4%，60岁以上参保人员4974人，共14462人。2015年新增转移农村富余劳动力462人，任务数450人，完成任务百分比102.67%；城镇新增就业人员78人，任务数70人，完成任务百分比111.43%；城镇失业人员再就业43人，任务数40人，完成百分比107.5%；就业困难人员实现就业10人，任务数10人，完成百分比100%。城镇失业登记率控制在3%以下。在2015年创建长市、新迳、湖口、里和4个充分就业村，并推荐48人参加2015年农村劳动力技能培训。企业职工社会养老保险扩面征缴超额完成任务33人，任务金额199863.4元（任务为25人，超额8人，完成百分比170%；任务金额90000元，超额完成任务220.07%）。完成城乡医保参保共27966人，外地已参医保269人，城乡医保任务数29550人。全镇享受农村低保362户598人，五保老人83人，其中敬老院15人，享受每人每月600元补助金，散居68人，享受每人每月500元补助金。</w:t>
      </w:r>
    </w:p>
    <w:p w14:paraId="0D5FBCEF">
      <w:pPr>
        <w:pStyle w:val="4"/>
        <w:bidi w:val="0"/>
        <w:rPr>
          <w:rFonts w:hint="eastAsia"/>
          <w:highlight w:val="none"/>
        </w:rPr>
      </w:pPr>
      <w:r>
        <w:rPr>
          <w:rFonts w:hint="eastAsia"/>
          <w:highlight w:val="none"/>
        </w:rPr>
        <w:t>【党建工作】</w:t>
      </w:r>
    </w:p>
    <w:p w14:paraId="3DD04814">
      <w:pPr>
        <w:rPr>
          <w:rFonts w:hint="eastAsia" w:hAnsi="宋体" w:cs="宋体"/>
          <w:highlight w:val="none"/>
        </w:rPr>
      </w:pPr>
      <w:r>
        <w:rPr>
          <w:rFonts w:hint="eastAsia" w:hAnsi="宋体" w:cs="宋体"/>
          <w:highlight w:val="none"/>
        </w:rPr>
        <w:t>着力抓好岗围村、承平村和湖口村发挥党建示范带动作用，巩固原有4个薄弱村整治成果，实现2个软弱涣散村（社区）党组织的转化提升。保障村（居）工作和服务群众经费。镇全年配套补贴4.3万元，实现村、社区“两委”干部及计生专干参保100%。投入资金近50万元，用于村级服务场所的改造升级。开展知识竞赛120人次，推介宣传湖口榜样25人次，开展镇村党课教育925人次，发动党员志愿活动3300人次，举办文艺体育活动3场，有效推动各项事业建设。</w:t>
      </w:r>
    </w:p>
    <w:p w14:paraId="5D7D96D1">
      <w:pPr>
        <w:pStyle w:val="4"/>
        <w:bidi w:val="0"/>
        <w:rPr>
          <w:rFonts w:hint="eastAsia"/>
          <w:highlight w:val="none"/>
        </w:rPr>
      </w:pPr>
      <w:r>
        <w:rPr>
          <w:rFonts w:hint="eastAsia"/>
          <w:highlight w:val="none"/>
        </w:rPr>
        <w:t>【办好刘氏姓氏文化节】</w:t>
      </w:r>
    </w:p>
    <w:p w14:paraId="6976118B">
      <w:pPr>
        <w:rPr>
          <w:rFonts w:hint="eastAsia" w:hAnsi="宋体" w:cs="宋体"/>
          <w:highlight w:val="none"/>
        </w:rPr>
      </w:pPr>
      <w:r>
        <w:rPr>
          <w:rFonts w:hint="eastAsia" w:hAnsi="宋体" w:cs="宋体"/>
          <w:highlight w:val="none"/>
        </w:rPr>
        <w:t>南雄市第二届姓氏文化节暨刘氏祭祖大会筹备工作自9月初展开，湖口镇政府作为协办单位全程参与组织筹划、方案拟制和活动联络。10月24日刘氏宗亲到珠玑巨海公墓祭祖。在珠玑巷文化广场召开刘氏姓氏文化大会。到会刘氏宗亲683人，其中海外5人，珠三角等地473人，广西壮族自治区7人，江西省15人，南雄市183人。大会期间南雄市刘氏宗亲联谊会收到各地刘氏宗亲捐款5.9万元。</w:t>
      </w:r>
    </w:p>
    <w:p w14:paraId="1BC89258">
      <w:pPr>
        <w:pStyle w:val="4"/>
        <w:bidi w:val="0"/>
        <w:rPr>
          <w:rFonts w:hint="eastAsia"/>
          <w:highlight w:val="none"/>
        </w:rPr>
      </w:pPr>
      <w:r>
        <w:rPr>
          <w:rFonts w:hint="eastAsia"/>
          <w:highlight w:val="none"/>
        </w:rPr>
        <w:t>【各村（居）委会基本情况】</w:t>
      </w:r>
    </w:p>
    <w:p w14:paraId="32C52966">
      <w:pPr>
        <w:rPr>
          <w:rFonts w:hint="eastAsia" w:hAnsi="宋体" w:cs="宋体"/>
          <w:highlight w:val="none"/>
        </w:rPr>
      </w:pPr>
      <w:r>
        <w:rPr>
          <w:rFonts w:hint="eastAsia" w:hAnsi="宋体" w:cs="宋体"/>
          <w:highlight w:val="none"/>
        </w:rPr>
        <w:t>见下表。</w:t>
      </w:r>
    </w:p>
    <w:p w14:paraId="27D76EA2">
      <w:pPr>
        <w:jc w:val="center"/>
        <w:rPr>
          <w:rFonts w:hint="eastAsia" w:hAnsi="宋体" w:cs="宋体"/>
          <w:highlight w:val="none"/>
        </w:rPr>
      </w:pPr>
      <w:r>
        <w:rPr>
          <w:rFonts w:hint="eastAsia" w:hAnsi="宋体" w:cs="宋体"/>
          <w:highlight w:val="none"/>
        </w:rPr>
        <w:t>2015年湖口镇各村（居）委会基本情况</w:t>
      </w:r>
    </w:p>
    <w:p w14:paraId="3EE193C3">
      <w:pPr>
        <w:ind w:firstLine="405"/>
        <w:rPr>
          <w:rFonts w:hint="eastAsia" w:hAnsi="宋体" w:cs="宋体"/>
          <w:highlight w:val="none"/>
        </w:rPr>
      </w:pPr>
      <w:r>
        <w:rPr>
          <w:rFonts w:hint="eastAsia" w:hAnsi="宋体" w:cs="宋体"/>
          <w:highlight w:val="none"/>
        </w:rPr>
        <w:t>表34</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5" w:type="dxa"/>
          <w:bottom w:w="0" w:type="dxa"/>
          <w:right w:w="15" w:type="dxa"/>
        </w:tblCellMar>
      </w:tblPr>
      <w:tblGrid>
        <w:gridCol w:w="563"/>
        <w:gridCol w:w="1450"/>
        <w:gridCol w:w="777"/>
        <w:gridCol w:w="807"/>
        <w:gridCol w:w="852"/>
        <w:gridCol w:w="1524"/>
        <w:gridCol w:w="1151"/>
        <w:gridCol w:w="1306"/>
      </w:tblGrid>
      <w:tr w14:paraId="56789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760F83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序号</w:t>
            </w:r>
          </w:p>
        </w:tc>
        <w:tc>
          <w:tcPr>
            <w:tcW w:w="1455" w:type="dxa"/>
            <w:noWrap w:val="0"/>
            <w:vAlign w:val="center"/>
          </w:tcPr>
          <w:p w14:paraId="6DCEA8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村（居）委会</w:t>
            </w:r>
          </w:p>
        </w:tc>
        <w:tc>
          <w:tcPr>
            <w:tcW w:w="780" w:type="dxa"/>
            <w:noWrap w:val="0"/>
            <w:vAlign w:val="center"/>
          </w:tcPr>
          <w:p w14:paraId="4943C9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自然村个数</w:t>
            </w:r>
          </w:p>
        </w:tc>
        <w:tc>
          <w:tcPr>
            <w:tcW w:w="810" w:type="dxa"/>
            <w:noWrap w:val="0"/>
            <w:vAlign w:val="center"/>
          </w:tcPr>
          <w:p w14:paraId="2AAAC6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总户数</w:t>
            </w:r>
          </w:p>
        </w:tc>
        <w:tc>
          <w:tcPr>
            <w:tcW w:w="855" w:type="dxa"/>
            <w:noWrap w:val="0"/>
            <w:vAlign w:val="center"/>
          </w:tcPr>
          <w:p w14:paraId="3DBBDF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总人口</w:t>
            </w:r>
          </w:p>
        </w:tc>
        <w:tc>
          <w:tcPr>
            <w:tcW w:w="1530" w:type="dxa"/>
            <w:noWrap w:val="0"/>
            <w:vAlign w:val="center"/>
          </w:tcPr>
          <w:p w14:paraId="631CC2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集体经济收入（万元）</w:t>
            </w:r>
          </w:p>
        </w:tc>
        <w:tc>
          <w:tcPr>
            <w:tcW w:w="1155" w:type="dxa"/>
            <w:noWrap w:val="0"/>
            <w:vAlign w:val="center"/>
          </w:tcPr>
          <w:p w14:paraId="3D98BD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耕地面积（公顷）</w:t>
            </w:r>
          </w:p>
        </w:tc>
        <w:tc>
          <w:tcPr>
            <w:tcW w:w="1311" w:type="dxa"/>
            <w:noWrap w:val="0"/>
            <w:vAlign w:val="center"/>
          </w:tcPr>
          <w:p w14:paraId="306D30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山地（林地）面积（公顷）</w:t>
            </w:r>
          </w:p>
        </w:tc>
      </w:tr>
      <w:tr w14:paraId="06094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1C9493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1455" w:type="dxa"/>
            <w:noWrap w:val="0"/>
            <w:vAlign w:val="center"/>
          </w:tcPr>
          <w:p w14:paraId="24E7BB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里和村</w:t>
            </w:r>
          </w:p>
        </w:tc>
        <w:tc>
          <w:tcPr>
            <w:tcW w:w="780" w:type="dxa"/>
            <w:noWrap w:val="0"/>
            <w:vAlign w:val="center"/>
          </w:tcPr>
          <w:p w14:paraId="156402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w:t>
            </w:r>
          </w:p>
        </w:tc>
        <w:tc>
          <w:tcPr>
            <w:tcW w:w="810" w:type="dxa"/>
            <w:noWrap w:val="0"/>
            <w:vAlign w:val="center"/>
          </w:tcPr>
          <w:p w14:paraId="4670A0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1083</w:t>
            </w:r>
          </w:p>
        </w:tc>
        <w:tc>
          <w:tcPr>
            <w:tcW w:w="855" w:type="dxa"/>
            <w:noWrap w:val="0"/>
            <w:vAlign w:val="center"/>
          </w:tcPr>
          <w:p w14:paraId="127193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3826</w:t>
            </w:r>
          </w:p>
        </w:tc>
        <w:tc>
          <w:tcPr>
            <w:tcW w:w="1530" w:type="dxa"/>
            <w:noWrap w:val="0"/>
            <w:vAlign w:val="center"/>
          </w:tcPr>
          <w:p w14:paraId="65EADA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5.60</w:t>
            </w:r>
          </w:p>
        </w:tc>
        <w:tc>
          <w:tcPr>
            <w:tcW w:w="1155" w:type="dxa"/>
            <w:noWrap w:val="0"/>
            <w:vAlign w:val="center"/>
          </w:tcPr>
          <w:p w14:paraId="3B6C5E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284</w:t>
            </w:r>
          </w:p>
        </w:tc>
        <w:tc>
          <w:tcPr>
            <w:tcW w:w="1311" w:type="dxa"/>
            <w:noWrap w:val="0"/>
            <w:vAlign w:val="center"/>
          </w:tcPr>
          <w:p w14:paraId="2FFEAC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353</w:t>
            </w:r>
          </w:p>
        </w:tc>
      </w:tr>
      <w:tr w14:paraId="364AF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3810C3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1455" w:type="dxa"/>
            <w:noWrap w:val="0"/>
            <w:vAlign w:val="center"/>
          </w:tcPr>
          <w:p w14:paraId="5D9B05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新湖村</w:t>
            </w:r>
          </w:p>
        </w:tc>
        <w:tc>
          <w:tcPr>
            <w:tcW w:w="780" w:type="dxa"/>
            <w:noWrap w:val="0"/>
            <w:vAlign w:val="center"/>
          </w:tcPr>
          <w:p w14:paraId="7DAA59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810" w:type="dxa"/>
            <w:noWrap w:val="0"/>
            <w:vAlign w:val="center"/>
          </w:tcPr>
          <w:p w14:paraId="174547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939</w:t>
            </w:r>
          </w:p>
        </w:tc>
        <w:tc>
          <w:tcPr>
            <w:tcW w:w="855" w:type="dxa"/>
            <w:noWrap w:val="0"/>
            <w:vAlign w:val="center"/>
          </w:tcPr>
          <w:p w14:paraId="13463B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3230</w:t>
            </w:r>
          </w:p>
        </w:tc>
        <w:tc>
          <w:tcPr>
            <w:tcW w:w="1530" w:type="dxa"/>
            <w:noWrap w:val="0"/>
            <w:vAlign w:val="center"/>
          </w:tcPr>
          <w:p w14:paraId="5B9E7A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4.27</w:t>
            </w:r>
          </w:p>
        </w:tc>
        <w:tc>
          <w:tcPr>
            <w:tcW w:w="1155" w:type="dxa"/>
            <w:noWrap w:val="0"/>
            <w:vAlign w:val="center"/>
          </w:tcPr>
          <w:p w14:paraId="469331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207</w:t>
            </w:r>
          </w:p>
        </w:tc>
        <w:tc>
          <w:tcPr>
            <w:tcW w:w="1311" w:type="dxa"/>
            <w:noWrap w:val="0"/>
            <w:vAlign w:val="center"/>
          </w:tcPr>
          <w:p w14:paraId="7E9AC7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199</w:t>
            </w:r>
          </w:p>
        </w:tc>
      </w:tr>
      <w:tr w14:paraId="4BA91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1B48D7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1455" w:type="dxa"/>
            <w:noWrap w:val="0"/>
            <w:vAlign w:val="center"/>
          </w:tcPr>
          <w:p w14:paraId="69B968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湖口村</w:t>
            </w:r>
          </w:p>
        </w:tc>
        <w:tc>
          <w:tcPr>
            <w:tcW w:w="780" w:type="dxa"/>
            <w:noWrap w:val="0"/>
            <w:vAlign w:val="center"/>
          </w:tcPr>
          <w:p w14:paraId="3B4B6C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w:t>
            </w:r>
          </w:p>
        </w:tc>
        <w:tc>
          <w:tcPr>
            <w:tcW w:w="810" w:type="dxa"/>
            <w:noWrap w:val="0"/>
            <w:vAlign w:val="center"/>
          </w:tcPr>
          <w:p w14:paraId="680E2B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1533</w:t>
            </w:r>
          </w:p>
        </w:tc>
        <w:tc>
          <w:tcPr>
            <w:tcW w:w="855" w:type="dxa"/>
            <w:noWrap w:val="0"/>
            <w:vAlign w:val="center"/>
          </w:tcPr>
          <w:p w14:paraId="6F31CD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5289</w:t>
            </w:r>
          </w:p>
        </w:tc>
        <w:tc>
          <w:tcPr>
            <w:tcW w:w="1530" w:type="dxa"/>
            <w:noWrap w:val="0"/>
            <w:vAlign w:val="center"/>
          </w:tcPr>
          <w:p w14:paraId="0E0B20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9.00</w:t>
            </w:r>
          </w:p>
        </w:tc>
        <w:tc>
          <w:tcPr>
            <w:tcW w:w="1155" w:type="dxa"/>
            <w:noWrap w:val="0"/>
            <w:vAlign w:val="center"/>
          </w:tcPr>
          <w:p w14:paraId="18B0C7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379</w:t>
            </w:r>
          </w:p>
        </w:tc>
        <w:tc>
          <w:tcPr>
            <w:tcW w:w="1311" w:type="dxa"/>
            <w:noWrap w:val="0"/>
            <w:vAlign w:val="center"/>
          </w:tcPr>
          <w:p w14:paraId="11A72D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98</w:t>
            </w:r>
          </w:p>
        </w:tc>
      </w:tr>
      <w:tr w14:paraId="215AC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723D9C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w:t>
            </w:r>
          </w:p>
        </w:tc>
        <w:tc>
          <w:tcPr>
            <w:tcW w:w="1455" w:type="dxa"/>
            <w:noWrap w:val="0"/>
            <w:vAlign w:val="center"/>
          </w:tcPr>
          <w:p w14:paraId="44B365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承平村</w:t>
            </w:r>
          </w:p>
        </w:tc>
        <w:tc>
          <w:tcPr>
            <w:tcW w:w="780" w:type="dxa"/>
            <w:noWrap w:val="0"/>
            <w:vAlign w:val="center"/>
          </w:tcPr>
          <w:p w14:paraId="273441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810" w:type="dxa"/>
            <w:noWrap w:val="0"/>
            <w:vAlign w:val="center"/>
          </w:tcPr>
          <w:p w14:paraId="0B7C3A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1157</w:t>
            </w:r>
          </w:p>
        </w:tc>
        <w:tc>
          <w:tcPr>
            <w:tcW w:w="855" w:type="dxa"/>
            <w:noWrap w:val="0"/>
            <w:vAlign w:val="center"/>
          </w:tcPr>
          <w:p w14:paraId="7B0401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4294</w:t>
            </w:r>
          </w:p>
        </w:tc>
        <w:tc>
          <w:tcPr>
            <w:tcW w:w="1530" w:type="dxa"/>
            <w:noWrap w:val="0"/>
            <w:vAlign w:val="center"/>
          </w:tcPr>
          <w:p w14:paraId="14F9AD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4.10</w:t>
            </w:r>
          </w:p>
        </w:tc>
        <w:tc>
          <w:tcPr>
            <w:tcW w:w="1155" w:type="dxa"/>
            <w:noWrap w:val="0"/>
            <w:vAlign w:val="center"/>
          </w:tcPr>
          <w:p w14:paraId="0D88C3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323</w:t>
            </w:r>
          </w:p>
        </w:tc>
        <w:tc>
          <w:tcPr>
            <w:tcW w:w="1311" w:type="dxa"/>
            <w:noWrap w:val="0"/>
            <w:vAlign w:val="center"/>
          </w:tcPr>
          <w:p w14:paraId="7F6387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152</w:t>
            </w:r>
          </w:p>
        </w:tc>
      </w:tr>
      <w:tr w14:paraId="2C51A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4206F0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1455" w:type="dxa"/>
            <w:noWrap w:val="0"/>
            <w:vAlign w:val="center"/>
          </w:tcPr>
          <w:p w14:paraId="2A009B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三角村</w:t>
            </w:r>
          </w:p>
        </w:tc>
        <w:tc>
          <w:tcPr>
            <w:tcW w:w="780" w:type="dxa"/>
            <w:noWrap w:val="0"/>
            <w:vAlign w:val="center"/>
          </w:tcPr>
          <w:p w14:paraId="753896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810" w:type="dxa"/>
            <w:noWrap w:val="0"/>
            <w:vAlign w:val="center"/>
          </w:tcPr>
          <w:p w14:paraId="33D43B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655</w:t>
            </w:r>
          </w:p>
        </w:tc>
        <w:tc>
          <w:tcPr>
            <w:tcW w:w="855" w:type="dxa"/>
            <w:noWrap w:val="0"/>
            <w:vAlign w:val="center"/>
          </w:tcPr>
          <w:p w14:paraId="0B519B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2126</w:t>
            </w:r>
          </w:p>
        </w:tc>
        <w:tc>
          <w:tcPr>
            <w:tcW w:w="1530" w:type="dxa"/>
            <w:noWrap w:val="0"/>
            <w:vAlign w:val="center"/>
          </w:tcPr>
          <w:p w14:paraId="32406C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2.54</w:t>
            </w:r>
          </w:p>
        </w:tc>
        <w:tc>
          <w:tcPr>
            <w:tcW w:w="1155" w:type="dxa"/>
            <w:noWrap w:val="0"/>
            <w:vAlign w:val="center"/>
          </w:tcPr>
          <w:p w14:paraId="400194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174</w:t>
            </w:r>
          </w:p>
        </w:tc>
        <w:tc>
          <w:tcPr>
            <w:tcW w:w="1311" w:type="dxa"/>
            <w:noWrap w:val="0"/>
            <w:vAlign w:val="center"/>
          </w:tcPr>
          <w:p w14:paraId="482928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62</w:t>
            </w:r>
          </w:p>
        </w:tc>
      </w:tr>
      <w:tr w14:paraId="5DBAA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188DCC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w:t>
            </w:r>
          </w:p>
        </w:tc>
        <w:tc>
          <w:tcPr>
            <w:tcW w:w="1455" w:type="dxa"/>
            <w:noWrap w:val="0"/>
            <w:vAlign w:val="center"/>
          </w:tcPr>
          <w:p w14:paraId="2D6BEB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长市村</w:t>
            </w:r>
          </w:p>
        </w:tc>
        <w:tc>
          <w:tcPr>
            <w:tcW w:w="780" w:type="dxa"/>
            <w:noWrap w:val="0"/>
            <w:vAlign w:val="center"/>
          </w:tcPr>
          <w:p w14:paraId="021F78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810" w:type="dxa"/>
            <w:noWrap w:val="0"/>
            <w:vAlign w:val="center"/>
          </w:tcPr>
          <w:p w14:paraId="6A8202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1192</w:t>
            </w:r>
          </w:p>
        </w:tc>
        <w:tc>
          <w:tcPr>
            <w:tcW w:w="855" w:type="dxa"/>
            <w:noWrap w:val="0"/>
            <w:vAlign w:val="center"/>
          </w:tcPr>
          <w:p w14:paraId="4BDFA9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4042</w:t>
            </w:r>
          </w:p>
        </w:tc>
        <w:tc>
          <w:tcPr>
            <w:tcW w:w="1530" w:type="dxa"/>
            <w:noWrap w:val="0"/>
            <w:vAlign w:val="center"/>
          </w:tcPr>
          <w:p w14:paraId="0FE428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3.50</w:t>
            </w:r>
          </w:p>
        </w:tc>
        <w:tc>
          <w:tcPr>
            <w:tcW w:w="1155" w:type="dxa"/>
            <w:noWrap w:val="0"/>
            <w:vAlign w:val="center"/>
          </w:tcPr>
          <w:p w14:paraId="6A4F62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283</w:t>
            </w:r>
          </w:p>
        </w:tc>
        <w:tc>
          <w:tcPr>
            <w:tcW w:w="1311" w:type="dxa"/>
            <w:noWrap w:val="0"/>
            <w:vAlign w:val="center"/>
          </w:tcPr>
          <w:p w14:paraId="6EDD89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236</w:t>
            </w:r>
          </w:p>
        </w:tc>
      </w:tr>
      <w:tr w14:paraId="0033D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17DD19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1455" w:type="dxa"/>
            <w:noWrap w:val="0"/>
            <w:vAlign w:val="center"/>
          </w:tcPr>
          <w:p w14:paraId="4EFB2D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太和村</w:t>
            </w:r>
          </w:p>
        </w:tc>
        <w:tc>
          <w:tcPr>
            <w:tcW w:w="780" w:type="dxa"/>
            <w:noWrap w:val="0"/>
            <w:vAlign w:val="center"/>
          </w:tcPr>
          <w:p w14:paraId="11D733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810" w:type="dxa"/>
            <w:noWrap w:val="0"/>
            <w:vAlign w:val="center"/>
          </w:tcPr>
          <w:p w14:paraId="0744A9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609</w:t>
            </w:r>
          </w:p>
        </w:tc>
        <w:tc>
          <w:tcPr>
            <w:tcW w:w="855" w:type="dxa"/>
            <w:noWrap w:val="0"/>
            <w:vAlign w:val="center"/>
          </w:tcPr>
          <w:p w14:paraId="7D573C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2162</w:t>
            </w:r>
          </w:p>
        </w:tc>
        <w:tc>
          <w:tcPr>
            <w:tcW w:w="1530" w:type="dxa"/>
            <w:noWrap w:val="0"/>
            <w:vAlign w:val="center"/>
          </w:tcPr>
          <w:p w14:paraId="3F361F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4.32</w:t>
            </w:r>
          </w:p>
        </w:tc>
        <w:tc>
          <w:tcPr>
            <w:tcW w:w="1155" w:type="dxa"/>
            <w:noWrap w:val="0"/>
            <w:vAlign w:val="center"/>
          </w:tcPr>
          <w:p w14:paraId="0E0C6F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192</w:t>
            </w:r>
          </w:p>
        </w:tc>
        <w:tc>
          <w:tcPr>
            <w:tcW w:w="1311" w:type="dxa"/>
            <w:noWrap w:val="0"/>
            <w:vAlign w:val="center"/>
          </w:tcPr>
          <w:p w14:paraId="4EEFB6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w:t>
            </w:r>
          </w:p>
        </w:tc>
      </w:tr>
      <w:tr w14:paraId="2081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1F2375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1455" w:type="dxa"/>
            <w:noWrap w:val="0"/>
            <w:vAlign w:val="center"/>
          </w:tcPr>
          <w:p w14:paraId="0735AB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岗围村</w:t>
            </w:r>
          </w:p>
        </w:tc>
        <w:tc>
          <w:tcPr>
            <w:tcW w:w="780" w:type="dxa"/>
            <w:noWrap w:val="0"/>
            <w:vAlign w:val="center"/>
          </w:tcPr>
          <w:p w14:paraId="5B9823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810" w:type="dxa"/>
            <w:noWrap w:val="0"/>
            <w:vAlign w:val="center"/>
          </w:tcPr>
          <w:p w14:paraId="317CD9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500</w:t>
            </w:r>
          </w:p>
        </w:tc>
        <w:tc>
          <w:tcPr>
            <w:tcW w:w="855" w:type="dxa"/>
            <w:noWrap w:val="0"/>
            <w:vAlign w:val="center"/>
          </w:tcPr>
          <w:p w14:paraId="65A285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1768</w:t>
            </w:r>
          </w:p>
        </w:tc>
        <w:tc>
          <w:tcPr>
            <w:tcW w:w="1530" w:type="dxa"/>
            <w:noWrap w:val="0"/>
            <w:vAlign w:val="center"/>
          </w:tcPr>
          <w:p w14:paraId="2986FF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3.50</w:t>
            </w:r>
          </w:p>
        </w:tc>
        <w:tc>
          <w:tcPr>
            <w:tcW w:w="1155" w:type="dxa"/>
            <w:noWrap w:val="0"/>
            <w:vAlign w:val="center"/>
          </w:tcPr>
          <w:p w14:paraId="5A8837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112</w:t>
            </w:r>
          </w:p>
        </w:tc>
        <w:tc>
          <w:tcPr>
            <w:tcW w:w="1311" w:type="dxa"/>
            <w:noWrap w:val="0"/>
            <w:vAlign w:val="center"/>
          </w:tcPr>
          <w:p w14:paraId="0CC48E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r>
      <w:tr w14:paraId="143C4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0CD124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1455" w:type="dxa"/>
            <w:noWrap w:val="0"/>
            <w:vAlign w:val="center"/>
          </w:tcPr>
          <w:p w14:paraId="20B96A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积塔村</w:t>
            </w:r>
          </w:p>
        </w:tc>
        <w:tc>
          <w:tcPr>
            <w:tcW w:w="780" w:type="dxa"/>
            <w:noWrap w:val="0"/>
            <w:vAlign w:val="center"/>
          </w:tcPr>
          <w:p w14:paraId="53F63B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w:t>
            </w:r>
          </w:p>
        </w:tc>
        <w:tc>
          <w:tcPr>
            <w:tcW w:w="810" w:type="dxa"/>
            <w:noWrap w:val="0"/>
            <w:vAlign w:val="center"/>
          </w:tcPr>
          <w:p w14:paraId="4F4843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432</w:t>
            </w:r>
          </w:p>
        </w:tc>
        <w:tc>
          <w:tcPr>
            <w:tcW w:w="855" w:type="dxa"/>
            <w:noWrap w:val="0"/>
            <w:vAlign w:val="center"/>
          </w:tcPr>
          <w:p w14:paraId="78EAE4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1481</w:t>
            </w:r>
          </w:p>
        </w:tc>
        <w:tc>
          <w:tcPr>
            <w:tcW w:w="1530" w:type="dxa"/>
            <w:noWrap w:val="0"/>
            <w:vAlign w:val="center"/>
          </w:tcPr>
          <w:p w14:paraId="68783E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8.10</w:t>
            </w:r>
          </w:p>
        </w:tc>
        <w:tc>
          <w:tcPr>
            <w:tcW w:w="1155" w:type="dxa"/>
            <w:noWrap w:val="0"/>
            <w:vAlign w:val="center"/>
          </w:tcPr>
          <w:p w14:paraId="15F62D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105</w:t>
            </w:r>
          </w:p>
        </w:tc>
        <w:tc>
          <w:tcPr>
            <w:tcW w:w="1311" w:type="dxa"/>
            <w:noWrap w:val="0"/>
            <w:vAlign w:val="center"/>
          </w:tcPr>
          <w:p w14:paraId="0D73E6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36</w:t>
            </w:r>
          </w:p>
        </w:tc>
      </w:tr>
      <w:tr w14:paraId="2AE81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4B2512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1455" w:type="dxa"/>
            <w:noWrap w:val="0"/>
            <w:vAlign w:val="center"/>
          </w:tcPr>
          <w:p w14:paraId="05F271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新迳村</w:t>
            </w:r>
          </w:p>
        </w:tc>
        <w:tc>
          <w:tcPr>
            <w:tcW w:w="780" w:type="dxa"/>
            <w:noWrap w:val="0"/>
            <w:vAlign w:val="center"/>
          </w:tcPr>
          <w:p w14:paraId="47D717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810" w:type="dxa"/>
            <w:noWrap w:val="0"/>
            <w:vAlign w:val="center"/>
          </w:tcPr>
          <w:p w14:paraId="5B1EB6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664</w:t>
            </w:r>
          </w:p>
        </w:tc>
        <w:tc>
          <w:tcPr>
            <w:tcW w:w="855" w:type="dxa"/>
            <w:noWrap w:val="0"/>
            <w:vAlign w:val="center"/>
          </w:tcPr>
          <w:p w14:paraId="649E71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2286</w:t>
            </w:r>
          </w:p>
        </w:tc>
        <w:tc>
          <w:tcPr>
            <w:tcW w:w="1530" w:type="dxa"/>
            <w:noWrap w:val="0"/>
            <w:vAlign w:val="center"/>
          </w:tcPr>
          <w:p w14:paraId="15DD04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5.56</w:t>
            </w:r>
          </w:p>
        </w:tc>
        <w:tc>
          <w:tcPr>
            <w:tcW w:w="1155" w:type="dxa"/>
            <w:noWrap w:val="0"/>
            <w:vAlign w:val="center"/>
          </w:tcPr>
          <w:p w14:paraId="1CF562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165</w:t>
            </w:r>
          </w:p>
        </w:tc>
        <w:tc>
          <w:tcPr>
            <w:tcW w:w="1311" w:type="dxa"/>
            <w:noWrap w:val="0"/>
            <w:vAlign w:val="center"/>
          </w:tcPr>
          <w:p w14:paraId="053C04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200</w:t>
            </w:r>
          </w:p>
        </w:tc>
      </w:tr>
      <w:tr w14:paraId="3221A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47E423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1455" w:type="dxa"/>
            <w:noWrap w:val="0"/>
            <w:vAlign w:val="center"/>
          </w:tcPr>
          <w:p w14:paraId="786B7D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三水村</w:t>
            </w:r>
          </w:p>
        </w:tc>
        <w:tc>
          <w:tcPr>
            <w:tcW w:w="780" w:type="dxa"/>
            <w:noWrap w:val="0"/>
            <w:vAlign w:val="center"/>
          </w:tcPr>
          <w:p w14:paraId="6107AE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w:t>
            </w:r>
          </w:p>
        </w:tc>
        <w:tc>
          <w:tcPr>
            <w:tcW w:w="810" w:type="dxa"/>
            <w:noWrap w:val="0"/>
            <w:vAlign w:val="center"/>
          </w:tcPr>
          <w:p w14:paraId="4EB951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394</w:t>
            </w:r>
          </w:p>
        </w:tc>
        <w:tc>
          <w:tcPr>
            <w:tcW w:w="855" w:type="dxa"/>
            <w:noWrap w:val="0"/>
            <w:vAlign w:val="center"/>
          </w:tcPr>
          <w:p w14:paraId="11BD7F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1306</w:t>
            </w:r>
          </w:p>
        </w:tc>
        <w:tc>
          <w:tcPr>
            <w:tcW w:w="1530" w:type="dxa"/>
            <w:noWrap w:val="0"/>
            <w:vAlign w:val="center"/>
          </w:tcPr>
          <w:p w14:paraId="5B8D24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3.40</w:t>
            </w:r>
          </w:p>
        </w:tc>
        <w:tc>
          <w:tcPr>
            <w:tcW w:w="1155" w:type="dxa"/>
            <w:noWrap w:val="0"/>
            <w:vAlign w:val="center"/>
          </w:tcPr>
          <w:p w14:paraId="39B66A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101</w:t>
            </w:r>
          </w:p>
        </w:tc>
        <w:tc>
          <w:tcPr>
            <w:tcW w:w="1311" w:type="dxa"/>
            <w:noWrap w:val="0"/>
            <w:vAlign w:val="center"/>
          </w:tcPr>
          <w:p w14:paraId="346341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w:t>
            </w:r>
          </w:p>
        </w:tc>
      </w:tr>
      <w:tr w14:paraId="10358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5417B7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w:t>
            </w:r>
          </w:p>
        </w:tc>
        <w:tc>
          <w:tcPr>
            <w:tcW w:w="1455" w:type="dxa"/>
            <w:noWrap w:val="0"/>
            <w:vAlign w:val="center"/>
          </w:tcPr>
          <w:p w14:paraId="56C9BA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矿石村</w:t>
            </w:r>
          </w:p>
        </w:tc>
        <w:tc>
          <w:tcPr>
            <w:tcW w:w="780" w:type="dxa"/>
            <w:noWrap w:val="0"/>
            <w:vAlign w:val="center"/>
          </w:tcPr>
          <w:p w14:paraId="5AC42D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810" w:type="dxa"/>
            <w:noWrap w:val="0"/>
            <w:vAlign w:val="center"/>
          </w:tcPr>
          <w:p w14:paraId="70965A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371</w:t>
            </w:r>
          </w:p>
        </w:tc>
        <w:tc>
          <w:tcPr>
            <w:tcW w:w="855" w:type="dxa"/>
            <w:noWrap w:val="0"/>
            <w:vAlign w:val="center"/>
          </w:tcPr>
          <w:p w14:paraId="243C9D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1173</w:t>
            </w:r>
          </w:p>
        </w:tc>
        <w:tc>
          <w:tcPr>
            <w:tcW w:w="1530" w:type="dxa"/>
            <w:noWrap w:val="0"/>
            <w:vAlign w:val="center"/>
          </w:tcPr>
          <w:p w14:paraId="143AD6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4.20</w:t>
            </w:r>
          </w:p>
        </w:tc>
        <w:tc>
          <w:tcPr>
            <w:tcW w:w="1155" w:type="dxa"/>
            <w:noWrap w:val="0"/>
            <w:vAlign w:val="center"/>
          </w:tcPr>
          <w:p w14:paraId="7BD271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102</w:t>
            </w:r>
          </w:p>
        </w:tc>
        <w:tc>
          <w:tcPr>
            <w:tcW w:w="1311" w:type="dxa"/>
            <w:noWrap w:val="0"/>
            <w:vAlign w:val="center"/>
          </w:tcPr>
          <w:p w14:paraId="2D25D1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70</w:t>
            </w:r>
          </w:p>
        </w:tc>
      </w:tr>
      <w:tr w14:paraId="1510E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6C16CE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w:t>
            </w:r>
          </w:p>
        </w:tc>
        <w:tc>
          <w:tcPr>
            <w:tcW w:w="1455" w:type="dxa"/>
            <w:noWrap w:val="0"/>
            <w:vAlign w:val="center"/>
          </w:tcPr>
          <w:p w14:paraId="6E300B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居委会</w:t>
            </w:r>
          </w:p>
        </w:tc>
        <w:tc>
          <w:tcPr>
            <w:tcW w:w="780" w:type="dxa"/>
            <w:noWrap w:val="0"/>
            <w:vAlign w:val="center"/>
          </w:tcPr>
          <w:p w14:paraId="12A4B4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810" w:type="dxa"/>
            <w:noWrap w:val="0"/>
            <w:vAlign w:val="center"/>
          </w:tcPr>
          <w:p w14:paraId="666A0F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1643</w:t>
            </w:r>
          </w:p>
        </w:tc>
        <w:tc>
          <w:tcPr>
            <w:tcW w:w="855" w:type="dxa"/>
            <w:noWrap w:val="0"/>
            <w:vAlign w:val="center"/>
          </w:tcPr>
          <w:p w14:paraId="16A6DC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2425</w:t>
            </w:r>
          </w:p>
        </w:tc>
        <w:tc>
          <w:tcPr>
            <w:tcW w:w="1530" w:type="dxa"/>
            <w:noWrap w:val="0"/>
            <w:vAlign w:val="center"/>
          </w:tcPr>
          <w:p w14:paraId="7BF6E2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2.50</w:t>
            </w:r>
          </w:p>
        </w:tc>
        <w:tc>
          <w:tcPr>
            <w:tcW w:w="1155" w:type="dxa"/>
            <w:noWrap w:val="0"/>
            <w:vAlign w:val="center"/>
          </w:tcPr>
          <w:p w14:paraId="2ECE97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311" w:type="dxa"/>
            <w:noWrap w:val="0"/>
            <w:vAlign w:val="center"/>
          </w:tcPr>
          <w:p w14:paraId="10FD13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r w14:paraId="5D9EF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97" w:hRule="atLeast"/>
          <w:jc w:val="center"/>
        </w:trPr>
        <w:tc>
          <w:tcPr>
            <w:tcW w:w="564" w:type="dxa"/>
            <w:noWrap w:val="0"/>
            <w:vAlign w:val="center"/>
          </w:tcPr>
          <w:p w14:paraId="3A67AB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w:t>
            </w:r>
          </w:p>
        </w:tc>
        <w:tc>
          <w:tcPr>
            <w:tcW w:w="1455" w:type="dxa"/>
            <w:noWrap w:val="0"/>
            <w:vAlign w:val="center"/>
          </w:tcPr>
          <w:p w14:paraId="0293F9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合计</w:t>
            </w:r>
          </w:p>
        </w:tc>
        <w:tc>
          <w:tcPr>
            <w:tcW w:w="780" w:type="dxa"/>
            <w:noWrap w:val="0"/>
            <w:vAlign w:val="center"/>
          </w:tcPr>
          <w:p w14:paraId="2ABCBF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130</w:t>
            </w:r>
          </w:p>
        </w:tc>
        <w:tc>
          <w:tcPr>
            <w:tcW w:w="810" w:type="dxa"/>
            <w:noWrap w:val="0"/>
            <w:vAlign w:val="center"/>
          </w:tcPr>
          <w:p w14:paraId="791FB6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11172</w:t>
            </w:r>
          </w:p>
        </w:tc>
        <w:tc>
          <w:tcPr>
            <w:tcW w:w="855" w:type="dxa"/>
            <w:noWrap w:val="0"/>
            <w:vAlign w:val="center"/>
          </w:tcPr>
          <w:p w14:paraId="594DE7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35408</w:t>
            </w:r>
          </w:p>
        </w:tc>
        <w:tc>
          <w:tcPr>
            <w:tcW w:w="1530" w:type="dxa"/>
            <w:noWrap w:val="0"/>
            <w:vAlign w:val="center"/>
          </w:tcPr>
          <w:p w14:paraId="628209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56.8</w:t>
            </w:r>
          </w:p>
        </w:tc>
        <w:tc>
          <w:tcPr>
            <w:tcW w:w="1155" w:type="dxa"/>
            <w:noWrap w:val="0"/>
            <w:vAlign w:val="center"/>
          </w:tcPr>
          <w:p w14:paraId="20CCEE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2427</w:t>
            </w:r>
          </w:p>
        </w:tc>
        <w:tc>
          <w:tcPr>
            <w:tcW w:w="1311" w:type="dxa"/>
            <w:noWrap w:val="0"/>
            <w:vAlign w:val="center"/>
          </w:tcPr>
          <w:p w14:paraId="6E8167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1550</w:t>
            </w:r>
          </w:p>
        </w:tc>
      </w:tr>
    </w:tbl>
    <w:p w14:paraId="4AA91A45">
      <w:pPr>
        <w:keepNext w:val="0"/>
        <w:keepLines w:val="0"/>
        <w:pageBreakBefore w:val="0"/>
        <w:widowControl w:val="0"/>
        <w:kinsoku/>
        <w:wordWrap/>
        <w:overflowPunct/>
        <w:topLinePunct w:val="0"/>
        <w:autoSpaceDE/>
        <w:autoSpaceDN/>
        <w:bidi w:val="0"/>
        <w:adjustRightInd/>
        <w:snapToGrid/>
        <w:ind w:firstLine="0" w:firstLineChars="0"/>
        <w:jc w:val="right"/>
        <w:textAlignment w:val="auto"/>
        <w:rPr>
          <w:rFonts w:hint="eastAsia" w:hAnsi="宋体" w:cs="宋体"/>
          <w:highlight w:val="none"/>
        </w:rPr>
      </w:pPr>
      <w:r>
        <w:rPr>
          <w:rFonts w:hint="eastAsia"/>
          <w:highlight w:val="none"/>
        </w:rPr>
        <w:t>（杨小云）</w:t>
      </w:r>
    </w:p>
    <w:p w14:paraId="47E6C77E">
      <w:pPr>
        <w:rPr>
          <w:rFonts w:hint="eastAsia" w:hAnsi="宋体" w:cs="宋体"/>
          <w:highlight w:val="none"/>
        </w:rPr>
      </w:pPr>
      <w:r>
        <w:rPr>
          <w:rFonts w:hint="eastAsia" w:hAnsi="宋体" w:cs="宋体"/>
          <w:highlight w:val="none"/>
        </w:rPr>
        <w:t>附：湖口镇2015年领导班子成员名单</w:t>
      </w:r>
    </w:p>
    <w:p w14:paraId="48345992">
      <w:pPr>
        <w:rPr>
          <w:rFonts w:hint="eastAsia" w:hAnsi="宋体" w:cs="宋体"/>
          <w:highlight w:val="none"/>
        </w:rPr>
      </w:pPr>
      <w:r>
        <w:rPr>
          <w:rFonts w:hint="eastAsia" w:hAnsi="宋体" w:cs="宋体"/>
          <w:highlight w:val="none"/>
        </w:rPr>
        <w:t>党委书记、人大主席：朱运通</w:t>
      </w:r>
    </w:p>
    <w:p w14:paraId="5F831BD2">
      <w:pPr>
        <w:rPr>
          <w:rFonts w:hint="eastAsia" w:hAnsi="宋体" w:cs="宋体"/>
          <w:highlight w:val="none"/>
        </w:rPr>
      </w:pPr>
      <w:r>
        <w:rPr>
          <w:rFonts w:hint="eastAsia" w:hAnsi="宋体" w:cs="宋体"/>
          <w:highlight w:val="none"/>
        </w:rPr>
        <w:t>党委副书记、镇长：陈华（2月任）</w:t>
      </w:r>
    </w:p>
    <w:p w14:paraId="0AE0BF21">
      <w:pPr>
        <w:rPr>
          <w:rFonts w:hint="eastAsia" w:hAnsi="宋体" w:cs="宋体"/>
          <w:highlight w:val="none"/>
        </w:rPr>
      </w:pPr>
      <w:r>
        <w:rPr>
          <w:rFonts w:hint="eastAsia" w:hAnsi="宋体" w:cs="宋体"/>
          <w:highlight w:val="none"/>
        </w:rPr>
        <w:t>党委副书记：钟小娟</w:t>
      </w:r>
    </w:p>
    <w:p w14:paraId="14D3CCE1">
      <w:pPr>
        <w:rPr>
          <w:rFonts w:hint="eastAsia" w:hAnsi="宋体" w:cs="宋体"/>
          <w:highlight w:val="none"/>
        </w:rPr>
      </w:pPr>
      <w:r>
        <w:rPr>
          <w:rFonts w:hint="eastAsia" w:hAnsi="宋体" w:cs="宋体"/>
          <w:highlight w:val="none"/>
        </w:rPr>
        <w:t>党委纪委书记：邓玉良</w:t>
      </w:r>
    </w:p>
    <w:p w14:paraId="3E4BCA20">
      <w:pPr>
        <w:rPr>
          <w:rFonts w:hint="eastAsia" w:hAnsi="宋体" w:cs="宋体"/>
          <w:highlight w:val="none"/>
        </w:rPr>
      </w:pPr>
      <w:r>
        <w:rPr>
          <w:rFonts w:hint="eastAsia" w:hAnsi="宋体" w:cs="宋体"/>
          <w:highlight w:val="none"/>
        </w:rPr>
        <w:t>党委组织委员：王玉杰</w:t>
      </w:r>
    </w:p>
    <w:p w14:paraId="2A28232C">
      <w:pPr>
        <w:rPr>
          <w:rFonts w:hint="eastAsia" w:hAnsi="宋体" w:cs="宋体"/>
          <w:highlight w:val="none"/>
        </w:rPr>
      </w:pPr>
      <w:r>
        <w:rPr>
          <w:rFonts w:hint="eastAsia" w:hAnsi="宋体" w:cs="宋体"/>
          <w:highlight w:val="none"/>
        </w:rPr>
        <w:t>党委宣传委员：钟伦红</w:t>
      </w:r>
    </w:p>
    <w:p w14:paraId="420FFC4D">
      <w:pPr>
        <w:rPr>
          <w:rFonts w:hint="eastAsia" w:hAnsi="宋体" w:cs="宋体"/>
          <w:highlight w:val="none"/>
        </w:rPr>
      </w:pPr>
      <w:r>
        <w:rPr>
          <w:rFonts w:hint="eastAsia" w:hAnsi="宋体" w:cs="宋体"/>
          <w:highlight w:val="none"/>
        </w:rPr>
        <w:t>党委委员、人大副主席：张涛（任至8月）</w:t>
      </w:r>
    </w:p>
    <w:p w14:paraId="7AB2320A">
      <w:pPr>
        <w:rPr>
          <w:rFonts w:hint="eastAsia" w:hAnsi="宋体" w:cs="宋体"/>
          <w:highlight w:val="none"/>
        </w:rPr>
      </w:pPr>
      <w:r>
        <w:rPr>
          <w:rFonts w:hint="eastAsia" w:hAnsi="宋体" w:cs="宋体"/>
          <w:highlight w:val="none"/>
        </w:rPr>
        <w:t>党委委员、武装部长：刘光佑</w:t>
      </w:r>
    </w:p>
    <w:p w14:paraId="5DA352C0">
      <w:pPr>
        <w:rPr>
          <w:rFonts w:hint="eastAsia" w:hAnsi="宋体" w:cs="宋体"/>
          <w:highlight w:val="none"/>
        </w:rPr>
      </w:pPr>
      <w:r>
        <w:rPr>
          <w:rFonts w:hint="eastAsia" w:hAnsi="宋体" w:cs="宋体"/>
          <w:highlight w:val="none"/>
        </w:rPr>
        <w:t>党委委员、综治办专职副主任：黄永红</w:t>
      </w:r>
    </w:p>
    <w:p w14:paraId="45751F2A">
      <w:pPr>
        <w:rPr>
          <w:rFonts w:hint="eastAsia" w:hAnsi="宋体" w:cs="宋体"/>
          <w:highlight w:val="none"/>
        </w:rPr>
      </w:pPr>
      <w:r>
        <w:rPr>
          <w:rFonts w:hint="eastAsia" w:hAnsi="宋体" w:cs="宋体"/>
          <w:highlight w:val="none"/>
        </w:rPr>
        <w:t>副镇长：钟礼来</w:t>
      </w:r>
      <w:r>
        <w:rPr>
          <w:rFonts w:hint="eastAsia" w:cs="宋体"/>
          <w:highlight w:val="none"/>
          <w:lang w:val="en-US" w:eastAsia="zh-CN"/>
        </w:rPr>
        <w:t xml:space="preserve"> </w:t>
      </w:r>
      <w:r>
        <w:rPr>
          <w:rFonts w:hint="eastAsia" w:hAnsi="宋体" w:cs="宋体"/>
          <w:highlight w:val="none"/>
        </w:rPr>
        <w:t>陈彩红</w:t>
      </w:r>
    </w:p>
    <w:p w14:paraId="716767B1">
      <w:pPr>
        <w:pStyle w:val="3"/>
        <w:bidi w:val="0"/>
        <w:rPr>
          <w:rFonts w:hint="eastAsia"/>
          <w:highlight w:val="none"/>
        </w:rPr>
      </w:pPr>
      <w:r>
        <w:rPr>
          <w:rFonts w:hint="eastAsia"/>
          <w:highlight w:val="none"/>
        </w:rPr>
        <w:t>全安镇</w:t>
      </w:r>
    </w:p>
    <w:p w14:paraId="2AF3365A">
      <w:pPr>
        <w:pStyle w:val="4"/>
        <w:bidi w:val="0"/>
        <w:rPr>
          <w:rFonts w:hint="eastAsia"/>
          <w:highlight w:val="none"/>
        </w:rPr>
      </w:pPr>
      <w:r>
        <w:rPr>
          <w:rFonts w:hint="eastAsia"/>
          <w:highlight w:val="none"/>
        </w:rPr>
        <w:t>【概况】</w:t>
      </w:r>
    </w:p>
    <w:p w14:paraId="442AAC17">
      <w:pPr>
        <w:rPr>
          <w:rFonts w:hint="eastAsia" w:hAnsi="宋体" w:cs="宋体"/>
          <w:highlight w:val="none"/>
        </w:rPr>
      </w:pPr>
      <w:r>
        <w:rPr>
          <w:rFonts w:hint="eastAsia" w:hAnsi="宋体" w:cs="宋体"/>
          <w:highlight w:val="none"/>
        </w:rPr>
        <w:t>全安镇位于南雄市区西北部，距市区7公里，属燕山期花岗岩体及寒武纪震旦纪变质岩体，“南雄红层盆地”的盆壁与盆地的交接处。毗邻雄州、古市、百顺、澜河、帽子峰、珠玑、始兴县马市镇，韶赣高速公路、韶赣铁路、国道G323线和省道S342线路从全安镇政府旁边经过。全镇总面积190.90平方公里，其中耕地面积2109.9公顷，山林面积14208公顷。</w:t>
      </w:r>
    </w:p>
    <w:p w14:paraId="36C9BE6D">
      <w:pPr>
        <w:rPr>
          <w:rFonts w:hint="eastAsia" w:hAnsi="宋体" w:cs="宋体"/>
          <w:highlight w:val="none"/>
        </w:rPr>
      </w:pPr>
      <w:r>
        <w:rPr>
          <w:rFonts w:hint="eastAsia" w:hAnsi="宋体" w:cs="宋体"/>
          <w:highlight w:val="none"/>
        </w:rPr>
        <w:t>属中亚热带季风型气候区。土壤以黄色土和红土为主，土壤质地较好，适合发展农业，全镇农业主要以种植水稻、花生、田七、蔬菜为主，有电力、竹木、石材、矿产等自然资源，全安素有南雄“粮仓”之称。林业以生产毛竹、白果、杉、松等经济林为主。交通通讯等各项基础设施较为完善。旅游景点有苍石寨、杨沥岩、龙华山温泉等。</w:t>
      </w:r>
    </w:p>
    <w:p w14:paraId="2022D0A8">
      <w:pPr>
        <w:rPr>
          <w:rFonts w:hint="eastAsia" w:hAnsi="宋体" w:cs="宋体"/>
          <w:highlight w:val="none"/>
        </w:rPr>
      </w:pPr>
      <w:r>
        <w:rPr>
          <w:rFonts w:hint="eastAsia" w:hAnsi="宋体" w:cs="宋体"/>
          <w:highlight w:val="none"/>
        </w:rPr>
        <w:t>管辖13个村委会和1个居委会，共有193个村民小组，住户7725户，总人口29730人。</w:t>
      </w:r>
    </w:p>
    <w:p w14:paraId="26CFF738">
      <w:pPr>
        <w:rPr>
          <w:rFonts w:hint="eastAsia" w:hAnsi="宋体" w:cs="宋体"/>
          <w:highlight w:val="none"/>
        </w:rPr>
      </w:pPr>
      <w:r>
        <w:rPr>
          <w:rFonts w:hint="eastAsia" w:hAnsi="宋体" w:cs="宋体"/>
          <w:highlight w:val="none"/>
        </w:rPr>
        <w:t>辖区内企业主要有广东华电热电韶关有限公司、乐华陶瓷洁具公司、广东绿州纸模包装制品有限公司、圣莲红景天保健品公司、百顺科技电子有限公司、绿友食品有限公司、苍石竹木制品厂、顺源竹木实业有限公司等。</w:t>
      </w:r>
    </w:p>
    <w:p w14:paraId="313C0B7A">
      <w:pPr>
        <w:pStyle w:val="4"/>
        <w:bidi w:val="0"/>
        <w:rPr>
          <w:rFonts w:hint="eastAsia"/>
          <w:highlight w:val="none"/>
        </w:rPr>
      </w:pPr>
      <w:r>
        <w:rPr>
          <w:rFonts w:hint="eastAsia"/>
          <w:highlight w:val="none"/>
        </w:rPr>
        <w:t>【经济社会发展】</w:t>
      </w:r>
    </w:p>
    <w:p w14:paraId="2809676E">
      <w:pPr>
        <w:rPr>
          <w:rFonts w:hint="eastAsia" w:hAnsi="宋体" w:cs="宋体"/>
          <w:highlight w:val="none"/>
        </w:rPr>
      </w:pPr>
      <w:r>
        <w:rPr>
          <w:rFonts w:hint="eastAsia" w:hAnsi="宋体" w:cs="宋体"/>
          <w:highlight w:val="none"/>
        </w:rPr>
        <w:t>2015年，镇地税收入158.11万元，国税收入881.6万元，税收收入稳中有进。2015年农村经济总收入4.8793亿元，同比增长15%，农民人均纯收入10541元，同比增长16%，人民生活水平逐步提高。完成4.1万亩粮食种植任务，优级稻面积占90%；黄烟种植面积473亩，完成69.35吨合同收购任务，花生8065亩。</w:t>
      </w:r>
    </w:p>
    <w:p w14:paraId="2D1931B1">
      <w:pPr>
        <w:pStyle w:val="4"/>
        <w:bidi w:val="0"/>
        <w:rPr>
          <w:rFonts w:hint="eastAsia"/>
          <w:highlight w:val="none"/>
        </w:rPr>
      </w:pPr>
      <w:r>
        <w:rPr>
          <w:rFonts w:hint="eastAsia"/>
          <w:highlight w:val="none"/>
        </w:rPr>
        <w:t>【重点项目建设】</w:t>
      </w:r>
    </w:p>
    <w:p w14:paraId="06D77C2A">
      <w:pPr>
        <w:rPr>
          <w:rFonts w:hint="eastAsia" w:hAnsi="宋体" w:cs="宋体"/>
          <w:highlight w:val="none"/>
        </w:rPr>
      </w:pPr>
      <w:r>
        <w:rPr>
          <w:rFonts w:hint="eastAsia" w:hAnsi="宋体" w:cs="宋体"/>
          <w:highlight w:val="none"/>
        </w:rPr>
        <w:t>2015年完成762.57亩征地拆迁任务，房屋拆迁56套，12月8日华电项目顺利开工；完成二期工业园扩园污水处理厂外排管租地工作，涉及农户约60户，租地面积为58.1亩，交付租地资金25万元。完成国防教育基地射击场21.9亩征地工作。南雄市卫生填埋场位于苍石和章禾洞2个村委会，占地面积约300亩，垃圾填埋场整村搬迁工作。</w:t>
      </w:r>
    </w:p>
    <w:p w14:paraId="54743D13">
      <w:pPr>
        <w:pStyle w:val="4"/>
        <w:bidi w:val="0"/>
        <w:rPr>
          <w:rFonts w:hint="eastAsia"/>
          <w:highlight w:val="none"/>
        </w:rPr>
      </w:pPr>
      <w:r>
        <w:rPr>
          <w:rFonts w:hint="eastAsia"/>
          <w:highlight w:val="none"/>
        </w:rPr>
        <w:t>【亮点工作】</w:t>
      </w:r>
    </w:p>
    <w:p w14:paraId="5FC02C61">
      <w:pPr>
        <w:rPr>
          <w:rFonts w:hint="eastAsia" w:hAnsi="宋体" w:cs="宋体"/>
          <w:highlight w:val="none"/>
        </w:rPr>
      </w:pPr>
      <w:r>
        <w:rPr>
          <w:rFonts w:hint="eastAsia" w:hAnsi="宋体" w:cs="宋体"/>
          <w:highlight w:val="none"/>
        </w:rPr>
        <w:t>2015年“十个一”亮点工作。协助姓氏文化节。提供4万元资金和成立专门的姓氏文化节小组，协助沈氏办好姓氏文化节，镇协办沈氏文化节获得全市第二名。打造便民农村路灯，2015年投入110多万元对王亭石村道及省道S342线乐华陶瓷至密下水村路段、国道G323线至陂头村路段（共12.3公里）安装370多盏LED路灯。打造密下水、大坪标兵党组织。通过对密下水村、大坪村支部软件和硬件设施改造升级，使党支部硬件上档次，软件上水平，班子团结，战斗力强，成为镇标兵党支部。建设密下水村文体广场。丰富群众的业余文化生活，利用原密下水小学场地，投资90多万元，建设面积为2600平方米的密下水文体广场。种植生态示范林。提高绿化面积，全安村种植抚育好一片1700亩阔叶林，成活率达到98%。创建大坪文明法治新村。2015年以大坪村为文明法治新村示范点，举办法制讲座3次，通过开展法制宣传，制定村规民约，组建村级治安巡防队，强化群众法律意识和安全意识。创建古塘、密下水高产示范片。古塘村五岭洞、密下水村分别建立223.9亩和137.9亩的农业高产示范点核心区。建设王亭石村居家养老服务中心。2015年，投资100多万元建设王亭石村居家养老服务中心，配备医疗室、娱乐室、图书室等，丰富老年人生活，推动老人文化事业快速发展。找到一条致富新路。以联生药业公司为主导，引导山区群众种植石斛致富。2015年通过宣传发动、种植培训和技术指导带动苍石片40多户农民参与中草药种植这条致富路上。建设一个休闲农家乐。全安农家乐通过近半年多的准备，于2015年7月开工营业，平均每个月营业额都超过6万元，银杏染秋节日期间营业额更是可观。通过示范带动，全安镇S342线沿线有近10家农家乐餐馆。</w:t>
      </w:r>
    </w:p>
    <w:p w14:paraId="2C259A72">
      <w:pPr>
        <w:pStyle w:val="4"/>
        <w:bidi w:val="0"/>
        <w:rPr>
          <w:rFonts w:hint="eastAsia"/>
          <w:highlight w:val="none"/>
        </w:rPr>
      </w:pPr>
      <w:r>
        <w:rPr>
          <w:rFonts w:hint="eastAsia"/>
          <w:highlight w:val="none"/>
        </w:rPr>
        <w:t>【社会事业发展】</w:t>
      </w:r>
    </w:p>
    <w:p w14:paraId="7D220530">
      <w:pPr>
        <w:rPr>
          <w:rFonts w:hint="eastAsia" w:hAnsi="宋体" w:cs="宋体"/>
          <w:highlight w:val="none"/>
        </w:rPr>
      </w:pPr>
      <w:r>
        <w:rPr>
          <w:rFonts w:hint="eastAsia" w:hAnsi="宋体" w:cs="宋体"/>
          <w:highlight w:val="none"/>
        </w:rPr>
        <w:t>2015年，新农保续费人数达到5722人，完成任务数的102.18%；城乡医保参保23401人次，完成任务数的100%；全面完成社保扩面20个指标任务。完成殡葬火化任务101.6%。2015年受理信访事项84宗，其中上级交办事项22宗，网上咨询投诉事项26宗，部门接来访来信事项36宗。现已调处、答复77宗。</w:t>
      </w:r>
    </w:p>
    <w:p w14:paraId="5C789A2C">
      <w:pPr>
        <w:pStyle w:val="4"/>
        <w:bidi w:val="0"/>
        <w:rPr>
          <w:rFonts w:hint="eastAsia"/>
          <w:highlight w:val="none"/>
        </w:rPr>
      </w:pPr>
      <w:r>
        <w:rPr>
          <w:rFonts w:hint="eastAsia"/>
          <w:highlight w:val="none"/>
        </w:rPr>
        <w:t>【扶贫“双到”】</w:t>
      </w:r>
    </w:p>
    <w:p w14:paraId="27998771">
      <w:pPr>
        <w:rPr>
          <w:rFonts w:hint="eastAsia" w:hAnsi="宋体" w:cs="宋体"/>
          <w:highlight w:val="none"/>
        </w:rPr>
      </w:pPr>
      <w:r>
        <w:rPr>
          <w:rFonts w:hint="eastAsia" w:hAnsi="宋体" w:cs="宋体"/>
          <w:highlight w:val="none"/>
        </w:rPr>
        <w:t>列入新一轮扶贫开发“双到”工作重点帮扶村有荔迳村和王亭石村。截至2015年，两村累计扶贫资金达1452万元，其中荔迳村1067万元；王亭石村384万元。累计自筹资金73万元、财政资金290万元、行业资金1071万元、社会资金37万元。两村生产生活基础设施得到大大改善，完成6.2公里村道硬底化，208盏路灯安装，2个大型文化广场等，改善村容村貌，方便群众生活。</w:t>
      </w:r>
    </w:p>
    <w:p w14:paraId="7B5FCB1D">
      <w:pPr>
        <w:pStyle w:val="4"/>
        <w:bidi w:val="0"/>
        <w:rPr>
          <w:rFonts w:hint="eastAsia"/>
          <w:highlight w:val="none"/>
        </w:rPr>
      </w:pPr>
      <w:r>
        <w:rPr>
          <w:rFonts w:hint="eastAsia"/>
          <w:highlight w:val="none"/>
        </w:rPr>
        <w:t>【党建工作】</w:t>
      </w:r>
    </w:p>
    <w:p w14:paraId="68E7D4CB">
      <w:pPr>
        <w:rPr>
          <w:rFonts w:hint="eastAsia" w:hAnsi="宋体" w:cs="宋体"/>
          <w:highlight w:val="none"/>
        </w:rPr>
      </w:pPr>
      <w:r>
        <w:rPr>
          <w:rFonts w:hint="eastAsia" w:hAnsi="宋体" w:cs="宋体"/>
          <w:highlight w:val="none"/>
        </w:rPr>
        <w:t>开展“三严三实”教育活动，以党务、政务、村务公开为重点，深入开展党风廉政教育，落实民主生活会制度</w:t>
      </w:r>
      <w:r>
        <w:rPr>
          <w:rFonts w:hint="eastAsia" w:hAnsi="宋体" w:cs="宋体"/>
          <w:highlight w:val="none"/>
          <w:lang w:eastAsia="zh-CN"/>
        </w:rPr>
        <w:t>，</w:t>
      </w:r>
      <w:r>
        <w:rPr>
          <w:rFonts w:hint="eastAsia" w:hAnsi="宋体" w:cs="宋体"/>
          <w:highlight w:val="none"/>
        </w:rPr>
        <w:t>进一步加强党员干部党性、党风、党纪教育，组织全镇党员干部走廉政大道，接受廉政教育；完成河塘和羊角2个软弱涣散党组织整顿工作。</w:t>
      </w:r>
    </w:p>
    <w:p w14:paraId="66AD46F5">
      <w:pPr>
        <w:pStyle w:val="4"/>
        <w:bidi w:val="0"/>
        <w:rPr>
          <w:rFonts w:hint="eastAsia"/>
          <w:highlight w:val="none"/>
        </w:rPr>
      </w:pPr>
      <w:r>
        <w:rPr>
          <w:rFonts w:hint="eastAsia"/>
          <w:highlight w:val="none"/>
        </w:rPr>
        <w:t>【基础设施建设】</w:t>
      </w:r>
    </w:p>
    <w:p w14:paraId="60542FF8">
      <w:pPr>
        <w:rPr>
          <w:rFonts w:hint="eastAsia" w:hAnsi="宋体" w:cs="宋体"/>
          <w:highlight w:val="none"/>
        </w:rPr>
      </w:pPr>
      <w:r>
        <w:rPr>
          <w:rFonts w:hint="eastAsia" w:hAnsi="宋体" w:cs="宋体"/>
          <w:highlight w:val="none"/>
        </w:rPr>
        <w:t>2015年，争取乡村道路建设配套资金，全镇硬化村内道路10多公里。完成高标准农田建设项目，涉及6个村委会，总面积8000亩，总投资近1200万元。完成总长30多公里，投资金额1100万元田间工程建设。投入70多万元维护凌江水圳和冬修水利工作。完成3个村委会的中小河流治理“两清”工作。2015年投入近200万元在王亭石、河塘、全安、密下水、陂头、荔迳、大坪、兰溪、杨沥等9个村安装路灯630盏，全镇基本实现行政村路灯全覆盖。在密下水村、大坪村和杨沥村建设文体广场，丰富农民群众精神文化和业余生活，提高农民群众的生活质量。2015年，争取上级资金800多万元对羊角、全安和古塘等村委会进行饮用水工程建设，解决近1万多人生活用水问题。</w:t>
      </w:r>
    </w:p>
    <w:p w14:paraId="71F66B1D">
      <w:pPr>
        <w:pStyle w:val="4"/>
        <w:bidi w:val="0"/>
        <w:rPr>
          <w:rFonts w:hint="eastAsia"/>
          <w:highlight w:val="none"/>
        </w:rPr>
      </w:pPr>
      <w:r>
        <w:rPr>
          <w:rFonts w:hint="eastAsia"/>
          <w:highlight w:val="none"/>
        </w:rPr>
        <w:t>【计生工作】</w:t>
      </w:r>
    </w:p>
    <w:p w14:paraId="4A496B50">
      <w:pPr>
        <w:rPr>
          <w:rFonts w:hint="eastAsia" w:hAnsi="宋体" w:cs="宋体"/>
          <w:highlight w:val="none"/>
        </w:rPr>
      </w:pPr>
      <w:r>
        <w:rPr>
          <w:rFonts w:hint="eastAsia" w:hAnsi="宋体" w:cs="宋体"/>
          <w:highlight w:val="none"/>
        </w:rPr>
        <w:t>2015年，全镇出生407人，政策生育率为91.40%，出生人口性别比为106.6 ∶100，出生率为13.73‰，自然增长率8.26‰。</w:t>
      </w:r>
    </w:p>
    <w:p w14:paraId="2ACBDA1A">
      <w:pPr>
        <w:pStyle w:val="4"/>
        <w:bidi w:val="0"/>
        <w:rPr>
          <w:rFonts w:hint="eastAsia"/>
          <w:highlight w:val="none"/>
        </w:rPr>
      </w:pPr>
      <w:r>
        <w:rPr>
          <w:rFonts w:hint="eastAsia"/>
          <w:highlight w:val="none"/>
        </w:rPr>
        <w:t>【农村环境卫生整治】</w:t>
      </w:r>
    </w:p>
    <w:p w14:paraId="49FA510E">
      <w:pPr>
        <w:rPr>
          <w:rFonts w:hint="eastAsia" w:hAnsi="宋体" w:cs="宋体"/>
          <w:highlight w:val="none"/>
        </w:rPr>
      </w:pPr>
      <w:r>
        <w:rPr>
          <w:rFonts w:hint="eastAsia" w:hAnsi="宋体" w:cs="宋体"/>
          <w:highlight w:val="none"/>
        </w:rPr>
        <w:t>2015年，投入近50万元，用于农村生活垃圾处理，增置垃圾中转车1台、垃圾中转拖拉机3台、垃圾桶380个。各村成立保洁队伍，聘请保洁员，农村生活垃圾做到每日清理。每周二、五驻村干部和村干部对各村责任路段进行卫生清洁。</w:t>
      </w:r>
    </w:p>
    <w:p w14:paraId="5057C1FF">
      <w:pPr>
        <w:pStyle w:val="4"/>
        <w:bidi w:val="0"/>
        <w:rPr>
          <w:rFonts w:hint="eastAsia"/>
          <w:highlight w:val="none"/>
        </w:rPr>
      </w:pPr>
      <w:r>
        <w:rPr>
          <w:rFonts w:hint="eastAsia"/>
          <w:highlight w:val="none"/>
        </w:rPr>
        <w:t>【安全生产】</w:t>
      </w:r>
    </w:p>
    <w:p w14:paraId="44795A44">
      <w:pPr>
        <w:rPr>
          <w:rFonts w:hint="eastAsia" w:hAnsi="宋体" w:cs="宋体"/>
          <w:highlight w:val="none"/>
        </w:rPr>
      </w:pPr>
      <w:r>
        <w:rPr>
          <w:rFonts w:hint="eastAsia" w:hAnsi="宋体" w:cs="宋体"/>
          <w:highlight w:val="none"/>
        </w:rPr>
        <w:t>2015年，以组织镇相关职能部门开展联合检查、镇安监站会同南雄市安监局工作人员联合执法检查等多种检查方式，共检查镇辖区相关领域生产经营单位110家（次），出动检查人员50多人（次），检查中发现安全隐患51（宗）处，其中：现场整改40（宗）、限期整改11（宗）。</w:t>
      </w:r>
    </w:p>
    <w:p w14:paraId="74D88091">
      <w:pPr>
        <w:pStyle w:val="4"/>
        <w:bidi w:val="0"/>
        <w:rPr>
          <w:rFonts w:hint="eastAsia"/>
          <w:highlight w:val="none"/>
        </w:rPr>
      </w:pPr>
      <w:r>
        <w:rPr>
          <w:rFonts w:hint="eastAsia"/>
          <w:highlight w:val="none"/>
        </w:rPr>
        <w:t>【各村委会（社区）基本情况】</w:t>
      </w:r>
    </w:p>
    <w:p w14:paraId="247C5B9F">
      <w:pPr>
        <w:ind w:firstLine="405"/>
        <w:rPr>
          <w:rFonts w:hint="eastAsia" w:hAnsi="宋体" w:cs="宋体"/>
          <w:highlight w:val="none"/>
        </w:rPr>
      </w:pPr>
      <w:r>
        <w:rPr>
          <w:rFonts w:hint="eastAsia" w:hAnsi="宋体" w:cs="宋体"/>
          <w:highlight w:val="none"/>
        </w:rPr>
        <w:t>见下表。</w:t>
      </w:r>
    </w:p>
    <w:p w14:paraId="56182AF3">
      <w:pPr>
        <w:jc w:val="center"/>
        <w:rPr>
          <w:rFonts w:hint="eastAsia" w:hAnsi="宋体" w:cs="宋体"/>
          <w:highlight w:val="none"/>
        </w:rPr>
      </w:pPr>
      <w:r>
        <w:rPr>
          <w:rFonts w:hint="eastAsia" w:hAnsi="宋体" w:cs="宋体"/>
          <w:highlight w:val="none"/>
        </w:rPr>
        <w:t>2015年全安镇各村委会（社区）基本情况</w:t>
      </w:r>
    </w:p>
    <w:p w14:paraId="0D58EF0B">
      <w:pPr>
        <w:ind w:firstLine="405"/>
        <w:rPr>
          <w:rFonts w:hint="eastAsia" w:hAnsi="宋体" w:eastAsia="宋体" w:cs="宋体"/>
          <w:highlight w:val="none"/>
          <w:lang w:eastAsia="zh-CN"/>
        </w:rPr>
      </w:pPr>
      <w:r>
        <w:rPr>
          <w:rFonts w:hint="eastAsia" w:hAnsi="宋体" w:cs="宋体"/>
          <w:highlight w:val="none"/>
        </w:rPr>
        <w:t>表35</w:t>
      </w:r>
    </w:p>
    <w:tbl>
      <w:tblPr>
        <w:tblStyle w:val="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604"/>
        <w:gridCol w:w="600"/>
        <w:gridCol w:w="694"/>
        <w:gridCol w:w="695"/>
        <w:gridCol w:w="936"/>
        <w:gridCol w:w="828"/>
        <w:gridCol w:w="903"/>
        <w:gridCol w:w="841"/>
        <w:gridCol w:w="830"/>
        <w:gridCol w:w="947"/>
      </w:tblGrid>
      <w:tr w14:paraId="17F96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8" w:hRule="atLeast"/>
        </w:trPr>
        <w:tc>
          <w:tcPr>
            <w:tcW w:w="910" w:type="dxa"/>
            <w:noWrap w:val="0"/>
            <w:vAlign w:val="center"/>
          </w:tcPr>
          <w:p w14:paraId="515D79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村名</w:t>
            </w:r>
          </w:p>
        </w:tc>
        <w:tc>
          <w:tcPr>
            <w:tcW w:w="729" w:type="dxa"/>
            <w:noWrap w:val="0"/>
            <w:vAlign w:val="center"/>
          </w:tcPr>
          <w:p w14:paraId="6D5142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村小组（个）</w:t>
            </w:r>
          </w:p>
        </w:tc>
        <w:tc>
          <w:tcPr>
            <w:tcW w:w="723" w:type="dxa"/>
            <w:noWrap w:val="0"/>
            <w:vAlign w:val="center"/>
          </w:tcPr>
          <w:p w14:paraId="46E486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户数（户）</w:t>
            </w:r>
          </w:p>
        </w:tc>
        <w:tc>
          <w:tcPr>
            <w:tcW w:w="849" w:type="dxa"/>
            <w:noWrap w:val="0"/>
            <w:vAlign w:val="center"/>
          </w:tcPr>
          <w:p w14:paraId="1A038D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总人口 （人）</w:t>
            </w:r>
          </w:p>
        </w:tc>
        <w:tc>
          <w:tcPr>
            <w:tcW w:w="851" w:type="dxa"/>
            <w:noWrap w:val="0"/>
            <w:vAlign w:val="center"/>
          </w:tcPr>
          <w:p w14:paraId="08FFF5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劳动力人口（人）</w:t>
            </w:r>
          </w:p>
        </w:tc>
        <w:tc>
          <w:tcPr>
            <w:tcW w:w="1174" w:type="dxa"/>
            <w:noWrap w:val="0"/>
            <w:vAlign w:val="center"/>
          </w:tcPr>
          <w:p w14:paraId="4BA836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集体所有农用地总面积（万亩）</w:t>
            </w:r>
          </w:p>
        </w:tc>
        <w:tc>
          <w:tcPr>
            <w:tcW w:w="1029" w:type="dxa"/>
            <w:noWrap w:val="0"/>
            <w:vAlign w:val="center"/>
          </w:tcPr>
          <w:p w14:paraId="5E49B0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耕地面积（万亩）</w:t>
            </w:r>
          </w:p>
        </w:tc>
        <w:tc>
          <w:tcPr>
            <w:tcW w:w="1129" w:type="dxa"/>
            <w:noWrap w:val="0"/>
            <w:vAlign w:val="center"/>
          </w:tcPr>
          <w:p w14:paraId="17ED5F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山林面积（万亩）</w:t>
            </w:r>
          </w:p>
        </w:tc>
        <w:tc>
          <w:tcPr>
            <w:tcW w:w="1046" w:type="dxa"/>
            <w:noWrap w:val="0"/>
            <w:vAlign w:val="center"/>
          </w:tcPr>
          <w:p w14:paraId="5C5A2F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农村经济总收入（万元）</w:t>
            </w:r>
          </w:p>
        </w:tc>
        <w:tc>
          <w:tcPr>
            <w:tcW w:w="1032" w:type="dxa"/>
            <w:noWrap w:val="0"/>
            <w:vAlign w:val="center"/>
          </w:tcPr>
          <w:p w14:paraId="2C8FA5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农民人均纯收入（元）</w:t>
            </w:r>
          </w:p>
        </w:tc>
        <w:tc>
          <w:tcPr>
            <w:tcW w:w="1188" w:type="dxa"/>
            <w:noWrap w:val="0"/>
            <w:vAlign w:val="center"/>
          </w:tcPr>
          <w:p w14:paraId="485C67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主要经济作物</w:t>
            </w:r>
          </w:p>
        </w:tc>
      </w:tr>
      <w:tr w14:paraId="727FE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3BBC73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社区</w:t>
            </w:r>
          </w:p>
        </w:tc>
        <w:tc>
          <w:tcPr>
            <w:tcW w:w="729" w:type="dxa"/>
            <w:noWrap w:val="0"/>
            <w:vAlign w:val="center"/>
          </w:tcPr>
          <w:p w14:paraId="1366A1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723" w:type="dxa"/>
            <w:noWrap w:val="0"/>
            <w:vAlign w:val="center"/>
          </w:tcPr>
          <w:p w14:paraId="112DB3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1536</w:t>
            </w:r>
          </w:p>
        </w:tc>
        <w:tc>
          <w:tcPr>
            <w:tcW w:w="849" w:type="dxa"/>
            <w:noWrap w:val="0"/>
            <w:vAlign w:val="center"/>
          </w:tcPr>
          <w:p w14:paraId="0FBC6B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1695</w:t>
            </w:r>
          </w:p>
        </w:tc>
        <w:tc>
          <w:tcPr>
            <w:tcW w:w="851" w:type="dxa"/>
            <w:noWrap w:val="0"/>
            <w:vAlign w:val="center"/>
          </w:tcPr>
          <w:p w14:paraId="3DF0BD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1422</w:t>
            </w:r>
          </w:p>
        </w:tc>
        <w:tc>
          <w:tcPr>
            <w:tcW w:w="1174" w:type="dxa"/>
            <w:noWrap w:val="0"/>
            <w:vAlign w:val="center"/>
          </w:tcPr>
          <w:p w14:paraId="5997B5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1029" w:type="dxa"/>
            <w:noWrap w:val="0"/>
            <w:vAlign w:val="center"/>
          </w:tcPr>
          <w:p w14:paraId="5AE503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1129" w:type="dxa"/>
            <w:noWrap w:val="0"/>
            <w:vAlign w:val="center"/>
          </w:tcPr>
          <w:p w14:paraId="4BBCA3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1046" w:type="dxa"/>
            <w:noWrap w:val="0"/>
            <w:vAlign w:val="center"/>
          </w:tcPr>
          <w:p w14:paraId="71B80C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1032" w:type="dxa"/>
            <w:noWrap w:val="0"/>
            <w:vAlign w:val="center"/>
          </w:tcPr>
          <w:p w14:paraId="043203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p>
        </w:tc>
        <w:tc>
          <w:tcPr>
            <w:tcW w:w="1188" w:type="dxa"/>
            <w:noWrap w:val="0"/>
            <w:vAlign w:val="center"/>
          </w:tcPr>
          <w:p w14:paraId="62E59D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r>
      <w:tr w14:paraId="589A5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131987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陂头</w:t>
            </w:r>
          </w:p>
        </w:tc>
        <w:tc>
          <w:tcPr>
            <w:tcW w:w="729" w:type="dxa"/>
            <w:noWrap w:val="0"/>
            <w:vAlign w:val="center"/>
          </w:tcPr>
          <w:p w14:paraId="5E83B8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21</w:t>
            </w:r>
          </w:p>
        </w:tc>
        <w:tc>
          <w:tcPr>
            <w:tcW w:w="723" w:type="dxa"/>
            <w:noWrap w:val="0"/>
            <w:vAlign w:val="center"/>
          </w:tcPr>
          <w:p w14:paraId="536CA0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961</w:t>
            </w:r>
          </w:p>
        </w:tc>
        <w:tc>
          <w:tcPr>
            <w:tcW w:w="849" w:type="dxa"/>
            <w:noWrap w:val="0"/>
            <w:vAlign w:val="center"/>
          </w:tcPr>
          <w:p w14:paraId="223D1D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3427</w:t>
            </w:r>
          </w:p>
        </w:tc>
        <w:tc>
          <w:tcPr>
            <w:tcW w:w="851" w:type="dxa"/>
            <w:noWrap w:val="0"/>
            <w:vAlign w:val="center"/>
          </w:tcPr>
          <w:p w14:paraId="06DB6A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2144</w:t>
            </w:r>
          </w:p>
        </w:tc>
        <w:tc>
          <w:tcPr>
            <w:tcW w:w="1174" w:type="dxa"/>
            <w:noWrap w:val="0"/>
            <w:vAlign w:val="center"/>
          </w:tcPr>
          <w:p w14:paraId="5355D3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3.7366</w:t>
            </w:r>
          </w:p>
        </w:tc>
        <w:tc>
          <w:tcPr>
            <w:tcW w:w="1029" w:type="dxa"/>
            <w:noWrap w:val="0"/>
            <w:vAlign w:val="center"/>
          </w:tcPr>
          <w:p w14:paraId="087772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0.2588</w:t>
            </w:r>
          </w:p>
        </w:tc>
        <w:tc>
          <w:tcPr>
            <w:tcW w:w="1129" w:type="dxa"/>
            <w:noWrap w:val="0"/>
            <w:vAlign w:val="center"/>
          </w:tcPr>
          <w:p w14:paraId="541997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3</w:t>
            </w:r>
            <w:r>
              <w:rPr>
                <w:rFonts w:hint="eastAsia"/>
                <w:highlight w:val="none"/>
              </w:rPr>
              <w:t>.</w:t>
            </w:r>
            <w:r>
              <w:rPr>
                <w:highlight w:val="none"/>
              </w:rPr>
              <w:t>35</w:t>
            </w:r>
          </w:p>
        </w:tc>
        <w:tc>
          <w:tcPr>
            <w:tcW w:w="1046" w:type="dxa"/>
            <w:noWrap w:val="0"/>
            <w:vAlign w:val="center"/>
          </w:tcPr>
          <w:p w14:paraId="1E97FF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6288</w:t>
            </w:r>
          </w:p>
        </w:tc>
        <w:tc>
          <w:tcPr>
            <w:tcW w:w="1032" w:type="dxa"/>
            <w:noWrap w:val="0"/>
            <w:vAlign w:val="center"/>
          </w:tcPr>
          <w:p w14:paraId="48E7F6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10289</w:t>
            </w:r>
          </w:p>
        </w:tc>
        <w:tc>
          <w:tcPr>
            <w:tcW w:w="1188" w:type="dxa"/>
            <w:noWrap w:val="0"/>
            <w:vAlign w:val="center"/>
          </w:tcPr>
          <w:p w14:paraId="68CBB9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黄烟、花生</w:t>
            </w:r>
          </w:p>
        </w:tc>
      </w:tr>
      <w:tr w14:paraId="040FC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424CAA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羊角</w:t>
            </w:r>
          </w:p>
        </w:tc>
        <w:tc>
          <w:tcPr>
            <w:tcW w:w="729" w:type="dxa"/>
            <w:noWrap w:val="0"/>
            <w:vAlign w:val="center"/>
          </w:tcPr>
          <w:p w14:paraId="5B327D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21</w:t>
            </w:r>
          </w:p>
        </w:tc>
        <w:tc>
          <w:tcPr>
            <w:tcW w:w="723" w:type="dxa"/>
            <w:noWrap w:val="0"/>
            <w:vAlign w:val="center"/>
          </w:tcPr>
          <w:p w14:paraId="520E4B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968</w:t>
            </w:r>
          </w:p>
        </w:tc>
        <w:tc>
          <w:tcPr>
            <w:tcW w:w="849" w:type="dxa"/>
            <w:noWrap w:val="0"/>
            <w:vAlign w:val="center"/>
          </w:tcPr>
          <w:p w14:paraId="466319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3441</w:t>
            </w:r>
          </w:p>
        </w:tc>
        <w:tc>
          <w:tcPr>
            <w:tcW w:w="851" w:type="dxa"/>
            <w:noWrap w:val="0"/>
            <w:vAlign w:val="center"/>
          </w:tcPr>
          <w:p w14:paraId="544477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2255</w:t>
            </w:r>
          </w:p>
        </w:tc>
        <w:tc>
          <w:tcPr>
            <w:tcW w:w="1174" w:type="dxa"/>
            <w:noWrap w:val="0"/>
            <w:vAlign w:val="center"/>
          </w:tcPr>
          <w:p w14:paraId="5F3490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0.4902</w:t>
            </w:r>
          </w:p>
        </w:tc>
        <w:tc>
          <w:tcPr>
            <w:tcW w:w="1029" w:type="dxa"/>
            <w:noWrap w:val="0"/>
            <w:vAlign w:val="center"/>
          </w:tcPr>
          <w:p w14:paraId="78C64D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0.3221</w:t>
            </w:r>
          </w:p>
        </w:tc>
        <w:tc>
          <w:tcPr>
            <w:tcW w:w="1129" w:type="dxa"/>
            <w:noWrap w:val="0"/>
            <w:vAlign w:val="center"/>
          </w:tcPr>
          <w:p w14:paraId="1FD970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w:t>
            </w:r>
            <w:r>
              <w:rPr>
                <w:highlight w:val="none"/>
              </w:rPr>
              <w:t>85</w:t>
            </w:r>
          </w:p>
        </w:tc>
        <w:tc>
          <w:tcPr>
            <w:tcW w:w="1046" w:type="dxa"/>
            <w:noWrap w:val="0"/>
            <w:vAlign w:val="center"/>
          </w:tcPr>
          <w:p w14:paraId="289414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6390</w:t>
            </w:r>
          </w:p>
        </w:tc>
        <w:tc>
          <w:tcPr>
            <w:tcW w:w="1032" w:type="dxa"/>
            <w:noWrap w:val="0"/>
            <w:vAlign w:val="center"/>
          </w:tcPr>
          <w:p w14:paraId="565DF6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10189</w:t>
            </w:r>
          </w:p>
        </w:tc>
        <w:tc>
          <w:tcPr>
            <w:tcW w:w="1188" w:type="dxa"/>
            <w:noWrap w:val="0"/>
            <w:vAlign w:val="center"/>
          </w:tcPr>
          <w:p w14:paraId="0E74E1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56F3C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3C9108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古塘</w:t>
            </w:r>
          </w:p>
        </w:tc>
        <w:tc>
          <w:tcPr>
            <w:tcW w:w="729" w:type="dxa"/>
            <w:noWrap w:val="0"/>
            <w:vAlign w:val="center"/>
          </w:tcPr>
          <w:p w14:paraId="424140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16</w:t>
            </w:r>
          </w:p>
        </w:tc>
        <w:tc>
          <w:tcPr>
            <w:tcW w:w="723" w:type="dxa"/>
            <w:noWrap w:val="0"/>
            <w:vAlign w:val="center"/>
          </w:tcPr>
          <w:p w14:paraId="6BEE6E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727</w:t>
            </w:r>
          </w:p>
        </w:tc>
        <w:tc>
          <w:tcPr>
            <w:tcW w:w="849" w:type="dxa"/>
            <w:noWrap w:val="0"/>
            <w:vAlign w:val="center"/>
          </w:tcPr>
          <w:p w14:paraId="2E5191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2549</w:t>
            </w:r>
          </w:p>
        </w:tc>
        <w:tc>
          <w:tcPr>
            <w:tcW w:w="851" w:type="dxa"/>
            <w:noWrap w:val="0"/>
            <w:vAlign w:val="center"/>
          </w:tcPr>
          <w:p w14:paraId="6FA3E2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1717</w:t>
            </w:r>
          </w:p>
        </w:tc>
        <w:tc>
          <w:tcPr>
            <w:tcW w:w="1174" w:type="dxa"/>
            <w:noWrap w:val="0"/>
            <w:vAlign w:val="center"/>
          </w:tcPr>
          <w:p w14:paraId="26664E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0.4082</w:t>
            </w:r>
          </w:p>
        </w:tc>
        <w:tc>
          <w:tcPr>
            <w:tcW w:w="1029" w:type="dxa"/>
            <w:noWrap w:val="0"/>
            <w:vAlign w:val="center"/>
          </w:tcPr>
          <w:p w14:paraId="733050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0.2212</w:t>
            </w:r>
          </w:p>
        </w:tc>
        <w:tc>
          <w:tcPr>
            <w:tcW w:w="1129" w:type="dxa"/>
            <w:noWrap w:val="0"/>
            <w:vAlign w:val="center"/>
          </w:tcPr>
          <w:p w14:paraId="64D2EC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0.09</w:t>
            </w:r>
          </w:p>
        </w:tc>
        <w:tc>
          <w:tcPr>
            <w:tcW w:w="1046" w:type="dxa"/>
            <w:noWrap w:val="0"/>
            <w:vAlign w:val="center"/>
          </w:tcPr>
          <w:p w14:paraId="642EFA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4977</w:t>
            </w:r>
          </w:p>
        </w:tc>
        <w:tc>
          <w:tcPr>
            <w:tcW w:w="1032" w:type="dxa"/>
            <w:noWrap w:val="0"/>
            <w:vAlign w:val="center"/>
          </w:tcPr>
          <w:p w14:paraId="23DA6E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10706</w:t>
            </w:r>
          </w:p>
        </w:tc>
        <w:tc>
          <w:tcPr>
            <w:tcW w:w="1188" w:type="dxa"/>
            <w:noWrap w:val="0"/>
            <w:vAlign w:val="center"/>
          </w:tcPr>
          <w:p w14:paraId="145C44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22401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20135F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全安</w:t>
            </w:r>
          </w:p>
        </w:tc>
        <w:tc>
          <w:tcPr>
            <w:tcW w:w="729" w:type="dxa"/>
            <w:noWrap w:val="0"/>
            <w:vAlign w:val="center"/>
          </w:tcPr>
          <w:p w14:paraId="1093DA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20</w:t>
            </w:r>
          </w:p>
        </w:tc>
        <w:tc>
          <w:tcPr>
            <w:tcW w:w="723" w:type="dxa"/>
            <w:noWrap w:val="0"/>
            <w:vAlign w:val="center"/>
          </w:tcPr>
          <w:p w14:paraId="34BA7A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739</w:t>
            </w:r>
          </w:p>
        </w:tc>
        <w:tc>
          <w:tcPr>
            <w:tcW w:w="849" w:type="dxa"/>
            <w:noWrap w:val="0"/>
            <w:vAlign w:val="center"/>
          </w:tcPr>
          <w:p w14:paraId="0B5A4C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2698</w:t>
            </w:r>
          </w:p>
        </w:tc>
        <w:tc>
          <w:tcPr>
            <w:tcW w:w="851" w:type="dxa"/>
            <w:noWrap w:val="0"/>
            <w:vAlign w:val="center"/>
          </w:tcPr>
          <w:p w14:paraId="470BF2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2005</w:t>
            </w:r>
          </w:p>
        </w:tc>
        <w:tc>
          <w:tcPr>
            <w:tcW w:w="1174" w:type="dxa"/>
            <w:noWrap w:val="0"/>
            <w:vAlign w:val="center"/>
          </w:tcPr>
          <w:p w14:paraId="773340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1.0452</w:t>
            </w:r>
          </w:p>
        </w:tc>
        <w:tc>
          <w:tcPr>
            <w:tcW w:w="1029" w:type="dxa"/>
            <w:noWrap w:val="0"/>
            <w:vAlign w:val="center"/>
          </w:tcPr>
          <w:p w14:paraId="74A239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0.1478</w:t>
            </w:r>
          </w:p>
        </w:tc>
        <w:tc>
          <w:tcPr>
            <w:tcW w:w="1129" w:type="dxa"/>
            <w:noWrap w:val="0"/>
            <w:vAlign w:val="center"/>
          </w:tcPr>
          <w:p w14:paraId="49A581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0.82</w:t>
            </w:r>
          </w:p>
        </w:tc>
        <w:tc>
          <w:tcPr>
            <w:tcW w:w="1046" w:type="dxa"/>
            <w:noWrap w:val="0"/>
            <w:vAlign w:val="center"/>
          </w:tcPr>
          <w:p w14:paraId="611039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5086</w:t>
            </w:r>
          </w:p>
        </w:tc>
        <w:tc>
          <w:tcPr>
            <w:tcW w:w="1032" w:type="dxa"/>
            <w:noWrap w:val="0"/>
            <w:vAlign w:val="center"/>
          </w:tcPr>
          <w:p w14:paraId="0123DC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10411</w:t>
            </w:r>
          </w:p>
        </w:tc>
        <w:tc>
          <w:tcPr>
            <w:tcW w:w="1188" w:type="dxa"/>
            <w:noWrap w:val="0"/>
            <w:vAlign w:val="center"/>
          </w:tcPr>
          <w:p w14:paraId="4EF160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2C3FD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60278F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王亭石</w:t>
            </w:r>
          </w:p>
        </w:tc>
        <w:tc>
          <w:tcPr>
            <w:tcW w:w="729" w:type="dxa"/>
            <w:noWrap w:val="0"/>
            <w:vAlign w:val="center"/>
          </w:tcPr>
          <w:p w14:paraId="1C607C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11</w:t>
            </w:r>
          </w:p>
        </w:tc>
        <w:tc>
          <w:tcPr>
            <w:tcW w:w="723" w:type="dxa"/>
            <w:noWrap w:val="0"/>
            <w:vAlign w:val="center"/>
          </w:tcPr>
          <w:p w14:paraId="202BE5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349</w:t>
            </w:r>
          </w:p>
        </w:tc>
        <w:tc>
          <w:tcPr>
            <w:tcW w:w="849" w:type="dxa"/>
            <w:noWrap w:val="0"/>
            <w:vAlign w:val="center"/>
          </w:tcPr>
          <w:p w14:paraId="16D475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1222</w:t>
            </w:r>
          </w:p>
        </w:tc>
        <w:tc>
          <w:tcPr>
            <w:tcW w:w="851" w:type="dxa"/>
            <w:noWrap w:val="0"/>
            <w:vAlign w:val="center"/>
          </w:tcPr>
          <w:p w14:paraId="01AF05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837</w:t>
            </w:r>
          </w:p>
        </w:tc>
        <w:tc>
          <w:tcPr>
            <w:tcW w:w="1174" w:type="dxa"/>
            <w:noWrap w:val="0"/>
            <w:vAlign w:val="center"/>
          </w:tcPr>
          <w:p w14:paraId="07A8CC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0.4407</w:t>
            </w:r>
          </w:p>
        </w:tc>
        <w:tc>
          <w:tcPr>
            <w:tcW w:w="1029" w:type="dxa"/>
            <w:noWrap w:val="0"/>
            <w:vAlign w:val="center"/>
          </w:tcPr>
          <w:p w14:paraId="56B641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0.2333</w:t>
            </w:r>
          </w:p>
        </w:tc>
        <w:tc>
          <w:tcPr>
            <w:tcW w:w="1129" w:type="dxa"/>
            <w:noWrap w:val="0"/>
            <w:vAlign w:val="center"/>
          </w:tcPr>
          <w:p w14:paraId="618818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0.1903</w:t>
            </w:r>
          </w:p>
        </w:tc>
        <w:tc>
          <w:tcPr>
            <w:tcW w:w="1046" w:type="dxa"/>
            <w:noWrap w:val="0"/>
            <w:vAlign w:val="center"/>
          </w:tcPr>
          <w:p w14:paraId="5ABB6F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2332</w:t>
            </w:r>
          </w:p>
        </w:tc>
        <w:tc>
          <w:tcPr>
            <w:tcW w:w="1032" w:type="dxa"/>
            <w:noWrap w:val="0"/>
            <w:vAlign w:val="center"/>
          </w:tcPr>
          <w:p w14:paraId="71EF35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10793</w:t>
            </w:r>
          </w:p>
        </w:tc>
        <w:tc>
          <w:tcPr>
            <w:tcW w:w="1188" w:type="dxa"/>
            <w:noWrap w:val="0"/>
            <w:vAlign w:val="center"/>
          </w:tcPr>
          <w:p w14:paraId="002F1E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黄烟、花生</w:t>
            </w:r>
          </w:p>
        </w:tc>
      </w:tr>
      <w:tr w14:paraId="53BDB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1E4D02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河塘</w:t>
            </w:r>
          </w:p>
        </w:tc>
        <w:tc>
          <w:tcPr>
            <w:tcW w:w="729" w:type="dxa"/>
            <w:noWrap w:val="0"/>
            <w:vAlign w:val="center"/>
          </w:tcPr>
          <w:p w14:paraId="1D4331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13</w:t>
            </w:r>
          </w:p>
        </w:tc>
        <w:tc>
          <w:tcPr>
            <w:tcW w:w="723" w:type="dxa"/>
            <w:noWrap w:val="0"/>
            <w:vAlign w:val="center"/>
          </w:tcPr>
          <w:p w14:paraId="63F55D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671</w:t>
            </w:r>
          </w:p>
        </w:tc>
        <w:tc>
          <w:tcPr>
            <w:tcW w:w="849" w:type="dxa"/>
            <w:noWrap w:val="0"/>
            <w:vAlign w:val="center"/>
          </w:tcPr>
          <w:p w14:paraId="1C7EC8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2357</w:t>
            </w:r>
          </w:p>
        </w:tc>
        <w:tc>
          <w:tcPr>
            <w:tcW w:w="851" w:type="dxa"/>
            <w:noWrap w:val="0"/>
            <w:vAlign w:val="center"/>
          </w:tcPr>
          <w:p w14:paraId="25B27D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1635</w:t>
            </w:r>
          </w:p>
        </w:tc>
        <w:tc>
          <w:tcPr>
            <w:tcW w:w="1174" w:type="dxa"/>
            <w:noWrap w:val="0"/>
            <w:vAlign w:val="center"/>
          </w:tcPr>
          <w:p w14:paraId="49B812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0.6326</w:t>
            </w:r>
          </w:p>
        </w:tc>
        <w:tc>
          <w:tcPr>
            <w:tcW w:w="1029" w:type="dxa"/>
            <w:noWrap w:val="0"/>
            <w:vAlign w:val="center"/>
          </w:tcPr>
          <w:p w14:paraId="242E7C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0.1826</w:t>
            </w:r>
          </w:p>
        </w:tc>
        <w:tc>
          <w:tcPr>
            <w:tcW w:w="1129" w:type="dxa"/>
            <w:noWrap w:val="0"/>
            <w:vAlign w:val="center"/>
          </w:tcPr>
          <w:p w14:paraId="69F37F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0.367</w:t>
            </w:r>
          </w:p>
        </w:tc>
        <w:tc>
          <w:tcPr>
            <w:tcW w:w="1046" w:type="dxa"/>
            <w:noWrap w:val="0"/>
            <w:vAlign w:val="center"/>
          </w:tcPr>
          <w:p w14:paraId="3BC8E0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4482</w:t>
            </w:r>
          </w:p>
        </w:tc>
        <w:tc>
          <w:tcPr>
            <w:tcW w:w="1032" w:type="dxa"/>
            <w:noWrap w:val="0"/>
            <w:vAlign w:val="center"/>
          </w:tcPr>
          <w:p w14:paraId="4C5E45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10560</w:t>
            </w:r>
          </w:p>
        </w:tc>
        <w:tc>
          <w:tcPr>
            <w:tcW w:w="1188" w:type="dxa"/>
            <w:noWrap w:val="0"/>
            <w:vAlign w:val="center"/>
          </w:tcPr>
          <w:p w14:paraId="08228E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57EBC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681D1B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杨沥</w:t>
            </w:r>
          </w:p>
        </w:tc>
        <w:tc>
          <w:tcPr>
            <w:tcW w:w="729" w:type="dxa"/>
            <w:noWrap w:val="0"/>
            <w:vAlign w:val="center"/>
          </w:tcPr>
          <w:p w14:paraId="5BD55F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15</w:t>
            </w:r>
          </w:p>
        </w:tc>
        <w:tc>
          <w:tcPr>
            <w:tcW w:w="723" w:type="dxa"/>
            <w:noWrap w:val="0"/>
            <w:vAlign w:val="center"/>
          </w:tcPr>
          <w:p w14:paraId="516D7E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657</w:t>
            </w:r>
          </w:p>
        </w:tc>
        <w:tc>
          <w:tcPr>
            <w:tcW w:w="849" w:type="dxa"/>
            <w:noWrap w:val="0"/>
            <w:vAlign w:val="center"/>
          </w:tcPr>
          <w:p w14:paraId="1CF10A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2332</w:t>
            </w:r>
          </w:p>
        </w:tc>
        <w:tc>
          <w:tcPr>
            <w:tcW w:w="851" w:type="dxa"/>
            <w:noWrap w:val="0"/>
            <w:vAlign w:val="center"/>
          </w:tcPr>
          <w:p w14:paraId="70E9CB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1500</w:t>
            </w:r>
          </w:p>
        </w:tc>
        <w:tc>
          <w:tcPr>
            <w:tcW w:w="1174" w:type="dxa"/>
            <w:noWrap w:val="0"/>
            <w:vAlign w:val="center"/>
          </w:tcPr>
          <w:p w14:paraId="53839D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2.6206</w:t>
            </w:r>
          </w:p>
        </w:tc>
        <w:tc>
          <w:tcPr>
            <w:tcW w:w="1029" w:type="dxa"/>
            <w:noWrap w:val="0"/>
            <w:vAlign w:val="center"/>
          </w:tcPr>
          <w:p w14:paraId="5B95AE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0.1891</w:t>
            </w:r>
          </w:p>
        </w:tc>
        <w:tc>
          <w:tcPr>
            <w:tcW w:w="1129" w:type="dxa"/>
            <w:noWrap w:val="0"/>
            <w:vAlign w:val="center"/>
          </w:tcPr>
          <w:p w14:paraId="691AD1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2.33</w:t>
            </w:r>
          </w:p>
        </w:tc>
        <w:tc>
          <w:tcPr>
            <w:tcW w:w="1046" w:type="dxa"/>
            <w:noWrap w:val="0"/>
            <w:vAlign w:val="center"/>
          </w:tcPr>
          <w:p w14:paraId="36C091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4368</w:t>
            </w:r>
          </w:p>
        </w:tc>
        <w:tc>
          <w:tcPr>
            <w:tcW w:w="1032" w:type="dxa"/>
            <w:noWrap w:val="0"/>
            <w:vAlign w:val="center"/>
          </w:tcPr>
          <w:p w14:paraId="36F1A3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10545</w:t>
            </w:r>
          </w:p>
        </w:tc>
        <w:tc>
          <w:tcPr>
            <w:tcW w:w="1188" w:type="dxa"/>
            <w:noWrap w:val="0"/>
            <w:vAlign w:val="center"/>
          </w:tcPr>
          <w:p w14:paraId="513B7A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0C90D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910" w:type="dxa"/>
            <w:noWrap w:val="0"/>
            <w:vAlign w:val="center"/>
          </w:tcPr>
          <w:p w14:paraId="18B187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荔迳</w:t>
            </w:r>
          </w:p>
        </w:tc>
        <w:tc>
          <w:tcPr>
            <w:tcW w:w="729" w:type="dxa"/>
            <w:noWrap w:val="0"/>
            <w:vAlign w:val="center"/>
          </w:tcPr>
          <w:p w14:paraId="59736B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11</w:t>
            </w:r>
          </w:p>
        </w:tc>
        <w:tc>
          <w:tcPr>
            <w:tcW w:w="723" w:type="dxa"/>
            <w:noWrap w:val="0"/>
            <w:vAlign w:val="center"/>
          </w:tcPr>
          <w:p w14:paraId="1A0D44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404</w:t>
            </w:r>
          </w:p>
        </w:tc>
        <w:tc>
          <w:tcPr>
            <w:tcW w:w="849" w:type="dxa"/>
            <w:noWrap w:val="0"/>
            <w:vAlign w:val="center"/>
          </w:tcPr>
          <w:p w14:paraId="7A602A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1433</w:t>
            </w:r>
          </w:p>
        </w:tc>
        <w:tc>
          <w:tcPr>
            <w:tcW w:w="851" w:type="dxa"/>
            <w:noWrap w:val="0"/>
            <w:vAlign w:val="center"/>
          </w:tcPr>
          <w:p w14:paraId="6749EB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968</w:t>
            </w:r>
          </w:p>
        </w:tc>
        <w:tc>
          <w:tcPr>
            <w:tcW w:w="1174" w:type="dxa"/>
            <w:noWrap w:val="0"/>
            <w:vAlign w:val="center"/>
          </w:tcPr>
          <w:p w14:paraId="72DC7D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1.0004</w:t>
            </w:r>
          </w:p>
        </w:tc>
        <w:tc>
          <w:tcPr>
            <w:tcW w:w="1029" w:type="dxa"/>
            <w:noWrap w:val="0"/>
            <w:vAlign w:val="center"/>
          </w:tcPr>
          <w:p w14:paraId="3815EC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0.1229</w:t>
            </w:r>
          </w:p>
        </w:tc>
        <w:tc>
          <w:tcPr>
            <w:tcW w:w="1129" w:type="dxa"/>
            <w:noWrap w:val="0"/>
            <w:vAlign w:val="center"/>
          </w:tcPr>
          <w:p w14:paraId="766E1F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0.847</w:t>
            </w:r>
          </w:p>
        </w:tc>
        <w:tc>
          <w:tcPr>
            <w:tcW w:w="1046" w:type="dxa"/>
            <w:noWrap w:val="0"/>
            <w:vAlign w:val="center"/>
          </w:tcPr>
          <w:p w14:paraId="7ADC37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2636</w:t>
            </w:r>
          </w:p>
        </w:tc>
        <w:tc>
          <w:tcPr>
            <w:tcW w:w="1032" w:type="dxa"/>
            <w:noWrap w:val="0"/>
            <w:vAlign w:val="center"/>
          </w:tcPr>
          <w:p w14:paraId="7DA863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10530</w:t>
            </w:r>
          </w:p>
        </w:tc>
        <w:tc>
          <w:tcPr>
            <w:tcW w:w="1188" w:type="dxa"/>
            <w:noWrap w:val="0"/>
            <w:vAlign w:val="center"/>
          </w:tcPr>
          <w:p w14:paraId="6023AA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7B308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910" w:type="dxa"/>
            <w:noWrap w:val="0"/>
            <w:vAlign w:val="center"/>
          </w:tcPr>
          <w:p w14:paraId="29AA79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密下水</w:t>
            </w:r>
          </w:p>
        </w:tc>
        <w:tc>
          <w:tcPr>
            <w:tcW w:w="729" w:type="dxa"/>
            <w:noWrap w:val="0"/>
            <w:vAlign w:val="center"/>
          </w:tcPr>
          <w:p w14:paraId="475105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19</w:t>
            </w:r>
          </w:p>
        </w:tc>
        <w:tc>
          <w:tcPr>
            <w:tcW w:w="723" w:type="dxa"/>
            <w:noWrap w:val="0"/>
            <w:vAlign w:val="center"/>
          </w:tcPr>
          <w:p w14:paraId="04C7FD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576</w:t>
            </w:r>
          </w:p>
        </w:tc>
        <w:tc>
          <w:tcPr>
            <w:tcW w:w="849" w:type="dxa"/>
            <w:noWrap w:val="0"/>
            <w:vAlign w:val="center"/>
          </w:tcPr>
          <w:p w14:paraId="7BE5EE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2121</w:t>
            </w:r>
          </w:p>
        </w:tc>
        <w:tc>
          <w:tcPr>
            <w:tcW w:w="851" w:type="dxa"/>
            <w:noWrap w:val="0"/>
            <w:vAlign w:val="center"/>
          </w:tcPr>
          <w:p w14:paraId="3A306A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1409</w:t>
            </w:r>
          </w:p>
        </w:tc>
        <w:tc>
          <w:tcPr>
            <w:tcW w:w="1174" w:type="dxa"/>
            <w:noWrap w:val="0"/>
            <w:vAlign w:val="center"/>
          </w:tcPr>
          <w:p w14:paraId="35C7F4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3.9638</w:t>
            </w:r>
          </w:p>
        </w:tc>
        <w:tc>
          <w:tcPr>
            <w:tcW w:w="1029" w:type="dxa"/>
            <w:noWrap w:val="0"/>
            <w:vAlign w:val="center"/>
          </w:tcPr>
          <w:p w14:paraId="7240E6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0.2228</w:t>
            </w:r>
          </w:p>
        </w:tc>
        <w:tc>
          <w:tcPr>
            <w:tcW w:w="1129" w:type="dxa"/>
            <w:noWrap w:val="0"/>
            <w:vAlign w:val="center"/>
          </w:tcPr>
          <w:p w14:paraId="17BADF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3.657</w:t>
            </w:r>
          </w:p>
        </w:tc>
        <w:tc>
          <w:tcPr>
            <w:tcW w:w="1046" w:type="dxa"/>
            <w:noWrap w:val="0"/>
            <w:vAlign w:val="center"/>
          </w:tcPr>
          <w:p w14:paraId="367D26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4092</w:t>
            </w:r>
          </w:p>
        </w:tc>
        <w:tc>
          <w:tcPr>
            <w:tcW w:w="1032" w:type="dxa"/>
            <w:noWrap w:val="0"/>
            <w:vAlign w:val="center"/>
          </w:tcPr>
          <w:p w14:paraId="49E096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10802</w:t>
            </w:r>
          </w:p>
        </w:tc>
        <w:tc>
          <w:tcPr>
            <w:tcW w:w="1188" w:type="dxa"/>
            <w:noWrap w:val="0"/>
            <w:vAlign w:val="center"/>
          </w:tcPr>
          <w:p w14:paraId="565C67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花生、水稻</w:t>
            </w:r>
          </w:p>
        </w:tc>
      </w:tr>
      <w:tr w14:paraId="51749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910" w:type="dxa"/>
            <w:noWrap w:val="0"/>
            <w:vAlign w:val="center"/>
          </w:tcPr>
          <w:p w14:paraId="04B26B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苍石</w:t>
            </w:r>
          </w:p>
        </w:tc>
        <w:tc>
          <w:tcPr>
            <w:tcW w:w="729" w:type="dxa"/>
            <w:noWrap w:val="0"/>
            <w:vAlign w:val="center"/>
          </w:tcPr>
          <w:p w14:paraId="4B0742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13</w:t>
            </w:r>
          </w:p>
        </w:tc>
        <w:tc>
          <w:tcPr>
            <w:tcW w:w="723" w:type="dxa"/>
            <w:noWrap w:val="0"/>
            <w:vAlign w:val="center"/>
          </w:tcPr>
          <w:p w14:paraId="634033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353</w:t>
            </w:r>
          </w:p>
        </w:tc>
        <w:tc>
          <w:tcPr>
            <w:tcW w:w="849" w:type="dxa"/>
            <w:noWrap w:val="0"/>
            <w:vAlign w:val="center"/>
          </w:tcPr>
          <w:p w14:paraId="07AEB9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1255</w:t>
            </w:r>
          </w:p>
        </w:tc>
        <w:tc>
          <w:tcPr>
            <w:tcW w:w="851" w:type="dxa"/>
            <w:noWrap w:val="0"/>
            <w:vAlign w:val="center"/>
          </w:tcPr>
          <w:p w14:paraId="004639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846</w:t>
            </w:r>
          </w:p>
        </w:tc>
        <w:tc>
          <w:tcPr>
            <w:tcW w:w="1174" w:type="dxa"/>
            <w:noWrap w:val="0"/>
            <w:vAlign w:val="center"/>
          </w:tcPr>
          <w:p w14:paraId="76C91E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2.7153</w:t>
            </w:r>
          </w:p>
        </w:tc>
        <w:tc>
          <w:tcPr>
            <w:tcW w:w="1029" w:type="dxa"/>
            <w:noWrap w:val="0"/>
            <w:vAlign w:val="center"/>
          </w:tcPr>
          <w:p w14:paraId="5529B9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0.1073</w:t>
            </w:r>
          </w:p>
        </w:tc>
        <w:tc>
          <w:tcPr>
            <w:tcW w:w="1129" w:type="dxa"/>
            <w:noWrap w:val="0"/>
            <w:vAlign w:val="center"/>
          </w:tcPr>
          <w:p w14:paraId="230FA3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2.585</w:t>
            </w:r>
          </w:p>
        </w:tc>
        <w:tc>
          <w:tcPr>
            <w:tcW w:w="1046" w:type="dxa"/>
            <w:noWrap w:val="0"/>
            <w:vAlign w:val="center"/>
          </w:tcPr>
          <w:p w14:paraId="05B873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2335</w:t>
            </w:r>
          </w:p>
        </w:tc>
        <w:tc>
          <w:tcPr>
            <w:tcW w:w="1032" w:type="dxa"/>
            <w:noWrap w:val="0"/>
            <w:vAlign w:val="center"/>
          </w:tcPr>
          <w:p w14:paraId="7A955C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10622</w:t>
            </w:r>
          </w:p>
        </w:tc>
        <w:tc>
          <w:tcPr>
            <w:tcW w:w="1188" w:type="dxa"/>
            <w:noWrap w:val="0"/>
            <w:vAlign w:val="center"/>
          </w:tcPr>
          <w:p w14:paraId="6C16F1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4E9B7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910" w:type="dxa"/>
            <w:noWrap w:val="0"/>
            <w:vAlign w:val="center"/>
          </w:tcPr>
          <w:p w14:paraId="1BE79D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大坪</w:t>
            </w:r>
          </w:p>
        </w:tc>
        <w:tc>
          <w:tcPr>
            <w:tcW w:w="729" w:type="dxa"/>
            <w:noWrap w:val="0"/>
            <w:vAlign w:val="center"/>
          </w:tcPr>
          <w:p w14:paraId="145C4F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10</w:t>
            </w:r>
          </w:p>
        </w:tc>
        <w:tc>
          <w:tcPr>
            <w:tcW w:w="723" w:type="dxa"/>
            <w:noWrap w:val="0"/>
            <w:vAlign w:val="center"/>
          </w:tcPr>
          <w:p w14:paraId="0443F4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347</w:t>
            </w:r>
          </w:p>
        </w:tc>
        <w:tc>
          <w:tcPr>
            <w:tcW w:w="849" w:type="dxa"/>
            <w:noWrap w:val="0"/>
            <w:vAlign w:val="center"/>
          </w:tcPr>
          <w:p w14:paraId="16A193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1320</w:t>
            </w:r>
          </w:p>
        </w:tc>
        <w:tc>
          <w:tcPr>
            <w:tcW w:w="851" w:type="dxa"/>
            <w:noWrap w:val="0"/>
            <w:vAlign w:val="center"/>
          </w:tcPr>
          <w:p w14:paraId="048CF2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995</w:t>
            </w:r>
          </w:p>
        </w:tc>
        <w:tc>
          <w:tcPr>
            <w:tcW w:w="1174" w:type="dxa"/>
            <w:noWrap w:val="0"/>
            <w:vAlign w:val="center"/>
          </w:tcPr>
          <w:p w14:paraId="76923E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4.2036</w:t>
            </w:r>
          </w:p>
        </w:tc>
        <w:tc>
          <w:tcPr>
            <w:tcW w:w="1029" w:type="dxa"/>
            <w:noWrap w:val="0"/>
            <w:vAlign w:val="center"/>
          </w:tcPr>
          <w:p w14:paraId="591436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0.0745</w:t>
            </w:r>
          </w:p>
        </w:tc>
        <w:tc>
          <w:tcPr>
            <w:tcW w:w="1129" w:type="dxa"/>
            <w:noWrap w:val="0"/>
            <w:vAlign w:val="center"/>
          </w:tcPr>
          <w:p w14:paraId="27C961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4.1139</w:t>
            </w:r>
          </w:p>
        </w:tc>
        <w:tc>
          <w:tcPr>
            <w:tcW w:w="1046" w:type="dxa"/>
            <w:noWrap w:val="0"/>
            <w:vAlign w:val="center"/>
          </w:tcPr>
          <w:p w14:paraId="533496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2546</w:t>
            </w:r>
          </w:p>
        </w:tc>
        <w:tc>
          <w:tcPr>
            <w:tcW w:w="1032" w:type="dxa"/>
            <w:noWrap w:val="0"/>
            <w:vAlign w:val="center"/>
          </w:tcPr>
          <w:p w14:paraId="454FF9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11000</w:t>
            </w:r>
          </w:p>
        </w:tc>
        <w:tc>
          <w:tcPr>
            <w:tcW w:w="1188" w:type="dxa"/>
            <w:noWrap w:val="0"/>
            <w:vAlign w:val="center"/>
          </w:tcPr>
          <w:p w14:paraId="6BD3DD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68081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910" w:type="dxa"/>
            <w:noWrap w:val="0"/>
            <w:vAlign w:val="center"/>
          </w:tcPr>
          <w:p w14:paraId="5FF5B1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兰溪</w:t>
            </w:r>
          </w:p>
        </w:tc>
        <w:tc>
          <w:tcPr>
            <w:tcW w:w="729" w:type="dxa"/>
            <w:noWrap w:val="0"/>
            <w:vAlign w:val="center"/>
          </w:tcPr>
          <w:p w14:paraId="001ADE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6</w:t>
            </w:r>
          </w:p>
        </w:tc>
        <w:tc>
          <w:tcPr>
            <w:tcW w:w="723" w:type="dxa"/>
            <w:noWrap w:val="0"/>
            <w:vAlign w:val="center"/>
          </w:tcPr>
          <w:p w14:paraId="6B979E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246</w:t>
            </w:r>
          </w:p>
        </w:tc>
        <w:tc>
          <w:tcPr>
            <w:tcW w:w="849" w:type="dxa"/>
            <w:noWrap w:val="0"/>
            <w:vAlign w:val="center"/>
          </w:tcPr>
          <w:p w14:paraId="5AA86D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874</w:t>
            </w:r>
          </w:p>
        </w:tc>
        <w:tc>
          <w:tcPr>
            <w:tcW w:w="851" w:type="dxa"/>
            <w:noWrap w:val="0"/>
            <w:vAlign w:val="center"/>
          </w:tcPr>
          <w:p w14:paraId="44FE64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663</w:t>
            </w:r>
          </w:p>
        </w:tc>
        <w:tc>
          <w:tcPr>
            <w:tcW w:w="1174" w:type="dxa"/>
            <w:noWrap w:val="0"/>
            <w:vAlign w:val="center"/>
          </w:tcPr>
          <w:p w14:paraId="10D181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1.2157</w:t>
            </w:r>
          </w:p>
        </w:tc>
        <w:tc>
          <w:tcPr>
            <w:tcW w:w="1029" w:type="dxa"/>
            <w:noWrap w:val="0"/>
            <w:vAlign w:val="center"/>
          </w:tcPr>
          <w:p w14:paraId="70EF78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0.0447</w:t>
            </w:r>
          </w:p>
        </w:tc>
        <w:tc>
          <w:tcPr>
            <w:tcW w:w="1129" w:type="dxa"/>
            <w:noWrap w:val="0"/>
            <w:vAlign w:val="center"/>
          </w:tcPr>
          <w:p w14:paraId="48E39F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1.162</w:t>
            </w:r>
          </w:p>
        </w:tc>
        <w:tc>
          <w:tcPr>
            <w:tcW w:w="1046" w:type="dxa"/>
            <w:noWrap w:val="0"/>
            <w:vAlign w:val="center"/>
          </w:tcPr>
          <w:p w14:paraId="0EB085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1616</w:t>
            </w:r>
          </w:p>
        </w:tc>
        <w:tc>
          <w:tcPr>
            <w:tcW w:w="1032" w:type="dxa"/>
            <w:noWrap w:val="0"/>
            <w:vAlign w:val="center"/>
          </w:tcPr>
          <w:p w14:paraId="35D894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10698</w:t>
            </w:r>
          </w:p>
        </w:tc>
        <w:tc>
          <w:tcPr>
            <w:tcW w:w="1188" w:type="dxa"/>
            <w:noWrap w:val="0"/>
            <w:vAlign w:val="center"/>
          </w:tcPr>
          <w:p w14:paraId="2DE12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48A7D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910" w:type="dxa"/>
            <w:noWrap w:val="0"/>
            <w:vAlign w:val="center"/>
          </w:tcPr>
          <w:p w14:paraId="4706F8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章禾洞</w:t>
            </w:r>
          </w:p>
        </w:tc>
        <w:tc>
          <w:tcPr>
            <w:tcW w:w="729" w:type="dxa"/>
            <w:noWrap w:val="0"/>
            <w:vAlign w:val="center"/>
          </w:tcPr>
          <w:p w14:paraId="1FA5A6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9</w:t>
            </w:r>
          </w:p>
        </w:tc>
        <w:tc>
          <w:tcPr>
            <w:tcW w:w="723" w:type="dxa"/>
            <w:noWrap w:val="0"/>
            <w:vAlign w:val="center"/>
          </w:tcPr>
          <w:p w14:paraId="17DDA8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248</w:t>
            </w:r>
          </w:p>
        </w:tc>
        <w:tc>
          <w:tcPr>
            <w:tcW w:w="849" w:type="dxa"/>
            <w:noWrap w:val="0"/>
            <w:vAlign w:val="center"/>
          </w:tcPr>
          <w:p w14:paraId="2A72C6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877</w:t>
            </w:r>
          </w:p>
        </w:tc>
        <w:tc>
          <w:tcPr>
            <w:tcW w:w="851" w:type="dxa"/>
            <w:noWrap w:val="0"/>
            <w:vAlign w:val="center"/>
          </w:tcPr>
          <w:p w14:paraId="39FC4E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668</w:t>
            </w:r>
          </w:p>
        </w:tc>
        <w:tc>
          <w:tcPr>
            <w:tcW w:w="1174" w:type="dxa"/>
            <w:noWrap w:val="0"/>
            <w:vAlign w:val="center"/>
          </w:tcPr>
          <w:p w14:paraId="309018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1.7858</w:t>
            </w:r>
          </w:p>
        </w:tc>
        <w:tc>
          <w:tcPr>
            <w:tcW w:w="1029" w:type="dxa"/>
            <w:noWrap w:val="0"/>
            <w:vAlign w:val="center"/>
          </w:tcPr>
          <w:p w14:paraId="01E69D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0.1266</w:t>
            </w:r>
          </w:p>
        </w:tc>
        <w:tc>
          <w:tcPr>
            <w:tcW w:w="1129" w:type="dxa"/>
            <w:noWrap w:val="0"/>
            <w:vAlign w:val="center"/>
          </w:tcPr>
          <w:p w14:paraId="6C9FAF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1.645</w:t>
            </w:r>
          </w:p>
        </w:tc>
        <w:tc>
          <w:tcPr>
            <w:tcW w:w="1046" w:type="dxa"/>
            <w:noWrap w:val="0"/>
            <w:vAlign w:val="center"/>
          </w:tcPr>
          <w:p w14:paraId="101A15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1645</w:t>
            </w:r>
          </w:p>
        </w:tc>
        <w:tc>
          <w:tcPr>
            <w:tcW w:w="1032" w:type="dxa"/>
            <w:noWrap w:val="0"/>
            <w:vAlign w:val="center"/>
          </w:tcPr>
          <w:p w14:paraId="5C777C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10821</w:t>
            </w:r>
          </w:p>
        </w:tc>
        <w:tc>
          <w:tcPr>
            <w:tcW w:w="1188" w:type="dxa"/>
            <w:noWrap w:val="0"/>
            <w:vAlign w:val="center"/>
          </w:tcPr>
          <w:p w14:paraId="7C8D0D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r w14:paraId="2B63A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910" w:type="dxa"/>
            <w:noWrap w:val="0"/>
            <w:vAlign w:val="center"/>
          </w:tcPr>
          <w:p w14:paraId="5EEE80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合计</w:t>
            </w:r>
          </w:p>
        </w:tc>
        <w:tc>
          <w:tcPr>
            <w:tcW w:w="729" w:type="dxa"/>
            <w:noWrap w:val="0"/>
            <w:vAlign w:val="center"/>
          </w:tcPr>
          <w:p w14:paraId="155B8A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185</w:t>
            </w:r>
          </w:p>
        </w:tc>
        <w:tc>
          <w:tcPr>
            <w:tcW w:w="723" w:type="dxa"/>
            <w:noWrap w:val="0"/>
            <w:vAlign w:val="center"/>
          </w:tcPr>
          <w:p w14:paraId="651113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8809</w:t>
            </w:r>
          </w:p>
        </w:tc>
        <w:tc>
          <w:tcPr>
            <w:tcW w:w="849" w:type="dxa"/>
            <w:noWrap w:val="0"/>
            <w:vAlign w:val="center"/>
          </w:tcPr>
          <w:p w14:paraId="74B417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27601</w:t>
            </w:r>
          </w:p>
        </w:tc>
        <w:tc>
          <w:tcPr>
            <w:tcW w:w="851" w:type="dxa"/>
            <w:noWrap w:val="0"/>
            <w:vAlign w:val="center"/>
          </w:tcPr>
          <w:p w14:paraId="2948F0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18966</w:t>
            </w:r>
          </w:p>
        </w:tc>
        <w:tc>
          <w:tcPr>
            <w:tcW w:w="1174" w:type="dxa"/>
            <w:noWrap w:val="0"/>
            <w:vAlign w:val="center"/>
          </w:tcPr>
          <w:p w14:paraId="29CAB0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24.2587</w:t>
            </w:r>
          </w:p>
        </w:tc>
        <w:tc>
          <w:tcPr>
            <w:tcW w:w="1029" w:type="dxa"/>
            <w:noWrap w:val="0"/>
            <w:vAlign w:val="center"/>
          </w:tcPr>
          <w:p w14:paraId="014F4C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w:t>
            </w:r>
            <w:r>
              <w:rPr>
                <w:rFonts w:hint="eastAsia"/>
                <w:highlight w:val="none"/>
              </w:rPr>
              <w:t>.</w:t>
            </w:r>
            <w:r>
              <w:rPr>
                <w:highlight w:val="none"/>
              </w:rPr>
              <w:t>2537</w:t>
            </w:r>
          </w:p>
        </w:tc>
        <w:tc>
          <w:tcPr>
            <w:tcW w:w="1129" w:type="dxa"/>
            <w:noWrap w:val="0"/>
            <w:vAlign w:val="center"/>
          </w:tcPr>
          <w:p w14:paraId="2A9DF4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highlight w:val="none"/>
              </w:rPr>
              <w:t>21.2422</w:t>
            </w:r>
          </w:p>
        </w:tc>
        <w:tc>
          <w:tcPr>
            <w:tcW w:w="1046" w:type="dxa"/>
            <w:noWrap w:val="0"/>
            <w:vAlign w:val="center"/>
          </w:tcPr>
          <w:p w14:paraId="1B128B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48793</w:t>
            </w:r>
          </w:p>
        </w:tc>
        <w:tc>
          <w:tcPr>
            <w:tcW w:w="1032" w:type="dxa"/>
            <w:noWrap w:val="0"/>
            <w:vAlign w:val="center"/>
          </w:tcPr>
          <w:p w14:paraId="453839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10542</w:t>
            </w:r>
          </w:p>
        </w:tc>
        <w:tc>
          <w:tcPr>
            <w:tcW w:w="1188" w:type="dxa"/>
            <w:noWrap w:val="0"/>
            <w:vAlign w:val="center"/>
          </w:tcPr>
          <w:p w14:paraId="26A97F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水稻</w:t>
            </w:r>
          </w:p>
        </w:tc>
      </w:tr>
    </w:tbl>
    <w:p w14:paraId="13EC445D">
      <w:pPr>
        <w:jc w:val="right"/>
        <w:rPr>
          <w:rFonts w:hint="eastAsia" w:hAnsi="宋体" w:eastAsia="宋体" w:cs="宋体"/>
          <w:highlight w:val="none"/>
          <w:lang w:eastAsia="zh-CN"/>
        </w:rPr>
      </w:pPr>
      <w:r>
        <w:rPr>
          <w:rFonts w:hint="eastAsia" w:hAnsi="宋体" w:cs="宋体"/>
          <w:highlight w:val="none"/>
        </w:rPr>
        <w:t>（吴东龙 朱欣如）</w:t>
      </w:r>
    </w:p>
    <w:p w14:paraId="6F6A6D3C">
      <w:pPr>
        <w:rPr>
          <w:rFonts w:hint="eastAsia" w:hAnsi="宋体" w:eastAsia="宋体" w:cs="宋体"/>
          <w:highlight w:val="none"/>
          <w:lang w:eastAsia="zh-CN"/>
        </w:rPr>
      </w:pPr>
      <w:r>
        <w:rPr>
          <w:rFonts w:hint="eastAsia" w:hAnsi="宋体" w:cs="宋体"/>
          <w:highlight w:val="none"/>
        </w:rPr>
        <w:t>附：2015年全安镇党政领导班子成员名单</w:t>
      </w:r>
    </w:p>
    <w:p w14:paraId="014D270A">
      <w:pPr>
        <w:ind w:firstLine="420"/>
        <w:rPr>
          <w:rFonts w:hint="eastAsia" w:hAnsi="宋体" w:cs="宋体"/>
          <w:b w:val="0"/>
          <w:bCs w:val="0"/>
          <w:highlight w:val="none"/>
        </w:rPr>
      </w:pPr>
      <w:r>
        <w:rPr>
          <w:rFonts w:hint="eastAsia" w:hAnsi="宋体" w:cs="宋体"/>
          <w:b w:val="0"/>
          <w:bCs w:val="0"/>
          <w:highlight w:val="none"/>
        </w:rPr>
        <w:t>党委书记、人大主席：姚远华</w:t>
      </w:r>
    </w:p>
    <w:p w14:paraId="12285C40">
      <w:pPr>
        <w:ind w:firstLine="420"/>
        <w:rPr>
          <w:rFonts w:hint="eastAsia" w:hAnsi="宋体" w:eastAsia="宋体" w:cs="宋体"/>
          <w:b w:val="0"/>
          <w:bCs w:val="0"/>
          <w:highlight w:val="none"/>
          <w:lang w:eastAsia="zh-CN"/>
        </w:rPr>
      </w:pPr>
      <w:r>
        <w:rPr>
          <w:rFonts w:hint="eastAsia" w:hAnsi="宋体" w:cs="宋体"/>
          <w:b w:val="0"/>
          <w:bCs w:val="0"/>
          <w:highlight w:val="none"/>
        </w:rPr>
        <w:t>党委副书记、镇长：潘</w:t>
      </w:r>
      <w:r>
        <w:rPr>
          <w:rFonts w:hint="eastAsia" w:hAnsi="宋体" w:cs="宋体"/>
          <w:b w:val="0"/>
          <w:bCs w:val="0"/>
          <w:highlight w:val="none"/>
          <w:lang w:val="en-US" w:eastAsia="zh-CN"/>
        </w:rPr>
        <w:t xml:space="preserve">  </w:t>
      </w:r>
      <w:r>
        <w:rPr>
          <w:rFonts w:hint="eastAsia" w:hAnsi="宋体" w:cs="宋体"/>
          <w:b w:val="0"/>
          <w:bCs w:val="0"/>
          <w:highlight w:val="none"/>
        </w:rPr>
        <w:t>彬</w:t>
      </w:r>
    </w:p>
    <w:p w14:paraId="620B4646">
      <w:pPr>
        <w:rPr>
          <w:rFonts w:hint="eastAsia" w:hAnsi="宋体" w:eastAsia="宋体" w:cs="宋体"/>
          <w:b w:val="0"/>
          <w:bCs w:val="0"/>
          <w:highlight w:val="none"/>
          <w:lang w:eastAsia="zh-CN"/>
        </w:rPr>
      </w:pPr>
      <w:r>
        <w:rPr>
          <w:rFonts w:hint="eastAsia" w:hAnsi="宋体" w:cs="宋体"/>
          <w:b w:val="0"/>
          <w:bCs w:val="0"/>
          <w:highlight w:val="none"/>
        </w:rPr>
        <w:t>党委副书记：陈汉铭</w:t>
      </w:r>
    </w:p>
    <w:p w14:paraId="4A244000">
      <w:pPr>
        <w:rPr>
          <w:rFonts w:hint="eastAsia" w:hAnsi="宋体" w:eastAsia="宋体" w:cs="宋体"/>
          <w:b w:val="0"/>
          <w:bCs w:val="0"/>
          <w:highlight w:val="none"/>
          <w:lang w:eastAsia="zh-CN"/>
        </w:rPr>
      </w:pPr>
      <w:r>
        <w:rPr>
          <w:rFonts w:hint="eastAsia" w:hAnsi="宋体" w:cs="宋体"/>
          <w:b w:val="0"/>
          <w:bCs w:val="0"/>
          <w:highlight w:val="none"/>
        </w:rPr>
        <w:t>纪委书记：叶</w:t>
      </w:r>
      <w:r>
        <w:rPr>
          <w:rFonts w:hint="eastAsia" w:hAnsi="宋体" w:cs="宋体"/>
          <w:b w:val="0"/>
          <w:bCs w:val="0"/>
          <w:highlight w:val="none"/>
          <w:lang w:val="en-US" w:eastAsia="zh-CN"/>
        </w:rPr>
        <w:t xml:space="preserve">  </w:t>
      </w:r>
      <w:r>
        <w:rPr>
          <w:rFonts w:hint="eastAsia" w:hAnsi="宋体" w:cs="宋体"/>
          <w:b w:val="0"/>
          <w:bCs w:val="0"/>
          <w:highlight w:val="none"/>
        </w:rPr>
        <w:t>艳</w:t>
      </w:r>
    </w:p>
    <w:p w14:paraId="38ABFCFE">
      <w:pPr>
        <w:rPr>
          <w:rFonts w:hint="eastAsia" w:hAnsi="宋体" w:eastAsia="宋体" w:cs="宋体"/>
          <w:b w:val="0"/>
          <w:bCs w:val="0"/>
          <w:highlight w:val="none"/>
          <w:lang w:eastAsia="zh-CN"/>
        </w:rPr>
      </w:pPr>
      <w:r>
        <w:rPr>
          <w:rFonts w:hint="eastAsia" w:hAnsi="宋体" w:cs="宋体"/>
          <w:b w:val="0"/>
          <w:bCs w:val="0"/>
          <w:highlight w:val="none"/>
        </w:rPr>
        <w:t>组织委员：林庆庆</w:t>
      </w:r>
    </w:p>
    <w:p w14:paraId="3EE08CB5">
      <w:pPr>
        <w:rPr>
          <w:rFonts w:hint="eastAsia" w:hAnsi="宋体" w:eastAsia="宋体" w:cs="宋体"/>
          <w:b w:val="0"/>
          <w:bCs w:val="0"/>
          <w:highlight w:val="none"/>
          <w:lang w:eastAsia="zh-CN"/>
        </w:rPr>
      </w:pPr>
      <w:r>
        <w:rPr>
          <w:rFonts w:hint="eastAsia" w:hAnsi="宋体" w:cs="宋体"/>
          <w:b w:val="0"/>
          <w:bCs w:val="0"/>
          <w:highlight w:val="none"/>
        </w:rPr>
        <w:t>宣传委员：徐</w:t>
      </w:r>
      <w:r>
        <w:rPr>
          <w:rFonts w:hint="eastAsia" w:hAnsi="宋体" w:cs="宋体"/>
          <w:b w:val="0"/>
          <w:bCs w:val="0"/>
          <w:highlight w:val="none"/>
          <w:lang w:val="en-US" w:eastAsia="zh-CN"/>
        </w:rPr>
        <w:t xml:space="preserve">  </w:t>
      </w:r>
      <w:r>
        <w:rPr>
          <w:rFonts w:hint="eastAsia" w:hAnsi="宋体" w:cs="宋体"/>
          <w:b w:val="0"/>
          <w:bCs w:val="0"/>
          <w:highlight w:val="none"/>
        </w:rPr>
        <w:t>帆</w:t>
      </w:r>
    </w:p>
    <w:p w14:paraId="16743A65">
      <w:pPr>
        <w:rPr>
          <w:rFonts w:hint="eastAsia" w:hAnsi="宋体" w:eastAsia="宋体" w:cs="宋体"/>
          <w:b w:val="0"/>
          <w:bCs w:val="0"/>
          <w:highlight w:val="none"/>
          <w:lang w:eastAsia="zh-CN"/>
        </w:rPr>
      </w:pPr>
      <w:r>
        <w:rPr>
          <w:rFonts w:hint="eastAsia" w:hAnsi="宋体" w:cs="宋体"/>
          <w:b w:val="0"/>
          <w:bCs w:val="0"/>
          <w:highlight w:val="none"/>
        </w:rPr>
        <w:t>人大副主席：张熙斌</w:t>
      </w:r>
    </w:p>
    <w:p w14:paraId="763258CB">
      <w:pPr>
        <w:rPr>
          <w:rFonts w:hint="eastAsia" w:hAnsi="宋体" w:eastAsia="宋体" w:cs="宋体"/>
          <w:b w:val="0"/>
          <w:bCs w:val="0"/>
          <w:highlight w:val="none"/>
          <w:lang w:eastAsia="zh-CN"/>
        </w:rPr>
      </w:pPr>
      <w:r>
        <w:rPr>
          <w:rFonts w:hint="eastAsia" w:hAnsi="宋体" w:cs="宋体"/>
          <w:b w:val="0"/>
          <w:bCs w:val="0"/>
          <w:highlight w:val="none"/>
        </w:rPr>
        <w:t>武装部长：邓汝和</w:t>
      </w:r>
    </w:p>
    <w:p w14:paraId="2A7A5978">
      <w:pPr>
        <w:rPr>
          <w:rFonts w:hint="eastAsia" w:hAnsi="宋体" w:eastAsia="宋体" w:cs="宋体"/>
          <w:highlight w:val="none"/>
          <w:lang w:eastAsia="zh-CN"/>
        </w:rPr>
      </w:pPr>
      <w:r>
        <w:rPr>
          <w:rFonts w:hint="eastAsia" w:hAnsi="宋体" w:cs="宋体"/>
          <w:highlight w:val="none"/>
        </w:rPr>
        <w:t>综治办专职副主任：周序海</w:t>
      </w:r>
    </w:p>
    <w:p w14:paraId="64847425">
      <w:pPr>
        <w:rPr>
          <w:rFonts w:hint="eastAsia" w:hAnsi="宋体" w:eastAsia="宋体" w:cs="宋体"/>
          <w:highlight w:val="none"/>
          <w:lang w:eastAsia="zh-CN"/>
        </w:rPr>
      </w:pPr>
      <w:r>
        <w:rPr>
          <w:rFonts w:hint="eastAsia" w:hAnsi="宋体" w:cs="宋体"/>
          <w:highlight w:val="none"/>
        </w:rPr>
        <w:t>副镇长：陈永春</w:t>
      </w:r>
    </w:p>
    <w:p w14:paraId="6A0121AB">
      <w:pPr>
        <w:pStyle w:val="3"/>
        <w:bidi w:val="0"/>
        <w:rPr>
          <w:rFonts w:hint="eastAsia"/>
          <w:highlight w:val="none"/>
        </w:rPr>
      </w:pPr>
      <w:r>
        <w:rPr>
          <w:rFonts w:hint="eastAsia"/>
          <w:highlight w:val="none"/>
        </w:rPr>
        <w:t>古市镇</w:t>
      </w:r>
    </w:p>
    <w:p w14:paraId="2B492DA6">
      <w:pPr>
        <w:pStyle w:val="4"/>
        <w:bidi w:val="0"/>
        <w:rPr>
          <w:rFonts w:hint="eastAsia"/>
          <w:highlight w:val="none"/>
        </w:rPr>
      </w:pPr>
      <w:r>
        <w:rPr>
          <w:rFonts w:hint="eastAsia"/>
          <w:highlight w:val="none"/>
        </w:rPr>
        <w:t>【概况】</w:t>
      </w:r>
    </w:p>
    <w:p w14:paraId="5E20772B">
      <w:pPr>
        <w:rPr>
          <w:rFonts w:hint="eastAsia" w:hAnsi="宋体" w:cs="宋体"/>
          <w:highlight w:val="none"/>
        </w:rPr>
      </w:pPr>
      <w:r>
        <w:rPr>
          <w:rFonts w:hint="eastAsia" w:hAnsi="宋体" w:cs="宋体"/>
          <w:highlight w:val="none"/>
        </w:rPr>
        <w:t>古市镇位于南雄市的南部，左邻主田，南与始兴交接，北与全安、雄州交接。距市区9公里，有修仁、古市、丹布、溪口、小坑、三角岭、柴岭、丰源8个村委会和1个社区居委会，123个村小组，总人口21101人，总户数4861户，其中农业人口19623人，总面积100.4平方公里，其中耕地面积1695.93公顷。国道G323线穿镇而过，8个村通公路，各村委会均实现办公用房楼房化。农业生产主要以种植黄烟、水稻、花生为主。2015年古市镇实现农村经济总收入4.08亿元，农民人均纯收入11240元，是南雄黄烟生产大镇。</w:t>
      </w:r>
    </w:p>
    <w:p w14:paraId="33BC31BA">
      <w:pPr>
        <w:pStyle w:val="4"/>
        <w:bidi w:val="0"/>
        <w:rPr>
          <w:rFonts w:hint="eastAsia"/>
          <w:highlight w:val="none"/>
        </w:rPr>
      </w:pPr>
      <w:r>
        <w:rPr>
          <w:rFonts w:hint="eastAsia"/>
          <w:highlight w:val="none"/>
        </w:rPr>
        <w:t>【黄烟生产】</w:t>
      </w:r>
    </w:p>
    <w:p w14:paraId="60568F12">
      <w:pPr>
        <w:rPr>
          <w:rFonts w:hint="eastAsia" w:hAnsi="宋体" w:cs="宋体"/>
          <w:highlight w:val="none"/>
        </w:rPr>
      </w:pPr>
      <w:r>
        <w:rPr>
          <w:rFonts w:hint="eastAsia" w:hAnsi="宋体" w:cs="宋体"/>
          <w:highlight w:val="none"/>
        </w:rPr>
        <w:t>黄烟既是镇财政收入重要组成部分，又是增加农民收入最直接有效经济来源。2015年落实签订烟叶种植合同面积10400亩，建成烤烟房45间，收购烟叶1528.1吨，均价24.78元/公斤，收购资金达3786.6万元。</w:t>
      </w:r>
    </w:p>
    <w:p w14:paraId="50976E3C">
      <w:pPr>
        <w:pStyle w:val="4"/>
        <w:bidi w:val="0"/>
        <w:rPr>
          <w:rFonts w:hint="eastAsia"/>
          <w:highlight w:val="none"/>
        </w:rPr>
      </w:pPr>
      <w:r>
        <w:rPr>
          <w:rFonts w:hint="eastAsia"/>
          <w:highlight w:val="none"/>
        </w:rPr>
        <w:t>【农业农村经济】</w:t>
      </w:r>
    </w:p>
    <w:p w14:paraId="76007746">
      <w:pPr>
        <w:rPr>
          <w:rFonts w:hint="eastAsia" w:hAnsi="宋体" w:cs="宋体"/>
          <w:highlight w:val="none"/>
        </w:rPr>
      </w:pPr>
      <w:r>
        <w:rPr>
          <w:rFonts w:hint="eastAsia" w:hAnsi="宋体" w:cs="宋体"/>
          <w:highlight w:val="none"/>
        </w:rPr>
        <w:t>推广良种良法，发展优质稻，在丰源中坪村种植150亩，粮食高产示范基地取得成功，米香粘单产达到500公斤/亩，起到很好示范作用</w:t>
      </w:r>
      <w:r>
        <w:rPr>
          <w:rFonts w:hint="eastAsia" w:hAnsi="宋体" w:cs="宋体"/>
          <w:highlight w:val="none"/>
          <w:lang w:eastAsia="zh-CN"/>
        </w:rPr>
        <w:t>，</w:t>
      </w:r>
      <w:r>
        <w:rPr>
          <w:rFonts w:hint="eastAsia" w:hAnsi="宋体" w:cs="宋体"/>
          <w:highlight w:val="none"/>
        </w:rPr>
        <w:t>带动粮食种植技术日益提升，粮食产量提高。2015年，粮食总产11993吨，花生、大豆等经济作物获得丰收。</w:t>
      </w:r>
    </w:p>
    <w:p w14:paraId="470A4FCB">
      <w:pPr>
        <w:pStyle w:val="4"/>
        <w:bidi w:val="0"/>
        <w:rPr>
          <w:rFonts w:hint="eastAsia"/>
          <w:highlight w:val="none"/>
        </w:rPr>
      </w:pPr>
      <w:r>
        <w:rPr>
          <w:rFonts w:hint="eastAsia"/>
          <w:highlight w:val="none"/>
        </w:rPr>
        <w:t>【统计工作】</w:t>
      </w:r>
    </w:p>
    <w:p w14:paraId="58EF273F">
      <w:pPr>
        <w:rPr>
          <w:rFonts w:hint="eastAsia" w:hAnsi="宋体" w:cs="宋体"/>
          <w:highlight w:val="none"/>
        </w:rPr>
      </w:pPr>
      <w:r>
        <w:rPr>
          <w:rFonts w:hint="eastAsia" w:hAnsi="宋体" w:cs="宋体"/>
          <w:highlight w:val="none"/>
        </w:rPr>
        <w:t>完成农业、工业、固定资产以及劳动力统计，加强统计站基础建设工作，加强统计专用设备管理，按时完成年报、季报、月报的报送工作。全年完成固定资产投资2.86亿元，比2014年增加5600万元，增长24.3%。</w:t>
      </w:r>
    </w:p>
    <w:p w14:paraId="447CAE41">
      <w:pPr>
        <w:pStyle w:val="4"/>
        <w:bidi w:val="0"/>
        <w:rPr>
          <w:rFonts w:hint="eastAsia"/>
          <w:highlight w:val="none"/>
        </w:rPr>
      </w:pPr>
      <w:r>
        <w:rPr>
          <w:rFonts w:hint="eastAsia"/>
          <w:highlight w:val="none"/>
        </w:rPr>
        <w:t>【重点项目建设】</w:t>
      </w:r>
    </w:p>
    <w:p w14:paraId="0ADD2D34">
      <w:pPr>
        <w:rPr>
          <w:rFonts w:hint="eastAsia" w:hAnsi="宋体" w:cs="宋体"/>
          <w:highlight w:val="none"/>
        </w:rPr>
      </w:pPr>
      <w:r>
        <w:rPr>
          <w:rFonts w:hint="eastAsia" w:hAnsi="宋体" w:cs="宋体"/>
          <w:highlight w:val="none"/>
        </w:rPr>
        <w:t>通过招商引资，由客商全额投资600万元，新建一间能供应2万人饮用水自来水厂，现已全面完成总管铺设，并已经进行通水使用。</w:t>
      </w:r>
    </w:p>
    <w:p w14:paraId="689A7538">
      <w:pPr>
        <w:pStyle w:val="4"/>
        <w:bidi w:val="0"/>
        <w:rPr>
          <w:rFonts w:hint="eastAsia"/>
          <w:highlight w:val="none"/>
        </w:rPr>
      </w:pPr>
      <w:r>
        <w:rPr>
          <w:rFonts w:hint="eastAsia"/>
          <w:highlight w:val="none"/>
        </w:rPr>
        <w:t>【计划生育】</w:t>
      </w:r>
    </w:p>
    <w:p w14:paraId="0422ABB7">
      <w:pPr>
        <w:rPr>
          <w:rFonts w:hint="eastAsia" w:hAnsi="宋体" w:cs="宋体"/>
          <w:highlight w:val="none"/>
        </w:rPr>
      </w:pPr>
      <w:r>
        <w:rPr>
          <w:rFonts w:hint="eastAsia" w:hAnsi="宋体" w:cs="宋体"/>
          <w:highlight w:val="none"/>
        </w:rPr>
        <w:t>建立和完善计生工作机制，加强计生队伍建设，实行规范化管理。重点抓好计生例会等基础工作，加强流动人口管理，控制政策外生育。连续8年被韶关市及南雄市评为人口和计划生育工作先进单位。</w:t>
      </w:r>
    </w:p>
    <w:p w14:paraId="02C6F927">
      <w:pPr>
        <w:pStyle w:val="4"/>
        <w:bidi w:val="0"/>
        <w:rPr>
          <w:rFonts w:hint="eastAsia"/>
          <w:highlight w:val="none"/>
        </w:rPr>
      </w:pPr>
      <w:r>
        <w:rPr>
          <w:rFonts w:hint="eastAsia"/>
          <w:highlight w:val="none"/>
        </w:rPr>
        <w:t>【综治维稳】</w:t>
      </w:r>
    </w:p>
    <w:p w14:paraId="0D1A9378">
      <w:pPr>
        <w:rPr>
          <w:rFonts w:hint="eastAsia" w:hAnsi="宋体" w:cs="宋体"/>
          <w:highlight w:val="none"/>
        </w:rPr>
      </w:pPr>
      <w:r>
        <w:rPr>
          <w:rFonts w:hint="eastAsia" w:hAnsi="宋体" w:cs="宋体"/>
          <w:highlight w:val="none"/>
        </w:rPr>
        <w:t>在古市村委会创建“平安法制村”，并且在古市和溪口村成立由村威望高、做事公正的长者能人组成的“</w:t>
      </w:r>
      <w:r>
        <w:rPr>
          <w:rFonts w:hint="eastAsia" w:hAnsi="宋体" w:cs="宋体"/>
          <w:highlight w:val="none"/>
          <w:lang w:eastAsia="zh-CN"/>
        </w:rPr>
        <w:t>董事会</w:t>
      </w:r>
      <w:r>
        <w:rPr>
          <w:rFonts w:hint="eastAsia" w:hAnsi="宋体" w:cs="宋体"/>
          <w:highlight w:val="none"/>
        </w:rPr>
        <w:t>”，在法律框架调解社会矛盾，发挥群众自治组织化解矛盾作用，创建平安和谐社会。加强矛盾纠纷排查。2015年排查受理各类民事纠纷26件，涉及当事人83人，调解成功26件，成功率100%。</w:t>
      </w:r>
    </w:p>
    <w:p w14:paraId="2C2504B9">
      <w:pPr>
        <w:pStyle w:val="4"/>
        <w:bidi w:val="0"/>
        <w:rPr>
          <w:rFonts w:hint="eastAsia"/>
          <w:highlight w:val="none"/>
        </w:rPr>
      </w:pPr>
      <w:r>
        <w:rPr>
          <w:rFonts w:hint="eastAsia"/>
          <w:highlight w:val="none"/>
        </w:rPr>
        <w:t>【畜牧发展】</w:t>
      </w:r>
    </w:p>
    <w:p w14:paraId="2A108DA5">
      <w:pPr>
        <w:rPr>
          <w:rFonts w:hint="eastAsia" w:hAnsi="宋体" w:cs="宋体"/>
          <w:highlight w:val="none"/>
        </w:rPr>
      </w:pPr>
      <w:r>
        <w:rPr>
          <w:rFonts w:hint="eastAsia" w:hAnsi="宋体" w:cs="宋体"/>
          <w:highlight w:val="none"/>
        </w:rPr>
        <w:t>2015年全镇牲畜存栏9863头，100%佩戴二维耳标；家禽存栏5800羽，实际免疫率100%。没有发生动物疫情，畜牧业健康发展。</w:t>
      </w:r>
    </w:p>
    <w:p w14:paraId="68E76A26">
      <w:pPr>
        <w:pStyle w:val="4"/>
        <w:bidi w:val="0"/>
        <w:rPr>
          <w:rFonts w:hint="eastAsia"/>
          <w:highlight w:val="none"/>
        </w:rPr>
      </w:pPr>
      <w:r>
        <w:rPr>
          <w:rFonts w:hint="eastAsia"/>
          <w:highlight w:val="none"/>
        </w:rPr>
        <w:t>【扶贫“双到”】</w:t>
      </w:r>
    </w:p>
    <w:p w14:paraId="5439FE34">
      <w:pPr>
        <w:rPr>
          <w:rFonts w:hint="eastAsia" w:hAnsi="宋体" w:cs="宋体"/>
          <w:highlight w:val="none"/>
        </w:rPr>
      </w:pPr>
      <w:r>
        <w:rPr>
          <w:rFonts w:hint="eastAsia" w:hAnsi="宋体" w:cs="宋体"/>
          <w:highlight w:val="none"/>
        </w:rPr>
        <w:t>柴岭、小坑、三角岭等3个贫困村扶贫工作扎实推进，3个重点帮扶村村民人均纯收入达到12874元，达到2015年全省人均纯收入的60%以上水平。3个重点帮扶村完成资金投入达2028万元，其中入股浈江电业和城投资金达230万元。贫困村落后面貌得到明显转变。</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0AB96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2FDC10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79650"/>
                  <wp:effectExtent l="0" t="0" r="8890" b="6350"/>
                  <wp:docPr id="125" name="图片 301" descr="古市镇调研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01" descr="古市镇调研工作"/>
                          <pic:cNvPicPr>
                            <a:picLocks noChangeAspect="1"/>
                          </pic:cNvPicPr>
                        </pic:nvPicPr>
                        <pic:blipFill>
                          <a:blip r:embed="rId130"/>
                          <a:stretch>
                            <a:fillRect/>
                          </a:stretch>
                        </pic:blipFill>
                        <pic:spPr>
                          <a:xfrm>
                            <a:off x="0" y="0"/>
                            <a:ext cx="3420110" cy="2279650"/>
                          </a:xfrm>
                          <a:prstGeom prst="rect">
                            <a:avLst/>
                          </a:prstGeom>
                          <a:noFill/>
                          <a:ln>
                            <a:noFill/>
                          </a:ln>
                        </pic:spPr>
                      </pic:pic>
                    </a:graphicData>
                  </a:graphic>
                </wp:inline>
              </w:drawing>
            </w:r>
          </w:p>
        </w:tc>
      </w:tr>
      <w:tr w14:paraId="5BC81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847F31C">
            <w:pPr>
              <w:jc w:val="center"/>
              <w:rPr>
                <w:rFonts w:hint="eastAsia" w:hAnsi="宋体" w:cs="宋体"/>
                <w:highlight w:val="none"/>
                <w:vertAlign w:val="baseline"/>
              </w:rPr>
            </w:pPr>
            <w:r>
              <w:rPr>
                <w:rFonts w:hint="eastAsia" w:hAnsi="宋体" w:cs="宋体"/>
                <w:highlight w:val="none"/>
                <w:vertAlign w:val="baseline"/>
              </w:rPr>
              <w:t>市委常委、纪委书记谢志铎（左二）到古市镇调研工作</w:t>
            </w:r>
          </w:p>
        </w:tc>
      </w:tr>
    </w:tbl>
    <w:p w14:paraId="1004A693">
      <w:pPr>
        <w:pStyle w:val="4"/>
        <w:bidi w:val="0"/>
        <w:rPr>
          <w:rFonts w:hint="eastAsia"/>
          <w:highlight w:val="none"/>
        </w:rPr>
      </w:pPr>
      <w:r>
        <w:rPr>
          <w:rFonts w:hint="eastAsia"/>
          <w:highlight w:val="none"/>
        </w:rPr>
        <w:t>【农业农村基础设施建设】</w:t>
      </w:r>
    </w:p>
    <w:p w14:paraId="70067314">
      <w:pPr>
        <w:rPr>
          <w:rFonts w:hint="eastAsia" w:hAnsi="宋体" w:cs="宋体"/>
          <w:highlight w:val="none"/>
        </w:rPr>
      </w:pPr>
      <w:r>
        <w:rPr>
          <w:rFonts w:hint="eastAsia" w:hAnsi="宋体" w:cs="宋体"/>
          <w:highlight w:val="none"/>
        </w:rPr>
        <w:t>2015年争取省级指标3.86公里，争取贫困村道路硬底化指标7公里，实施村道硬化达到10.86公里。</w:t>
      </w:r>
    </w:p>
    <w:p w14:paraId="4F120D3A">
      <w:pPr>
        <w:pStyle w:val="4"/>
        <w:bidi w:val="0"/>
        <w:rPr>
          <w:rFonts w:hint="eastAsia"/>
          <w:highlight w:val="none"/>
        </w:rPr>
      </w:pPr>
      <w:r>
        <w:rPr>
          <w:rFonts w:hint="eastAsia"/>
          <w:highlight w:val="none"/>
        </w:rPr>
        <w:t>【国土资源】</w:t>
      </w:r>
    </w:p>
    <w:p w14:paraId="3D611631">
      <w:pPr>
        <w:rPr>
          <w:rFonts w:hint="eastAsia" w:hAnsi="宋体" w:cs="宋体"/>
          <w:highlight w:val="none"/>
        </w:rPr>
      </w:pPr>
      <w:r>
        <w:rPr>
          <w:rFonts w:hint="eastAsia" w:hAnsi="宋体" w:cs="宋体"/>
          <w:highlight w:val="none"/>
        </w:rPr>
        <w:t>加强对违法用地建房巡查力度，2015年全镇制止53宗非法占地建房的行为，并发出54份《责令停止土地违法行为通知书》，开展专项执法行动4次，对4宗违法建筑进行拆除处理，有效遏制违法占用耕地建房行为发生。及时调处涉土类信访及土地纠纷处理工作，调处23宗涉土类纠纷。</w:t>
      </w:r>
    </w:p>
    <w:p w14:paraId="7D382C76">
      <w:pPr>
        <w:pStyle w:val="4"/>
        <w:bidi w:val="0"/>
        <w:rPr>
          <w:rFonts w:hint="eastAsia"/>
          <w:highlight w:val="none"/>
        </w:rPr>
      </w:pPr>
      <w:r>
        <w:rPr>
          <w:rFonts w:hint="eastAsia"/>
          <w:highlight w:val="none"/>
        </w:rPr>
        <w:t>【林业生态发展】</w:t>
      </w:r>
    </w:p>
    <w:p w14:paraId="64B11D86">
      <w:pPr>
        <w:rPr>
          <w:rFonts w:hint="eastAsia" w:hAnsi="宋体" w:cs="宋体"/>
          <w:highlight w:val="none"/>
        </w:rPr>
      </w:pPr>
      <w:r>
        <w:rPr>
          <w:rFonts w:hint="eastAsia" w:hAnsi="宋体" w:cs="宋体"/>
          <w:highlight w:val="none"/>
        </w:rPr>
        <w:t>在“新一轮绿化南雄大行动”有利时机，加大造林绿化、林政巡查和管理工作力度，完成碳汇工程林改造1350亩，组织各村新增造林250亩。加大生态公益林补贴资金发放，调动村民护林防火积极性，全年没有发生较大森林火灾。</w:t>
      </w:r>
    </w:p>
    <w:p w14:paraId="7A511553">
      <w:pPr>
        <w:pStyle w:val="4"/>
        <w:bidi w:val="0"/>
        <w:rPr>
          <w:rFonts w:hint="eastAsia"/>
          <w:highlight w:val="none"/>
        </w:rPr>
      </w:pPr>
      <w:r>
        <w:rPr>
          <w:rFonts w:hint="eastAsia"/>
          <w:highlight w:val="none"/>
        </w:rPr>
        <w:t>【各村委会基本情况】</w:t>
      </w:r>
    </w:p>
    <w:p w14:paraId="4C0C2B36">
      <w:pPr>
        <w:rPr>
          <w:rFonts w:hint="eastAsia" w:hAnsi="宋体" w:cs="宋体"/>
          <w:b/>
          <w:highlight w:val="none"/>
        </w:rPr>
      </w:pPr>
      <w:r>
        <w:rPr>
          <w:rFonts w:hint="eastAsia" w:hAnsi="宋体" w:cs="宋体"/>
          <w:b/>
          <w:highlight w:val="none"/>
        </w:rPr>
        <w:t>古市村</w:t>
      </w:r>
      <w:r>
        <w:rPr>
          <w:rFonts w:hint="eastAsia" w:hAnsi="宋体" w:cs="宋体"/>
          <w:b/>
          <w:highlight w:val="none"/>
          <w:lang w:val="en-US" w:eastAsia="zh-CN"/>
        </w:rPr>
        <w:t xml:space="preserve">  </w:t>
      </w:r>
      <w:r>
        <w:rPr>
          <w:rFonts w:hint="eastAsia" w:hAnsi="宋体" w:cs="宋体"/>
          <w:highlight w:val="none"/>
        </w:rPr>
        <w:t>位于古市镇政府西偏北10°，距离镇政府约2公里。辖区共31个村小组，人口总数3617人，共872户，其中劳动力总数为2256人。耕地面积362.8公顷。主要农作物有黄烟、水稻、花生、番薯。主要牲畜为鸡、鸭、猪、牛</w:t>
      </w:r>
      <w:r>
        <w:rPr>
          <w:rFonts w:hint="eastAsia" w:hAnsi="宋体" w:cs="宋体"/>
          <w:b/>
          <w:highlight w:val="none"/>
        </w:rPr>
        <w:t>。</w:t>
      </w:r>
    </w:p>
    <w:p w14:paraId="646D3BD6">
      <w:pPr>
        <w:rPr>
          <w:rFonts w:hint="eastAsia" w:hAnsi="宋体" w:cs="宋体"/>
          <w:b/>
          <w:highlight w:val="none"/>
        </w:rPr>
      </w:pPr>
      <w:r>
        <w:rPr>
          <w:rFonts w:hint="eastAsia" w:hAnsi="宋体" w:cs="宋体"/>
          <w:b/>
          <w:highlight w:val="none"/>
        </w:rPr>
        <w:t>丹布村</w:t>
      </w:r>
      <w:r>
        <w:rPr>
          <w:rFonts w:hint="eastAsia" w:hAnsi="宋体" w:cs="宋体"/>
          <w:b/>
          <w:highlight w:val="none"/>
          <w:lang w:val="en-US" w:eastAsia="zh-CN"/>
        </w:rPr>
        <w:t xml:space="preserve">  </w:t>
      </w:r>
      <w:r>
        <w:rPr>
          <w:rFonts w:hint="eastAsia" w:hAnsi="宋体" w:cs="宋体"/>
          <w:highlight w:val="none"/>
        </w:rPr>
        <w:t>位于古市镇政府正北方，距离镇政府约1公里。辖区共15个村小组，人口总数3956人，共921户，其中劳动力总数为2405人。耕地面积247.6公顷。主要农作物有黄烟、水稻、花生、番薯。主要牲畜为鸡、鸭、猪、牛</w:t>
      </w:r>
      <w:r>
        <w:rPr>
          <w:rFonts w:hint="eastAsia" w:hAnsi="宋体" w:cs="宋体"/>
          <w:b/>
          <w:highlight w:val="none"/>
        </w:rPr>
        <w:t>。</w:t>
      </w:r>
    </w:p>
    <w:p w14:paraId="044E6B09">
      <w:pPr>
        <w:rPr>
          <w:rFonts w:hint="eastAsia" w:hAnsi="宋体" w:cs="宋体"/>
          <w:b/>
          <w:highlight w:val="none"/>
        </w:rPr>
      </w:pPr>
      <w:r>
        <w:rPr>
          <w:rFonts w:hint="eastAsia" w:hAnsi="宋体" w:cs="宋体"/>
          <w:b/>
          <w:highlight w:val="none"/>
        </w:rPr>
        <w:t>溪口村</w:t>
      </w:r>
      <w:r>
        <w:rPr>
          <w:rFonts w:hint="eastAsia" w:hAnsi="宋体" w:cs="宋体"/>
          <w:b/>
          <w:highlight w:val="none"/>
          <w:lang w:val="en-US" w:eastAsia="zh-CN"/>
        </w:rPr>
        <w:t xml:space="preserve">  </w:t>
      </w:r>
      <w:r>
        <w:rPr>
          <w:rFonts w:hint="eastAsia" w:hAnsi="宋体" w:cs="宋体"/>
          <w:highlight w:val="none"/>
        </w:rPr>
        <w:t>位于古市镇政府北偏东40°，距离镇政府约3公里。辖区共20个村小组，人口总数3603人，共832户，其中劳动力总数为2182人。耕地面积258.67公顷。主要农作物有黄烟、水稻、花生、番薯。主要牲畜为鸡、鸭、猪、牛</w:t>
      </w:r>
      <w:r>
        <w:rPr>
          <w:rFonts w:hint="eastAsia" w:hAnsi="宋体" w:cs="宋体"/>
          <w:b/>
          <w:highlight w:val="none"/>
        </w:rPr>
        <w:t>。</w:t>
      </w:r>
    </w:p>
    <w:p w14:paraId="761B6583">
      <w:pPr>
        <w:rPr>
          <w:rFonts w:hint="eastAsia" w:hAnsi="宋体" w:cs="宋体"/>
          <w:b/>
          <w:highlight w:val="none"/>
        </w:rPr>
      </w:pPr>
      <w:r>
        <w:rPr>
          <w:rFonts w:hint="eastAsia" w:hAnsi="宋体" w:cs="宋体"/>
          <w:b/>
          <w:highlight w:val="none"/>
        </w:rPr>
        <w:t>修仁村</w:t>
      </w:r>
      <w:r>
        <w:rPr>
          <w:rFonts w:hint="eastAsia" w:hAnsi="宋体" w:cs="宋体"/>
          <w:b/>
          <w:highlight w:val="none"/>
          <w:lang w:val="en-US" w:eastAsia="zh-CN"/>
        </w:rPr>
        <w:t xml:space="preserve">  </w:t>
      </w:r>
      <w:r>
        <w:rPr>
          <w:rFonts w:hint="eastAsia" w:hAnsi="宋体" w:cs="宋体"/>
          <w:highlight w:val="none"/>
        </w:rPr>
        <w:t>位于古市镇政府北偏东15°，距离镇政府约5公里。辖区共14个村小组，人口总数2990人，共652户，其中劳动力总数为1733人。耕地面积183.33公顷。主要农作物有黄烟、水稻、花生、番薯。主要牲畜为鸡、鸭、猪、牛</w:t>
      </w:r>
      <w:r>
        <w:rPr>
          <w:rFonts w:hint="eastAsia" w:hAnsi="宋体" w:cs="宋体"/>
          <w:b/>
          <w:highlight w:val="none"/>
        </w:rPr>
        <w:t>。</w:t>
      </w:r>
    </w:p>
    <w:p w14:paraId="22AFDF0D">
      <w:pPr>
        <w:rPr>
          <w:rFonts w:hint="eastAsia" w:hAnsi="宋体" w:cs="宋体"/>
          <w:b/>
          <w:highlight w:val="none"/>
        </w:rPr>
      </w:pPr>
      <w:r>
        <w:rPr>
          <w:rFonts w:hint="eastAsia" w:hAnsi="宋体" w:cs="宋体"/>
          <w:b/>
          <w:highlight w:val="none"/>
        </w:rPr>
        <w:t>丰源村</w:t>
      </w:r>
      <w:r>
        <w:rPr>
          <w:rFonts w:hint="eastAsia" w:hAnsi="宋体" w:cs="宋体"/>
          <w:b/>
          <w:highlight w:val="none"/>
          <w:lang w:val="en-US" w:eastAsia="zh-CN"/>
        </w:rPr>
        <w:t xml:space="preserve">  </w:t>
      </w:r>
      <w:r>
        <w:rPr>
          <w:rFonts w:hint="eastAsia" w:hAnsi="宋体" w:cs="宋体"/>
          <w:highlight w:val="none"/>
        </w:rPr>
        <w:t>位于古市镇政府北偏东15°，距离镇政府约7公里。辖区共14个村小组，人口总数2975人，共647户，其中劳动力总数为1705人。耕地面积173.33公顷。主要农作物有黄烟、水稻、花生、番薯。主要牲畜为鸡、鸭、猪、牛</w:t>
      </w:r>
      <w:r>
        <w:rPr>
          <w:rFonts w:hint="eastAsia" w:hAnsi="宋体" w:cs="宋体"/>
          <w:b/>
          <w:highlight w:val="none"/>
        </w:rPr>
        <w:t>。</w:t>
      </w:r>
    </w:p>
    <w:p w14:paraId="034BFEEB">
      <w:pPr>
        <w:rPr>
          <w:rFonts w:hint="eastAsia" w:hAnsi="宋体" w:cs="宋体"/>
          <w:b/>
          <w:highlight w:val="none"/>
        </w:rPr>
      </w:pPr>
      <w:r>
        <w:rPr>
          <w:rFonts w:hint="eastAsia" w:hAnsi="宋体" w:cs="宋体"/>
          <w:b/>
          <w:highlight w:val="none"/>
        </w:rPr>
        <w:t>柴岭村</w:t>
      </w:r>
      <w:r>
        <w:rPr>
          <w:rFonts w:hint="eastAsia" w:hAnsi="宋体" w:cs="宋体"/>
          <w:b/>
          <w:highlight w:val="none"/>
          <w:lang w:val="en-US" w:eastAsia="zh-CN"/>
        </w:rPr>
        <w:t xml:space="preserve">  </w:t>
      </w:r>
      <w:r>
        <w:rPr>
          <w:rFonts w:hint="eastAsia" w:hAnsi="宋体" w:cs="宋体"/>
          <w:highlight w:val="none"/>
        </w:rPr>
        <w:t>位于古市镇政府正北方，距离镇政府约6公里。辖区共13个村小组，人口总数1597人，共356户，其中劳动力总数为921人。耕地面积178.4公顷。主要农作物有黄烟、水稻、花生、番薯。主要牲畜为鸡、鸭、猪、牛</w:t>
      </w:r>
      <w:r>
        <w:rPr>
          <w:rFonts w:hint="eastAsia" w:hAnsi="宋体" w:cs="宋体"/>
          <w:b/>
          <w:highlight w:val="none"/>
        </w:rPr>
        <w:t>。</w:t>
      </w:r>
    </w:p>
    <w:p w14:paraId="32009D9F">
      <w:pPr>
        <w:rPr>
          <w:rFonts w:hint="eastAsia" w:hAnsi="宋体" w:cs="宋体"/>
          <w:b/>
          <w:highlight w:val="none"/>
        </w:rPr>
      </w:pPr>
      <w:r>
        <w:rPr>
          <w:rFonts w:hint="eastAsia" w:hAnsi="宋体" w:cs="宋体"/>
          <w:b/>
          <w:highlight w:val="none"/>
        </w:rPr>
        <w:t>小坑村</w:t>
      </w:r>
      <w:r>
        <w:rPr>
          <w:rFonts w:hint="eastAsia" w:hAnsi="宋体" w:cs="宋体"/>
          <w:b/>
          <w:highlight w:val="none"/>
          <w:lang w:val="en-US" w:eastAsia="zh-CN"/>
        </w:rPr>
        <w:t xml:space="preserve">  </w:t>
      </w:r>
      <w:r>
        <w:rPr>
          <w:rFonts w:hint="eastAsia" w:hAnsi="宋体" w:cs="宋体"/>
          <w:highlight w:val="none"/>
        </w:rPr>
        <w:t>位于古市镇政府南偏东20°，距离镇政府约17公里。辖区共11个村小组，人口总数1458人，共351户，其中劳动力总数为871人。耕地面积166.67公顷。主要农作物有黄烟、水稻、花生、番薯。主要牲畜为鸡、鸭、猪、牛。</w:t>
      </w:r>
    </w:p>
    <w:p w14:paraId="27EBD78D">
      <w:pPr>
        <w:rPr>
          <w:rFonts w:hint="eastAsia" w:hAnsi="宋体" w:eastAsia="宋体" w:cs="宋体"/>
          <w:highlight w:val="none"/>
          <w:lang w:eastAsia="zh-CN"/>
        </w:rPr>
      </w:pPr>
      <w:r>
        <w:rPr>
          <w:rFonts w:hint="eastAsia" w:hAnsi="宋体" w:cs="宋体"/>
          <w:b/>
          <w:highlight w:val="none"/>
        </w:rPr>
        <w:t>三角岭村</w:t>
      </w:r>
      <w:r>
        <w:rPr>
          <w:rFonts w:hint="eastAsia" w:hAnsi="宋体" w:cs="宋体"/>
          <w:b/>
          <w:highlight w:val="none"/>
          <w:lang w:val="en-US" w:eastAsia="zh-CN"/>
        </w:rPr>
        <w:t xml:space="preserve">  </w:t>
      </w:r>
      <w:r>
        <w:rPr>
          <w:rFonts w:hint="eastAsia" w:hAnsi="宋体" w:cs="宋体"/>
          <w:highlight w:val="none"/>
        </w:rPr>
        <w:t>位于古市镇政府南偏东20°，距离镇政府约15公里。辖区共5个村小组，人口总数905人，共230户，其中劳动力总数为551人。耕地面积125.13公顷。主要农作物有黄烟、水稻、花生、番薯。主要牲畜为鸡、鸭、猪、牛。（戴宏亮）</w:t>
      </w:r>
    </w:p>
    <w:p w14:paraId="60E9D46D">
      <w:pPr>
        <w:rPr>
          <w:rFonts w:hint="eastAsia" w:hAnsi="宋体" w:eastAsia="宋体" w:cs="宋体"/>
          <w:highlight w:val="none"/>
          <w:lang w:eastAsia="zh-CN"/>
        </w:rPr>
      </w:pPr>
      <w:r>
        <w:rPr>
          <w:rFonts w:hint="eastAsia" w:hAnsi="宋体" w:cs="宋体"/>
          <w:highlight w:val="none"/>
        </w:rPr>
        <w:t>附：2015年古市镇领导班子成员名单</w:t>
      </w:r>
    </w:p>
    <w:p w14:paraId="2C9F297E">
      <w:pPr>
        <w:rPr>
          <w:rFonts w:hint="eastAsia" w:hAnsi="宋体" w:eastAsia="宋体" w:cs="宋体"/>
          <w:b w:val="0"/>
          <w:bCs w:val="0"/>
          <w:highlight w:val="none"/>
          <w:lang w:eastAsia="zh-CN"/>
        </w:rPr>
      </w:pPr>
      <w:r>
        <w:rPr>
          <w:rFonts w:hint="eastAsia" w:hAnsi="宋体" w:cs="宋体"/>
          <w:b w:val="0"/>
          <w:bCs w:val="0"/>
          <w:highlight w:val="none"/>
        </w:rPr>
        <w:t>党委书记、人大主席</w:t>
      </w:r>
      <w:r>
        <w:rPr>
          <w:rFonts w:hint="eastAsia" w:hAnsi="宋体" w:cs="宋体"/>
          <w:b w:val="0"/>
          <w:bCs w:val="0"/>
          <w:highlight w:val="none"/>
          <w:lang w:eastAsia="zh-CN"/>
        </w:rPr>
        <w:t>：</w:t>
      </w:r>
      <w:r>
        <w:rPr>
          <w:rFonts w:hint="eastAsia" w:hAnsi="宋体" w:cs="宋体"/>
          <w:b w:val="0"/>
          <w:bCs w:val="0"/>
          <w:highlight w:val="none"/>
        </w:rPr>
        <w:t>吴少华</w:t>
      </w:r>
    </w:p>
    <w:p w14:paraId="47507D69">
      <w:pPr>
        <w:rPr>
          <w:rFonts w:hint="eastAsia" w:hAnsi="宋体" w:eastAsia="宋体" w:cs="宋体"/>
          <w:b w:val="0"/>
          <w:bCs w:val="0"/>
          <w:highlight w:val="none"/>
          <w:lang w:eastAsia="zh-CN"/>
        </w:rPr>
      </w:pPr>
      <w:r>
        <w:rPr>
          <w:rFonts w:hint="eastAsia" w:hAnsi="宋体" w:cs="宋体"/>
          <w:b w:val="0"/>
          <w:bCs w:val="0"/>
          <w:highlight w:val="none"/>
        </w:rPr>
        <w:t>党委副书记、镇长</w:t>
      </w:r>
      <w:r>
        <w:rPr>
          <w:rFonts w:hint="eastAsia" w:hAnsi="宋体" w:cs="宋体"/>
          <w:b w:val="0"/>
          <w:bCs w:val="0"/>
          <w:highlight w:val="none"/>
          <w:lang w:eastAsia="zh-CN"/>
        </w:rPr>
        <w:t>：</w:t>
      </w:r>
      <w:r>
        <w:rPr>
          <w:rFonts w:hint="eastAsia" w:hAnsi="宋体" w:cs="宋体"/>
          <w:b w:val="0"/>
          <w:bCs w:val="0"/>
          <w:highlight w:val="none"/>
        </w:rPr>
        <w:t>朱世平（任至9月）夏新坤（9月任）</w:t>
      </w:r>
    </w:p>
    <w:p w14:paraId="5A5441B3">
      <w:pPr>
        <w:rPr>
          <w:rFonts w:hint="eastAsia" w:hAnsi="宋体" w:eastAsia="宋体" w:cs="宋体"/>
          <w:b w:val="0"/>
          <w:bCs w:val="0"/>
          <w:highlight w:val="none"/>
          <w:lang w:eastAsia="zh-CN"/>
        </w:rPr>
      </w:pPr>
      <w:r>
        <w:rPr>
          <w:rFonts w:hint="eastAsia" w:hAnsi="宋体" w:cs="宋体"/>
          <w:b w:val="0"/>
          <w:bCs w:val="0"/>
          <w:highlight w:val="none"/>
        </w:rPr>
        <w:t>党委副书记</w:t>
      </w:r>
      <w:r>
        <w:rPr>
          <w:rFonts w:hint="eastAsia" w:hAnsi="宋体" w:cs="宋体"/>
          <w:b w:val="0"/>
          <w:bCs w:val="0"/>
          <w:highlight w:val="none"/>
          <w:lang w:eastAsia="zh-CN"/>
        </w:rPr>
        <w:t>：</w:t>
      </w:r>
      <w:r>
        <w:rPr>
          <w:rFonts w:hint="eastAsia" w:hAnsi="宋体" w:cs="宋体"/>
          <w:b w:val="0"/>
          <w:bCs w:val="0"/>
          <w:highlight w:val="none"/>
        </w:rPr>
        <w:t>王</w:t>
      </w:r>
      <w:r>
        <w:rPr>
          <w:rFonts w:hint="eastAsia" w:hAnsi="宋体" w:cs="宋体"/>
          <w:b w:val="0"/>
          <w:bCs w:val="0"/>
          <w:highlight w:val="none"/>
          <w:lang w:val="en-US" w:eastAsia="zh-CN"/>
        </w:rPr>
        <w:t xml:space="preserve">  </w:t>
      </w:r>
      <w:r>
        <w:rPr>
          <w:rFonts w:hint="eastAsia" w:hAnsi="宋体" w:cs="宋体"/>
          <w:b w:val="0"/>
          <w:bCs w:val="0"/>
          <w:highlight w:val="none"/>
        </w:rPr>
        <w:t>静</w:t>
      </w:r>
    </w:p>
    <w:p w14:paraId="64B07D41">
      <w:pPr>
        <w:rPr>
          <w:rFonts w:hint="eastAsia" w:hAnsi="宋体" w:eastAsia="宋体" w:cs="宋体"/>
          <w:b w:val="0"/>
          <w:bCs w:val="0"/>
          <w:highlight w:val="none"/>
          <w:lang w:eastAsia="zh-CN"/>
        </w:rPr>
      </w:pPr>
      <w:r>
        <w:rPr>
          <w:rFonts w:hint="eastAsia" w:hAnsi="宋体" w:cs="宋体"/>
          <w:b w:val="0"/>
          <w:bCs w:val="0"/>
          <w:highlight w:val="none"/>
        </w:rPr>
        <w:t>党委纪检书记：刘景琼</w:t>
      </w:r>
    </w:p>
    <w:p w14:paraId="4B9D7C07">
      <w:pPr>
        <w:rPr>
          <w:rFonts w:hint="eastAsia" w:hAnsi="宋体" w:eastAsia="宋体" w:cs="宋体"/>
          <w:b w:val="0"/>
          <w:bCs w:val="0"/>
          <w:highlight w:val="none"/>
          <w:lang w:eastAsia="zh-CN"/>
        </w:rPr>
      </w:pPr>
      <w:r>
        <w:rPr>
          <w:rFonts w:hint="eastAsia" w:hAnsi="宋体" w:cs="宋体"/>
          <w:b w:val="0"/>
          <w:bCs w:val="0"/>
          <w:highlight w:val="none"/>
        </w:rPr>
        <w:t>党委组织委员</w:t>
      </w:r>
      <w:r>
        <w:rPr>
          <w:rFonts w:hint="eastAsia" w:hAnsi="宋体" w:cs="宋体"/>
          <w:b w:val="0"/>
          <w:bCs w:val="0"/>
          <w:highlight w:val="none"/>
          <w:lang w:eastAsia="zh-CN"/>
        </w:rPr>
        <w:t>：</w:t>
      </w:r>
      <w:r>
        <w:rPr>
          <w:rFonts w:hint="eastAsia" w:hAnsi="宋体" w:cs="宋体"/>
          <w:b w:val="0"/>
          <w:bCs w:val="0"/>
          <w:highlight w:val="none"/>
        </w:rPr>
        <w:t>崔秋红</w:t>
      </w:r>
    </w:p>
    <w:p w14:paraId="373EA627">
      <w:pPr>
        <w:rPr>
          <w:rFonts w:hint="eastAsia" w:hAnsi="宋体" w:eastAsia="宋体" w:cs="宋体"/>
          <w:highlight w:val="none"/>
          <w:lang w:eastAsia="zh-CN"/>
        </w:rPr>
      </w:pPr>
      <w:r>
        <w:rPr>
          <w:rFonts w:hint="eastAsia" w:hAnsi="宋体" w:cs="宋体"/>
          <w:highlight w:val="none"/>
        </w:rPr>
        <w:t>党委宣传委员：周晓飞</w:t>
      </w:r>
    </w:p>
    <w:p w14:paraId="4F403828">
      <w:pPr>
        <w:rPr>
          <w:rFonts w:hint="eastAsia" w:hAnsi="宋体" w:eastAsia="宋体" w:cs="宋体"/>
          <w:highlight w:val="none"/>
          <w:lang w:eastAsia="zh-CN"/>
        </w:rPr>
      </w:pPr>
      <w:r>
        <w:rPr>
          <w:rFonts w:hint="eastAsia" w:hAnsi="宋体" w:cs="宋体"/>
          <w:highlight w:val="none"/>
        </w:rPr>
        <w:t>党委委员、人大副主席</w:t>
      </w:r>
      <w:r>
        <w:rPr>
          <w:rFonts w:hint="eastAsia" w:hAnsi="宋体" w:cs="宋体"/>
          <w:highlight w:val="none"/>
          <w:lang w:eastAsia="zh-CN"/>
        </w:rPr>
        <w:t>：</w:t>
      </w:r>
      <w:r>
        <w:rPr>
          <w:rFonts w:hint="eastAsia" w:hAnsi="宋体" w:cs="宋体"/>
          <w:highlight w:val="none"/>
        </w:rPr>
        <w:t>吴道连</w:t>
      </w:r>
    </w:p>
    <w:p w14:paraId="1880C13A">
      <w:pPr>
        <w:rPr>
          <w:rFonts w:hint="eastAsia" w:hAnsi="宋体" w:eastAsia="宋体" w:cs="宋体"/>
          <w:highlight w:val="none"/>
          <w:lang w:eastAsia="zh-CN"/>
        </w:rPr>
      </w:pPr>
      <w:r>
        <w:rPr>
          <w:rFonts w:hint="eastAsia" w:hAnsi="宋体" w:cs="宋体"/>
          <w:highlight w:val="none"/>
        </w:rPr>
        <w:t>党委委员、武装部长</w:t>
      </w:r>
      <w:r>
        <w:rPr>
          <w:rFonts w:hint="eastAsia" w:hAnsi="宋体" w:cs="宋体"/>
          <w:highlight w:val="none"/>
          <w:lang w:eastAsia="zh-CN"/>
        </w:rPr>
        <w:t>：</w:t>
      </w:r>
      <w:r>
        <w:rPr>
          <w:rFonts w:hint="eastAsia" w:hAnsi="宋体" w:cs="宋体"/>
          <w:highlight w:val="none"/>
        </w:rPr>
        <w:t>李祥宏</w:t>
      </w:r>
    </w:p>
    <w:p w14:paraId="1AFFD74A">
      <w:pPr>
        <w:rPr>
          <w:rFonts w:hint="eastAsia" w:hAnsi="宋体" w:eastAsia="宋体" w:cs="宋体"/>
          <w:highlight w:val="none"/>
          <w:lang w:eastAsia="zh-CN"/>
        </w:rPr>
      </w:pPr>
      <w:r>
        <w:rPr>
          <w:rFonts w:hint="eastAsia" w:hAnsi="宋体" w:cs="宋体"/>
          <w:highlight w:val="none"/>
        </w:rPr>
        <w:t>副镇长</w:t>
      </w:r>
      <w:r>
        <w:rPr>
          <w:rFonts w:hint="eastAsia" w:hAnsi="宋体" w:cs="宋体"/>
          <w:highlight w:val="none"/>
          <w:lang w:eastAsia="zh-CN"/>
        </w:rPr>
        <w:t>：</w:t>
      </w:r>
      <w:r>
        <w:rPr>
          <w:rFonts w:hint="eastAsia" w:hAnsi="宋体" w:cs="宋体"/>
          <w:highlight w:val="none"/>
        </w:rPr>
        <w:t>钟炎山 陈于军</w:t>
      </w:r>
    </w:p>
    <w:p w14:paraId="24A69300">
      <w:pPr>
        <w:pStyle w:val="3"/>
        <w:bidi w:val="0"/>
        <w:rPr>
          <w:rFonts w:hint="eastAsia"/>
          <w:highlight w:val="none"/>
        </w:rPr>
      </w:pPr>
      <w:r>
        <w:rPr>
          <w:rFonts w:hint="eastAsia"/>
          <w:highlight w:val="none"/>
        </w:rPr>
        <w:t>百顺镇</w:t>
      </w:r>
    </w:p>
    <w:p w14:paraId="265D8286">
      <w:pPr>
        <w:pStyle w:val="4"/>
        <w:bidi w:val="0"/>
        <w:rPr>
          <w:rFonts w:hint="eastAsia"/>
          <w:highlight w:val="none"/>
        </w:rPr>
      </w:pPr>
      <w:r>
        <w:rPr>
          <w:rFonts w:hint="eastAsia"/>
          <w:highlight w:val="none"/>
        </w:rPr>
        <w:t>【概况】</w:t>
      </w:r>
    </w:p>
    <w:p w14:paraId="7ABEC527">
      <w:pPr>
        <w:rPr>
          <w:rFonts w:hint="eastAsia" w:hAnsi="宋体" w:cs="宋体"/>
          <w:highlight w:val="none"/>
        </w:rPr>
      </w:pPr>
      <w:r>
        <w:rPr>
          <w:rFonts w:hint="eastAsia" w:hAnsi="宋体" w:cs="宋体"/>
          <w:highlight w:val="none"/>
        </w:rPr>
        <w:t>百顺镇地处南雄西北面，距市区58公里，是一个历史悠久的乡镇。几百年以上古村落不为少见，据考证，镇内黄屋城、朱安塘等村历史高达600年以上。隋代名将“右屯卫大将军”麦铁杖出生于此。位于百顺境内白竹片村，其香火龙远近闻名，被外界誉为“火龙”村，在省市举办的相关汇演中屡获殊荣，是国家第三批非物质文化遗产。</w:t>
      </w:r>
    </w:p>
    <w:p w14:paraId="4FB74DC5">
      <w:pPr>
        <w:rPr>
          <w:rFonts w:hint="eastAsia" w:hAnsi="宋体" w:cs="宋体"/>
          <w:highlight w:val="none"/>
        </w:rPr>
      </w:pPr>
      <w:r>
        <w:rPr>
          <w:rFonts w:hint="eastAsia" w:hAnsi="宋体" w:cs="宋体"/>
          <w:highlight w:val="none"/>
        </w:rPr>
        <w:t>境内交通便利，主要交通有省道S342线、S244线和县道X340线，各村实现水泥路。镇面积187.1平方公里，是个九山半水半分田山区镇。耕地面积759公顷，山地面积1933公顷，山林面积1766.7公顷，森林覆盖率80.4%。辖9个村委会和1个居委会，108个村小组，总户数3800户，总人口13166人，总劳动力8558人。境内水资源十分丰富，已兴建小水电站29座，装机容量10695千瓦，年发电量3200万千瓦时。地下蕴藏有丰富的铀矿、花岗岩石、稀土等资源。现有私营企业36家，以发电和以毛竹为原料加工筷子、竹丝为主，其中竹制品厂3家，年加工毛竹120万条。特产有冬笋、笋干、花豆、香菇以及杨梅等。</w:t>
      </w:r>
    </w:p>
    <w:p w14:paraId="49BE1C9C">
      <w:pPr>
        <w:pStyle w:val="4"/>
        <w:bidi w:val="0"/>
        <w:rPr>
          <w:rFonts w:hint="eastAsia"/>
          <w:highlight w:val="none"/>
        </w:rPr>
      </w:pPr>
      <w:r>
        <w:rPr>
          <w:rFonts w:hint="eastAsia"/>
          <w:highlight w:val="none"/>
        </w:rPr>
        <w:t>【经济社会发展】</w:t>
      </w:r>
    </w:p>
    <w:p w14:paraId="0AF0C9E5">
      <w:pPr>
        <w:rPr>
          <w:rFonts w:hint="eastAsia" w:hAnsi="宋体" w:cs="宋体"/>
          <w:highlight w:val="none"/>
        </w:rPr>
      </w:pPr>
      <w:r>
        <w:rPr>
          <w:rFonts w:hint="eastAsia" w:hAnsi="宋体" w:cs="宋体"/>
          <w:highlight w:val="none"/>
        </w:rPr>
        <w:t>2015年，百顺镇农村经济总收入实现1.63亿元，比上年增加2125万元，增长15%；农村人均纯收入9379元，比上年增加1294元，增长16%，达到预期目标。</w:t>
      </w:r>
    </w:p>
    <w:p w14:paraId="26FAAD08">
      <w:pPr>
        <w:pStyle w:val="4"/>
        <w:bidi w:val="0"/>
        <w:rPr>
          <w:rFonts w:hint="eastAsia"/>
          <w:highlight w:val="none"/>
        </w:rPr>
      </w:pPr>
      <w:r>
        <w:rPr>
          <w:rFonts w:hint="eastAsia"/>
          <w:highlight w:val="none"/>
        </w:rPr>
        <w:t>【特色农业】</w:t>
      </w:r>
    </w:p>
    <w:p w14:paraId="7C6B5667">
      <w:pPr>
        <w:rPr>
          <w:rFonts w:hint="eastAsia" w:hAnsi="宋体" w:cs="宋体"/>
          <w:highlight w:val="none"/>
        </w:rPr>
      </w:pPr>
      <w:r>
        <w:rPr>
          <w:rFonts w:hint="eastAsia" w:hAnsi="宋体" w:cs="宋体"/>
          <w:highlight w:val="none"/>
        </w:rPr>
        <w:t>2015年，百顺镇坚持继续走特色农业发展道路。引进清远富源工业小区发展有限公司发展山楂产业，着力打造成粤北最大的山楂生产、加工基地，采用“公司+基地+农户”发展模式，通过基地带农户逐渐形成1万亩山楂种植规模，目前，公司种植1800亩，农户种植700亩，培育新苗30万株。发展茶叶产业，利用东莞市沙田镇帮扶挂点联系溪头、杨梅村的有利契机，依托农业局专家技术力量，利用扶贫开发资金，在溪头、杨梅发展茶叶基地300亩，帮助广大群众脱贫致富。发展养殖肉牛、黑山羊、家鸡等特色畜禽，目前，位于邓洞村委会新地村小组芒东坑的养牛场已初具规模，占地2000余亩，养殖肉牛100余头。</w:t>
      </w:r>
    </w:p>
    <w:p w14:paraId="29BC9DCF">
      <w:pPr>
        <w:pStyle w:val="4"/>
        <w:bidi w:val="0"/>
        <w:rPr>
          <w:rFonts w:hint="eastAsia"/>
          <w:highlight w:val="none"/>
        </w:rPr>
      </w:pPr>
      <w:r>
        <w:rPr>
          <w:rFonts w:hint="eastAsia"/>
          <w:highlight w:val="none"/>
        </w:rPr>
        <w:t>【林业经济发展】</w:t>
      </w:r>
    </w:p>
    <w:p w14:paraId="663BF11B">
      <w:pPr>
        <w:rPr>
          <w:rFonts w:hint="eastAsia" w:hAnsi="宋体" w:cs="宋体"/>
          <w:highlight w:val="none"/>
        </w:rPr>
      </w:pPr>
      <w:r>
        <w:rPr>
          <w:rFonts w:hint="eastAsia" w:hAnsi="宋体" w:cs="宋体"/>
          <w:highlight w:val="none"/>
        </w:rPr>
        <w:t>百顺镇有林业资源，是南雄林业重镇，山林面积15401.8公顷，其中生态公益林4000余公顷，毛竹林16万亩。2015年，百顺镇推进林业经济持续发展。加大造林绿化力度，不断完成生态公益林树种更新，倡导农户人工造林，年增人工林2000多亩。提升林业效益，引导农户发展林下经济，实现增产增收。2015年林业收入达2000万元以上，其中年产冬笋、春笋近200万公斤，商品竹100多万根，毛竹产业增收1000多万元。</w:t>
      </w:r>
    </w:p>
    <w:p w14:paraId="5AFC619D">
      <w:pPr>
        <w:pStyle w:val="4"/>
        <w:bidi w:val="0"/>
        <w:rPr>
          <w:rFonts w:hint="eastAsia"/>
          <w:highlight w:val="none"/>
        </w:rPr>
      </w:pPr>
      <w:r>
        <w:rPr>
          <w:rFonts w:hint="eastAsia"/>
          <w:highlight w:val="none"/>
        </w:rPr>
        <w:t>【基础设施建设】</w:t>
      </w:r>
    </w:p>
    <w:p w14:paraId="3E2C84E0">
      <w:pPr>
        <w:rPr>
          <w:rFonts w:hint="eastAsia" w:hAnsi="宋体" w:cs="宋体"/>
          <w:highlight w:val="none"/>
        </w:rPr>
      </w:pPr>
      <w:r>
        <w:rPr>
          <w:rFonts w:hint="eastAsia" w:hAnsi="宋体" w:cs="宋体"/>
          <w:highlight w:val="none"/>
        </w:rPr>
        <w:t>加大农村道路硬化建设。2015年完成杨梅村大垇至黄屋、邓洞村新地至龙勾岭、大沙洲S244线至丰文村3条计13.2公里乡村道路硬底化工程。总投资200多万元建设百顺镇人民文化广场建成，广场总面积4760平方米，内设有篮球场、绿化带、休闲步道，是一个集休闲、娱乐、生态于一体的人民文化广场。筹资36万元改建三角丘至何屋、财政所至中小学2条路段计4.6公里道路路灯，安装灯杆高9米，亮度90瓦LED灯90盏，并引导各村委会筹集路灯管理资金，安装235盏路灯，改善农村公共区域夜间照明条件。</w:t>
      </w:r>
    </w:p>
    <w:p w14:paraId="6DA2530A">
      <w:pPr>
        <w:pStyle w:val="4"/>
        <w:bidi w:val="0"/>
        <w:rPr>
          <w:rFonts w:hint="eastAsia"/>
          <w:highlight w:val="none"/>
        </w:rPr>
      </w:pPr>
      <w:r>
        <w:rPr>
          <w:rFonts w:hint="eastAsia"/>
          <w:highlight w:val="none"/>
        </w:rPr>
        <w:t>【人口计生】</w:t>
      </w:r>
    </w:p>
    <w:p w14:paraId="30587BFC">
      <w:pPr>
        <w:rPr>
          <w:rFonts w:hint="eastAsia" w:hAnsi="宋体" w:cs="宋体"/>
          <w:highlight w:val="none"/>
        </w:rPr>
      </w:pPr>
      <w:r>
        <w:rPr>
          <w:rFonts w:hint="eastAsia" w:hAnsi="宋体" w:cs="宋体"/>
          <w:highlight w:val="none"/>
        </w:rPr>
        <w:t>2015年政策生育率90.82%，人口出生率15.06‰；人口出生性别比为104.17 ∶100，人口自然增长率9.45‰。</w:t>
      </w:r>
    </w:p>
    <w:p w14:paraId="3D672F82">
      <w:pPr>
        <w:pStyle w:val="4"/>
        <w:bidi w:val="0"/>
        <w:rPr>
          <w:rFonts w:hint="eastAsia"/>
          <w:highlight w:val="none"/>
        </w:rPr>
      </w:pPr>
      <w:r>
        <w:rPr>
          <w:rFonts w:hint="eastAsia"/>
          <w:highlight w:val="none"/>
        </w:rPr>
        <w:t>【扶贫“双到”】</w:t>
      </w:r>
    </w:p>
    <w:p w14:paraId="18A04591">
      <w:pPr>
        <w:rPr>
          <w:rFonts w:hint="eastAsia" w:hAnsi="宋体" w:cs="宋体"/>
          <w:highlight w:val="none"/>
        </w:rPr>
      </w:pPr>
      <w:r>
        <w:rPr>
          <w:rFonts w:hint="eastAsia" w:hAnsi="宋体" w:cs="宋体"/>
          <w:highlight w:val="none"/>
        </w:rPr>
        <w:t>2015年，通过帮扶杨梅、邓洞、溪头3个省级贫困村，贫困村村集体经济收入均已达7万元以上，贫困户人均纯收入达到7000多元，扶贫开发目标完成率达到100%。将扶贫“双到”工作与新农村建设、村庄整治工作有机结合，通过帮扶改变贫困村面貌。</w:t>
      </w:r>
    </w:p>
    <w:p w14:paraId="6A3E4697">
      <w:pPr>
        <w:pStyle w:val="4"/>
        <w:bidi w:val="0"/>
        <w:rPr>
          <w:rFonts w:hint="eastAsia"/>
          <w:highlight w:val="none"/>
        </w:rPr>
      </w:pPr>
      <w:r>
        <w:rPr>
          <w:rFonts w:hint="eastAsia"/>
          <w:highlight w:val="none"/>
        </w:rPr>
        <w:t>【社会保障】</w:t>
      </w:r>
    </w:p>
    <w:p w14:paraId="120B231B">
      <w:pPr>
        <w:rPr>
          <w:rFonts w:hint="eastAsia" w:hAnsi="宋体" w:cs="宋体"/>
          <w:highlight w:val="none"/>
        </w:rPr>
      </w:pPr>
      <w:r>
        <w:rPr>
          <w:rFonts w:hint="eastAsia" w:hAnsi="宋体" w:cs="宋体"/>
          <w:highlight w:val="none"/>
        </w:rPr>
        <w:t>2015年，全镇城乡居民医保参保10945人，总任务数完成比例100.41%；新农保续费和新参保人员有3601人，收缴保费61.02万元；领取养老金人数有3472人；完成企业职工养老保险扩面22人，占任务110%；基金征收23.7万元，占任务的338.57%。</w:t>
      </w:r>
    </w:p>
    <w:p w14:paraId="198C9BE0">
      <w:pPr>
        <w:pStyle w:val="4"/>
        <w:bidi w:val="0"/>
        <w:rPr>
          <w:rFonts w:hint="eastAsia"/>
          <w:highlight w:val="none"/>
        </w:rPr>
      </w:pPr>
      <w:r>
        <w:rPr>
          <w:rFonts w:hint="eastAsia"/>
          <w:highlight w:val="none"/>
        </w:rPr>
        <w:t>【党风廉政建设】</w:t>
      </w:r>
    </w:p>
    <w:p w14:paraId="491D7821">
      <w:pPr>
        <w:rPr>
          <w:rFonts w:hint="eastAsia" w:hAnsi="宋体" w:cs="宋体"/>
          <w:highlight w:val="none"/>
        </w:rPr>
      </w:pPr>
      <w:r>
        <w:rPr>
          <w:rFonts w:hint="eastAsia" w:hAnsi="宋体" w:cs="宋体"/>
          <w:highlight w:val="none"/>
        </w:rPr>
        <w:t>2015年，全镇各党支部培养积极分子12名，发展新党员10名，进一步优化党员队伍年龄结构和知识结构。进一步落实党风廉政建设责任制，全面加强党风廉政建设和反腐败斗争，推进领导干部作风建设，贯彻落实中央“三严三实”讲话精神。</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F4CA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6CAE3903">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477770"/>
                  <wp:effectExtent l="0" t="0" r="8890" b="17780"/>
                  <wp:docPr id="126" name="图片 302" descr="文化节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02" descr="文化节47"/>
                          <pic:cNvPicPr>
                            <a:picLocks noChangeAspect="1"/>
                          </pic:cNvPicPr>
                        </pic:nvPicPr>
                        <pic:blipFill>
                          <a:blip r:embed="rId131"/>
                          <a:stretch>
                            <a:fillRect/>
                          </a:stretch>
                        </pic:blipFill>
                        <pic:spPr>
                          <a:xfrm>
                            <a:off x="0" y="0"/>
                            <a:ext cx="3420110" cy="2477770"/>
                          </a:xfrm>
                          <a:prstGeom prst="rect">
                            <a:avLst/>
                          </a:prstGeom>
                          <a:noFill/>
                          <a:ln>
                            <a:noFill/>
                          </a:ln>
                        </pic:spPr>
                      </pic:pic>
                    </a:graphicData>
                  </a:graphic>
                </wp:inline>
              </w:drawing>
            </w:r>
          </w:p>
        </w:tc>
      </w:tr>
      <w:tr w14:paraId="35111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250915B">
            <w:pPr>
              <w:jc w:val="center"/>
              <w:rPr>
                <w:rFonts w:hint="eastAsia" w:hAnsi="宋体" w:cs="宋体"/>
                <w:highlight w:val="none"/>
                <w:vertAlign w:val="baseline"/>
              </w:rPr>
            </w:pPr>
            <w:r>
              <w:rPr>
                <w:rFonts w:hint="eastAsia" w:hAnsi="宋体" w:cs="宋体"/>
                <w:highlight w:val="none"/>
                <w:vertAlign w:val="baseline"/>
              </w:rPr>
              <w:t>百顺镇协办麦氏姓氏文化节</w:t>
            </w:r>
          </w:p>
        </w:tc>
      </w:tr>
    </w:tbl>
    <w:p w14:paraId="21FA9880">
      <w:pPr>
        <w:pStyle w:val="4"/>
        <w:bidi w:val="0"/>
        <w:rPr>
          <w:rFonts w:hint="eastAsia"/>
          <w:highlight w:val="none"/>
        </w:rPr>
      </w:pPr>
      <w:r>
        <w:rPr>
          <w:rFonts w:hint="eastAsia"/>
          <w:highlight w:val="none"/>
        </w:rPr>
        <w:t>【各村（居）委会基本情况】</w:t>
      </w:r>
    </w:p>
    <w:p w14:paraId="47AC1735">
      <w:pPr>
        <w:rPr>
          <w:rFonts w:hint="eastAsia" w:hAnsi="宋体" w:cs="宋体"/>
          <w:b/>
          <w:highlight w:val="none"/>
        </w:rPr>
      </w:pPr>
      <w:r>
        <w:rPr>
          <w:rFonts w:hint="eastAsia" w:hAnsi="宋体" w:cs="宋体"/>
          <w:b/>
          <w:highlight w:val="none"/>
        </w:rPr>
        <w:t>百顺村</w:t>
      </w:r>
      <w:r>
        <w:rPr>
          <w:rFonts w:hint="eastAsia" w:hAnsi="宋体" w:cs="宋体"/>
          <w:b/>
          <w:highlight w:val="none"/>
          <w:lang w:val="en-US" w:eastAsia="zh-CN"/>
        </w:rPr>
        <w:t xml:space="preserve">  </w:t>
      </w:r>
      <w:r>
        <w:rPr>
          <w:rFonts w:hint="eastAsia" w:hAnsi="宋体" w:cs="宋体"/>
          <w:highlight w:val="none"/>
        </w:rPr>
        <w:t>位于百顺墟，有27个村小组869户3345人，村干部6人，党员99人。林地面积78213亩，其中生态公益林12814亩，商品林42586亩，主要经济作物有水稻、花生、竹木、黄豆等。</w:t>
      </w:r>
    </w:p>
    <w:p w14:paraId="43968A90">
      <w:pPr>
        <w:rPr>
          <w:rFonts w:hint="eastAsia" w:hAnsi="宋体" w:cs="宋体"/>
          <w:b/>
          <w:highlight w:val="none"/>
        </w:rPr>
      </w:pPr>
      <w:r>
        <w:rPr>
          <w:rFonts w:hint="eastAsia" w:hAnsi="宋体" w:cs="宋体"/>
          <w:b/>
          <w:highlight w:val="none"/>
        </w:rPr>
        <w:t>大沙洲村</w:t>
      </w:r>
      <w:r>
        <w:rPr>
          <w:rFonts w:hint="eastAsia" w:hAnsi="宋体" w:cs="宋体"/>
          <w:b/>
          <w:highlight w:val="none"/>
          <w:lang w:val="en-US" w:eastAsia="zh-CN"/>
        </w:rPr>
        <w:t xml:space="preserve">  </w:t>
      </w:r>
      <w:r>
        <w:rPr>
          <w:rFonts w:hint="eastAsia" w:hAnsi="宋体" w:cs="宋体"/>
          <w:highlight w:val="none"/>
        </w:rPr>
        <w:t>位于省道S342线公路边，有10个村小组359户1420人。村干部5人，党员40人，村年集体收入9.6万元。耕地面积2492亩，林地面积30518亩。竹木资源丰富，地域广阔，电力资源充足。主要经济作物有水稻、花生、竹林、水电等</w:t>
      </w:r>
      <w:r>
        <w:rPr>
          <w:rFonts w:hint="eastAsia" w:hAnsi="宋体" w:cs="宋体"/>
          <w:b/>
          <w:highlight w:val="none"/>
        </w:rPr>
        <w:t>。</w:t>
      </w:r>
    </w:p>
    <w:p w14:paraId="138F892C">
      <w:pPr>
        <w:rPr>
          <w:rFonts w:hint="eastAsia" w:hAnsi="宋体" w:cs="宋体"/>
          <w:b/>
          <w:highlight w:val="none"/>
        </w:rPr>
      </w:pPr>
      <w:r>
        <w:rPr>
          <w:rFonts w:hint="eastAsia" w:hAnsi="宋体" w:cs="宋体"/>
          <w:b/>
          <w:highlight w:val="none"/>
        </w:rPr>
        <w:t>邓洞村</w:t>
      </w:r>
      <w:r>
        <w:rPr>
          <w:rFonts w:hint="eastAsia" w:hAnsi="宋体" w:cs="宋体"/>
          <w:b/>
          <w:highlight w:val="none"/>
          <w:lang w:val="en-US" w:eastAsia="zh-CN"/>
        </w:rPr>
        <w:t xml:space="preserve">  </w:t>
      </w:r>
      <w:r>
        <w:rPr>
          <w:rFonts w:hint="eastAsia" w:hAnsi="宋体" w:cs="宋体"/>
          <w:highlight w:val="none"/>
        </w:rPr>
        <w:t>位于百顺的西面，离镇政府17公里。有5个自然村7个村小组，209户793人，村干部4人，党员31人，村年集体收入9240元。耕地面积2474亩，林地面积31462亩。主要经济作物有水稻、花生、竹木、黄豆等</w:t>
      </w:r>
      <w:r>
        <w:rPr>
          <w:rFonts w:hint="eastAsia" w:hAnsi="宋体" w:cs="宋体"/>
          <w:b/>
          <w:highlight w:val="none"/>
        </w:rPr>
        <w:t>。</w:t>
      </w:r>
    </w:p>
    <w:p w14:paraId="5D544AC0">
      <w:pPr>
        <w:rPr>
          <w:rFonts w:hint="eastAsia" w:hAnsi="宋体" w:eastAsia="宋体" w:cs="宋体"/>
          <w:b/>
          <w:highlight w:val="none"/>
          <w:lang w:eastAsia="zh-CN"/>
        </w:rPr>
      </w:pPr>
      <w:r>
        <w:rPr>
          <w:rFonts w:hint="eastAsia" w:hAnsi="宋体" w:cs="宋体"/>
          <w:b/>
          <w:highlight w:val="none"/>
        </w:rPr>
        <w:t>东坑村</w:t>
      </w:r>
      <w:r>
        <w:rPr>
          <w:rFonts w:hint="eastAsia" w:hAnsi="宋体" w:cs="宋体"/>
          <w:b/>
          <w:highlight w:val="none"/>
          <w:lang w:val="en-US" w:eastAsia="zh-CN"/>
        </w:rPr>
        <w:t xml:space="preserve">  </w:t>
      </w:r>
      <w:r>
        <w:rPr>
          <w:rFonts w:hint="eastAsia" w:hAnsi="宋体" w:cs="宋体"/>
          <w:highlight w:val="none"/>
        </w:rPr>
        <w:t>有10个自然村小组，农户280户1074人，村委干部5人，党员32人。耕地面积1719亩，其中水田1011亩，山林总面积自营山16526亩，自留山1565亩，生态林4377亩。主要经济作物有水稻、花生、竹林、黄烟等</w:t>
      </w:r>
      <w:r>
        <w:rPr>
          <w:rFonts w:hint="eastAsia" w:hAnsi="宋体" w:cs="宋体"/>
          <w:b/>
          <w:highlight w:val="none"/>
        </w:rPr>
        <w:t>。</w:t>
      </w:r>
    </w:p>
    <w:p w14:paraId="22CE59BB">
      <w:pPr>
        <w:rPr>
          <w:rFonts w:hint="eastAsia" w:hAnsi="宋体" w:cs="宋体"/>
          <w:b/>
          <w:highlight w:val="none"/>
        </w:rPr>
      </w:pPr>
      <w:r>
        <w:rPr>
          <w:rFonts w:hint="eastAsia" w:hAnsi="宋体" w:cs="宋体"/>
          <w:b/>
          <w:highlight w:val="none"/>
        </w:rPr>
        <w:t>湖地村</w:t>
      </w:r>
      <w:r>
        <w:rPr>
          <w:rFonts w:hint="eastAsia" w:hAnsi="宋体" w:cs="宋体"/>
          <w:b/>
          <w:highlight w:val="none"/>
          <w:lang w:val="en-US" w:eastAsia="zh-CN"/>
        </w:rPr>
        <w:t xml:space="preserve">  </w:t>
      </w:r>
      <w:r>
        <w:rPr>
          <w:rFonts w:hint="eastAsia" w:hAnsi="宋体" w:cs="宋体"/>
          <w:highlight w:val="none"/>
        </w:rPr>
        <w:t>位于百顺镇南部，辖11个村民小组，全村369户1335人。现有村干部5人，党员48人。村集体收入10000元，主要经济作物有水稻、花生、竹木、黄豆等</w:t>
      </w:r>
      <w:r>
        <w:rPr>
          <w:rFonts w:hint="eastAsia" w:hAnsi="宋体" w:cs="宋体"/>
          <w:b/>
          <w:highlight w:val="none"/>
        </w:rPr>
        <w:t>。</w:t>
      </w:r>
    </w:p>
    <w:p w14:paraId="300D1D59">
      <w:pPr>
        <w:rPr>
          <w:rFonts w:hint="eastAsia" w:hAnsi="宋体" w:cs="宋体"/>
          <w:b/>
          <w:highlight w:val="none"/>
        </w:rPr>
      </w:pPr>
      <w:r>
        <w:rPr>
          <w:rFonts w:hint="eastAsia" w:hAnsi="宋体" w:cs="宋体"/>
          <w:b/>
          <w:highlight w:val="none"/>
        </w:rPr>
        <w:t>尚睦村</w:t>
      </w:r>
      <w:r>
        <w:rPr>
          <w:rFonts w:hint="eastAsia" w:hAnsi="宋体" w:cs="宋体"/>
          <w:b/>
          <w:highlight w:val="none"/>
          <w:lang w:val="en-US" w:eastAsia="zh-CN"/>
        </w:rPr>
        <w:t xml:space="preserve">  </w:t>
      </w:r>
      <w:r>
        <w:rPr>
          <w:rFonts w:hint="eastAsia" w:hAnsi="宋体" w:cs="宋体"/>
          <w:highlight w:val="none"/>
        </w:rPr>
        <w:t>位于省道S342线公路边，有7个村小组231户901人。村干部4人，党员34人。耕地面积1896亩，毛竹林7000亩；村委会建有小水电一座，装机容量300瓦时，各项经济收入30000多元。主要经济作物有水稻、花生、竹林、等。每年有固定收入村小组有5个，达到公路、照明、用电、电话、自来水村村通</w:t>
      </w:r>
      <w:r>
        <w:rPr>
          <w:rFonts w:hint="eastAsia" w:hAnsi="宋体" w:cs="宋体"/>
          <w:b/>
          <w:highlight w:val="none"/>
        </w:rPr>
        <w:t>。</w:t>
      </w:r>
    </w:p>
    <w:p w14:paraId="2700CEF5">
      <w:pPr>
        <w:rPr>
          <w:rFonts w:hint="eastAsia" w:hAnsi="宋体" w:cs="宋体"/>
          <w:b/>
          <w:highlight w:val="none"/>
        </w:rPr>
      </w:pPr>
      <w:r>
        <w:rPr>
          <w:rFonts w:hint="eastAsia" w:hAnsi="宋体" w:cs="宋体"/>
          <w:b/>
          <w:highlight w:val="none"/>
        </w:rPr>
        <w:t>溪头村</w:t>
      </w:r>
      <w:r>
        <w:rPr>
          <w:rFonts w:hint="eastAsia" w:hAnsi="宋体" w:cs="宋体"/>
          <w:b/>
          <w:highlight w:val="none"/>
          <w:lang w:val="en-US" w:eastAsia="zh-CN"/>
        </w:rPr>
        <w:t xml:space="preserve">  </w:t>
      </w:r>
      <w:r>
        <w:rPr>
          <w:rFonts w:hint="eastAsia" w:hAnsi="宋体" w:cs="宋体"/>
          <w:highlight w:val="none"/>
        </w:rPr>
        <w:t>有12个自然村，325户1250人。村干部5人，党员44人。耕地面积1638亩，其中水田1066亩，旱田366亩。山林面积39204亩，责任山23490亩，生态公益林14110亩。主要农作物是水稻、花生、竹林、黄豆等</w:t>
      </w:r>
      <w:r>
        <w:rPr>
          <w:rFonts w:hint="eastAsia" w:hAnsi="宋体" w:cs="宋体"/>
          <w:b/>
          <w:highlight w:val="none"/>
        </w:rPr>
        <w:t>。</w:t>
      </w:r>
    </w:p>
    <w:p w14:paraId="31F8315A">
      <w:pPr>
        <w:rPr>
          <w:rFonts w:hint="eastAsia" w:hAnsi="宋体" w:cs="宋体"/>
          <w:b/>
          <w:highlight w:val="none"/>
        </w:rPr>
      </w:pPr>
      <w:r>
        <w:rPr>
          <w:rFonts w:hint="eastAsia" w:hAnsi="宋体" w:cs="宋体"/>
          <w:b/>
          <w:highlight w:val="none"/>
        </w:rPr>
        <w:t>杨梅村</w:t>
      </w:r>
      <w:r>
        <w:rPr>
          <w:rFonts w:hint="eastAsia" w:hAnsi="宋体" w:cs="宋体"/>
          <w:b/>
          <w:highlight w:val="none"/>
          <w:lang w:val="en-US" w:eastAsia="zh-CN"/>
        </w:rPr>
        <w:t xml:space="preserve">  </w:t>
      </w:r>
      <w:r>
        <w:rPr>
          <w:rFonts w:hint="eastAsia" w:hAnsi="宋体" w:cs="宋体"/>
          <w:highlight w:val="none"/>
        </w:rPr>
        <w:t>位于百顺镇西北部，有12个小组，351户1269人，村干部5人，党员44人。耕地面积2474亩，林地面积31462亩。主要经济作物有水稻、花生、竹木、黄豆等</w:t>
      </w:r>
      <w:r>
        <w:rPr>
          <w:rFonts w:hint="eastAsia" w:hAnsi="宋体" w:cs="宋体"/>
          <w:b/>
          <w:highlight w:val="none"/>
        </w:rPr>
        <w:t>。</w:t>
      </w:r>
    </w:p>
    <w:p w14:paraId="0E55EC5F">
      <w:pPr>
        <w:rPr>
          <w:rFonts w:hint="eastAsia" w:hAnsi="宋体" w:cs="宋体"/>
          <w:highlight w:val="none"/>
        </w:rPr>
      </w:pPr>
      <w:r>
        <w:rPr>
          <w:rFonts w:hint="eastAsia" w:hAnsi="宋体" w:cs="宋体"/>
          <w:b/>
          <w:highlight w:val="none"/>
        </w:rPr>
        <w:t>朱安村</w:t>
      </w:r>
      <w:r>
        <w:rPr>
          <w:rFonts w:hint="eastAsia" w:hAnsi="宋体" w:cs="宋体"/>
          <w:b/>
          <w:highlight w:val="none"/>
          <w:lang w:val="en-US" w:eastAsia="zh-CN"/>
        </w:rPr>
        <w:t xml:space="preserve">  </w:t>
      </w:r>
      <w:r>
        <w:rPr>
          <w:rFonts w:hint="eastAsia" w:hAnsi="宋体" w:cs="宋体"/>
          <w:highlight w:val="none"/>
        </w:rPr>
        <w:t>是一个边远山区村，距百顺墟镇有18公里，乡村公路在1999年开通，并在2009年水泥硬化竣工，路宽3.5米。全村有289户、1058人，9个自然村，12个村小组。村“两委”干部4人，党员36人。耕地2315亩，山林4.7万亩，其中生态公益林0.5万亩。主要经济作物有水稻、花生、竹林、黄豆等。</w:t>
      </w:r>
    </w:p>
    <w:p w14:paraId="64464D05">
      <w:pPr>
        <w:rPr>
          <w:rFonts w:hint="eastAsia" w:hAnsi="宋体" w:cs="宋体"/>
          <w:highlight w:val="none"/>
        </w:rPr>
      </w:pPr>
      <w:r>
        <w:rPr>
          <w:rFonts w:hint="eastAsia" w:hAnsi="宋体" w:cs="宋体"/>
          <w:b/>
          <w:highlight w:val="none"/>
        </w:rPr>
        <w:t>百顺居委会</w:t>
      </w:r>
      <w:r>
        <w:rPr>
          <w:rFonts w:hint="eastAsia" w:hAnsi="宋体" w:cs="宋体"/>
          <w:b/>
          <w:highlight w:val="none"/>
          <w:lang w:val="en-US" w:eastAsia="zh-CN"/>
        </w:rPr>
        <w:t xml:space="preserve">  </w:t>
      </w:r>
      <w:r>
        <w:rPr>
          <w:rFonts w:hint="eastAsia" w:hAnsi="宋体" w:cs="宋体"/>
          <w:highlight w:val="none"/>
        </w:rPr>
        <w:t>位于百顺墟，有525户，总人口725人，村干部3人，党员13人。居委会环境舒适，居民安居乐业。（陈俊）</w:t>
      </w:r>
    </w:p>
    <w:p w14:paraId="0093C271">
      <w:pPr>
        <w:rPr>
          <w:rFonts w:hint="eastAsia" w:hAnsi="宋体" w:cs="宋体"/>
          <w:highlight w:val="none"/>
        </w:rPr>
      </w:pPr>
      <w:r>
        <w:rPr>
          <w:rFonts w:hint="eastAsia" w:hAnsi="宋体" w:cs="宋体"/>
          <w:highlight w:val="none"/>
        </w:rPr>
        <w:t>附：2015年百顺镇领导班子成员名单</w:t>
      </w:r>
    </w:p>
    <w:p w14:paraId="00D2CDB9">
      <w:pPr>
        <w:rPr>
          <w:rFonts w:hint="eastAsia" w:hAnsi="宋体" w:eastAsia="宋体" w:cs="宋体"/>
          <w:highlight w:val="none"/>
          <w:lang w:eastAsia="zh-CN"/>
        </w:rPr>
      </w:pPr>
      <w:r>
        <w:rPr>
          <w:rFonts w:hint="eastAsia" w:hAnsi="宋体" w:cs="宋体"/>
          <w:highlight w:val="none"/>
        </w:rPr>
        <w:t>党委书记、人大主席：谭福志</w:t>
      </w:r>
    </w:p>
    <w:p w14:paraId="5CFCA706">
      <w:pPr>
        <w:rPr>
          <w:rFonts w:hint="eastAsia" w:hAnsi="宋体" w:eastAsia="宋体" w:cs="宋体"/>
          <w:b w:val="0"/>
          <w:bCs w:val="0"/>
          <w:highlight w:val="none"/>
          <w:lang w:eastAsia="zh-CN"/>
        </w:rPr>
      </w:pPr>
      <w:r>
        <w:rPr>
          <w:rFonts w:hint="eastAsia" w:hAnsi="宋体" w:cs="宋体"/>
          <w:b w:val="0"/>
          <w:bCs w:val="0"/>
          <w:highlight w:val="none"/>
        </w:rPr>
        <w:t>党委副书记、镇长：高春花</w:t>
      </w:r>
    </w:p>
    <w:p w14:paraId="3BC9EF79">
      <w:pPr>
        <w:rPr>
          <w:rFonts w:hint="eastAsia" w:hAnsi="宋体" w:eastAsia="宋体" w:cs="宋体"/>
          <w:b w:val="0"/>
          <w:bCs w:val="0"/>
          <w:highlight w:val="none"/>
          <w:lang w:eastAsia="zh-CN"/>
        </w:rPr>
      </w:pPr>
      <w:r>
        <w:rPr>
          <w:rFonts w:hint="eastAsia" w:hAnsi="宋体" w:cs="宋体"/>
          <w:b w:val="0"/>
          <w:bCs w:val="0"/>
          <w:highlight w:val="none"/>
        </w:rPr>
        <w:t>党委副书记：林</w:t>
      </w:r>
      <w:r>
        <w:rPr>
          <w:rFonts w:hint="eastAsia" w:hAnsi="宋体" w:cs="宋体"/>
          <w:b w:val="0"/>
          <w:bCs w:val="0"/>
          <w:highlight w:val="none"/>
          <w:lang w:val="en-US" w:eastAsia="zh-CN"/>
        </w:rPr>
        <w:t xml:space="preserve">  </w:t>
      </w:r>
      <w:r>
        <w:rPr>
          <w:rFonts w:hint="eastAsia" w:hAnsi="宋体" w:cs="宋体"/>
          <w:b w:val="0"/>
          <w:bCs w:val="0"/>
          <w:highlight w:val="none"/>
        </w:rPr>
        <w:t>斌（任至8月）</w:t>
      </w:r>
    </w:p>
    <w:p w14:paraId="014E27A5">
      <w:pPr>
        <w:rPr>
          <w:rFonts w:hint="eastAsia" w:hAnsi="宋体" w:eastAsia="宋体" w:cs="宋体"/>
          <w:b w:val="0"/>
          <w:bCs w:val="0"/>
          <w:highlight w:val="none"/>
          <w:lang w:eastAsia="zh-CN"/>
        </w:rPr>
      </w:pPr>
      <w:r>
        <w:rPr>
          <w:rFonts w:hint="eastAsia" w:hAnsi="宋体" w:cs="宋体"/>
          <w:b w:val="0"/>
          <w:bCs w:val="0"/>
          <w:highlight w:val="none"/>
        </w:rPr>
        <w:t>党委副书记：袁</w:t>
      </w:r>
      <w:r>
        <w:rPr>
          <w:rFonts w:hint="eastAsia" w:hAnsi="宋体" w:cs="宋体"/>
          <w:b w:val="0"/>
          <w:bCs w:val="0"/>
          <w:highlight w:val="none"/>
          <w:lang w:val="en-US" w:eastAsia="zh-CN"/>
        </w:rPr>
        <w:t xml:space="preserve">  </w:t>
      </w:r>
      <w:r>
        <w:rPr>
          <w:rFonts w:hint="eastAsia" w:hAnsi="宋体" w:cs="宋体"/>
          <w:b w:val="0"/>
          <w:bCs w:val="0"/>
          <w:highlight w:val="none"/>
        </w:rPr>
        <w:t>斌（9月任）</w:t>
      </w:r>
    </w:p>
    <w:p w14:paraId="73F1A3D9">
      <w:pPr>
        <w:rPr>
          <w:rFonts w:hint="eastAsia" w:hAnsi="宋体" w:eastAsia="宋体" w:cs="宋体"/>
          <w:b w:val="0"/>
          <w:bCs w:val="0"/>
          <w:highlight w:val="none"/>
          <w:lang w:eastAsia="zh-CN"/>
        </w:rPr>
      </w:pPr>
      <w:r>
        <w:rPr>
          <w:rFonts w:hint="eastAsia" w:hAnsi="宋体" w:cs="宋体"/>
          <w:b w:val="0"/>
          <w:bCs w:val="0"/>
          <w:highlight w:val="none"/>
        </w:rPr>
        <w:t>纪检书记：饶槐英</w:t>
      </w:r>
    </w:p>
    <w:p w14:paraId="07B40520">
      <w:pPr>
        <w:rPr>
          <w:rFonts w:hint="eastAsia" w:hAnsi="宋体" w:eastAsia="宋体" w:cs="宋体"/>
          <w:b w:val="0"/>
          <w:bCs w:val="0"/>
          <w:highlight w:val="none"/>
          <w:lang w:eastAsia="zh-CN"/>
        </w:rPr>
      </w:pPr>
      <w:r>
        <w:rPr>
          <w:rFonts w:hint="eastAsia" w:hAnsi="宋体" w:cs="宋体"/>
          <w:b w:val="0"/>
          <w:bCs w:val="0"/>
          <w:highlight w:val="none"/>
        </w:rPr>
        <w:t>宣传委员：刘运洲</w:t>
      </w:r>
    </w:p>
    <w:p w14:paraId="7143959C">
      <w:pPr>
        <w:rPr>
          <w:rFonts w:hint="eastAsia" w:hAnsi="宋体" w:eastAsia="宋体" w:cs="宋体"/>
          <w:b w:val="0"/>
          <w:bCs w:val="0"/>
          <w:highlight w:val="none"/>
          <w:lang w:eastAsia="zh-CN"/>
        </w:rPr>
      </w:pPr>
      <w:r>
        <w:rPr>
          <w:rFonts w:hint="eastAsia" w:hAnsi="宋体" w:cs="宋体"/>
          <w:b w:val="0"/>
          <w:bCs w:val="0"/>
          <w:highlight w:val="none"/>
        </w:rPr>
        <w:t>武装部长：张</w:t>
      </w:r>
      <w:r>
        <w:rPr>
          <w:rFonts w:hint="eastAsia" w:hAnsi="宋体" w:cs="宋体"/>
          <w:b w:val="0"/>
          <w:bCs w:val="0"/>
          <w:highlight w:val="none"/>
          <w:lang w:val="en-US" w:eastAsia="zh-CN"/>
        </w:rPr>
        <w:t xml:space="preserve">  </w:t>
      </w:r>
      <w:r>
        <w:rPr>
          <w:rFonts w:hint="eastAsia" w:hAnsi="宋体" w:cs="宋体"/>
          <w:b w:val="0"/>
          <w:bCs w:val="0"/>
          <w:highlight w:val="none"/>
        </w:rPr>
        <w:t>春</w:t>
      </w:r>
    </w:p>
    <w:p w14:paraId="6D46D715">
      <w:pPr>
        <w:rPr>
          <w:rFonts w:hint="eastAsia" w:hAnsi="宋体" w:eastAsia="宋体" w:cs="宋体"/>
          <w:b w:val="0"/>
          <w:bCs w:val="0"/>
          <w:highlight w:val="none"/>
          <w:lang w:eastAsia="zh-CN"/>
        </w:rPr>
      </w:pPr>
      <w:r>
        <w:rPr>
          <w:rFonts w:hint="eastAsia" w:hAnsi="宋体" w:cs="宋体"/>
          <w:b w:val="0"/>
          <w:bCs w:val="0"/>
          <w:highlight w:val="none"/>
        </w:rPr>
        <w:t>人大副主席：朱定福</w:t>
      </w:r>
    </w:p>
    <w:p w14:paraId="4F4795F6">
      <w:pPr>
        <w:rPr>
          <w:rFonts w:hint="eastAsia" w:hAnsi="宋体" w:cs="宋体"/>
          <w:highlight w:val="none"/>
        </w:rPr>
      </w:pPr>
      <w:r>
        <w:rPr>
          <w:rFonts w:hint="eastAsia" w:hAnsi="宋体" w:cs="宋体"/>
          <w:b w:val="0"/>
          <w:bCs w:val="0"/>
          <w:highlight w:val="none"/>
        </w:rPr>
        <w:t>综治办专职副主任：黄志东</w:t>
      </w:r>
    </w:p>
    <w:p w14:paraId="60B03261">
      <w:pPr>
        <w:rPr>
          <w:rFonts w:hint="eastAsia" w:hAnsi="宋体" w:cs="宋体"/>
          <w:highlight w:val="none"/>
        </w:rPr>
      </w:pPr>
      <w:r>
        <w:rPr>
          <w:rFonts w:hint="eastAsia" w:hAnsi="宋体" w:cs="宋体"/>
          <w:highlight w:val="none"/>
        </w:rPr>
        <w:t>副镇长：吴在海 吴细阳 叶玉鹏</w:t>
      </w:r>
    </w:p>
    <w:p w14:paraId="6029DC91">
      <w:pPr>
        <w:pStyle w:val="3"/>
        <w:bidi w:val="0"/>
        <w:rPr>
          <w:rFonts w:hint="eastAsia"/>
          <w:highlight w:val="none"/>
        </w:rPr>
      </w:pPr>
      <w:r>
        <w:rPr>
          <w:rFonts w:hint="eastAsia"/>
          <w:highlight w:val="none"/>
        </w:rPr>
        <w:t>坪田镇</w:t>
      </w:r>
    </w:p>
    <w:p w14:paraId="3DB1D36F">
      <w:pPr>
        <w:pStyle w:val="4"/>
        <w:bidi w:val="0"/>
        <w:rPr>
          <w:rFonts w:hint="eastAsia"/>
          <w:highlight w:val="none"/>
        </w:rPr>
      </w:pPr>
      <w:r>
        <w:rPr>
          <w:rFonts w:hint="eastAsia"/>
          <w:highlight w:val="none"/>
        </w:rPr>
        <w:t>【概况】</w:t>
      </w:r>
    </w:p>
    <w:p w14:paraId="09334211">
      <w:pPr>
        <w:rPr>
          <w:rFonts w:hint="eastAsia" w:hAnsi="宋体" w:cs="宋体"/>
          <w:highlight w:val="none"/>
        </w:rPr>
      </w:pPr>
      <w:r>
        <w:rPr>
          <w:rFonts w:hint="eastAsia" w:hAnsi="宋体" w:cs="宋体"/>
          <w:highlight w:val="none"/>
        </w:rPr>
        <w:t>坪田镇位于南雄市东部，东与界址镇和江西省信丰县万隆乡为邻，南与江西省全南县社迳乡相邻，镇政府驻地距南雄市区43公里。2001年由原坪田镇和原新龙镇合并，下辖内有长坑、老龙、龙口、小塘、官陂、背迳、横岭、中坪、老宅、新墟、迳洞、坪湖、龙头、坪田14个村委会和1个社区居委会，共179个村民小组和2个居民小组。2015年末全镇总人口26794人，共有7274户，其中农业人口25425人。全镇区域面积142.39平方公里。</w:t>
      </w:r>
    </w:p>
    <w:p w14:paraId="1E946DB6">
      <w:pPr>
        <w:rPr>
          <w:rFonts w:hint="eastAsia" w:hAnsi="宋体" w:cs="宋体"/>
          <w:highlight w:val="none"/>
        </w:rPr>
      </w:pPr>
      <w:r>
        <w:rPr>
          <w:rFonts w:hint="eastAsia" w:hAnsi="宋体" w:cs="宋体"/>
          <w:highlight w:val="none"/>
        </w:rPr>
        <w:t>坪田镇地处粤北山区，属中亚热带季风性山地湿润气候，全镇50%以上面积在海拔400米以上，境内农产品丰富，主要有水稻、黄烟、西瓜、玉米、大豆，尤以盛产白果、油茶而闻名海内外，是“白果油茶之乡”。农业主产以黄烟、水稻、花生为主，其中黄烟是该镇传统支柱产业。主要经济林木有银杏、油茶、板栗、毛竹，用材林有马尾松、杉树、枫树、樟树等。坪田镇境内拥有萤石矿资源，主要分布在中坪、迳洞、汪汤等地。</w:t>
      </w:r>
    </w:p>
    <w:p w14:paraId="35DA6172">
      <w:pPr>
        <w:rPr>
          <w:rFonts w:hint="eastAsia" w:hAnsi="宋体" w:cs="宋体"/>
          <w:highlight w:val="none"/>
        </w:rPr>
      </w:pPr>
      <w:r>
        <w:rPr>
          <w:rFonts w:hint="eastAsia" w:hAnsi="宋体" w:cs="宋体"/>
          <w:highlight w:val="none"/>
        </w:rPr>
        <w:t>坪田白果历史悠久，闻名海内外，在新墟坳背村有1300多年树龄白果树，100年树龄以上古银杏树有784株。坪田白果以其粒大壳薄、肉质柔软、清香无苦味等与众不同的特点享誉东南亚、香港和珠江三角洲。每年8月开始为白果出产时节。</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6DCBD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8DFA61D">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67585"/>
                  <wp:effectExtent l="0" t="0" r="8890" b="18415"/>
                  <wp:docPr id="127" name="图片 304" descr="坪田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04" descr="坪田49"/>
                          <pic:cNvPicPr>
                            <a:picLocks noChangeAspect="1"/>
                          </pic:cNvPicPr>
                        </pic:nvPicPr>
                        <pic:blipFill>
                          <a:blip r:embed="rId132"/>
                          <a:stretch>
                            <a:fillRect/>
                          </a:stretch>
                        </pic:blipFill>
                        <pic:spPr>
                          <a:xfrm>
                            <a:off x="0" y="0"/>
                            <a:ext cx="3420110" cy="2267585"/>
                          </a:xfrm>
                          <a:prstGeom prst="rect">
                            <a:avLst/>
                          </a:prstGeom>
                          <a:noFill/>
                          <a:ln>
                            <a:noFill/>
                          </a:ln>
                        </pic:spPr>
                      </pic:pic>
                    </a:graphicData>
                  </a:graphic>
                </wp:inline>
              </w:drawing>
            </w:r>
          </w:p>
        </w:tc>
      </w:tr>
      <w:tr w14:paraId="2A6A1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800B8BC">
            <w:pPr>
              <w:jc w:val="center"/>
              <w:rPr>
                <w:rFonts w:hint="eastAsia" w:hAnsi="宋体" w:cs="宋体"/>
                <w:highlight w:val="none"/>
                <w:vertAlign w:val="baseline"/>
              </w:rPr>
            </w:pPr>
            <w:r>
              <w:rPr>
                <w:rFonts w:hint="eastAsia" w:hAnsi="宋体" w:cs="宋体"/>
                <w:highlight w:val="none"/>
                <w:vertAlign w:val="baseline"/>
              </w:rPr>
              <w:t>坪田军营寨景区木栈道建设</w:t>
            </w:r>
          </w:p>
        </w:tc>
      </w:tr>
    </w:tbl>
    <w:p w14:paraId="1094557C">
      <w:pPr>
        <w:pStyle w:val="4"/>
        <w:bidi w:val="0"/>
        <w:rPr>
          <w:rFonts w:hint="eastAsia"/>
          <w:highlight w:val="none"/>
        </w:rPr>
      </w:pPr>
      <w:r>
        <w:rPr>
          <w:rFonts w:hint="eastAsia"/>
          <w:highlight w:val="none"/>
        </w:rPr>
        <w:t>【经济社会发展】</w:t>
      </w:r>
    </w:p>
    <w:p w14:paraId="11237797">
      <w:pPr>
        <w:rPr>
          <w:rFonts w:hint="eastAsia" w:hAnsi="宋体" w:cs="宋体"/>
          <w:highlight w:val="none"/>
        </w:rPr>
      </w:pPr>
      <w:r>
        <w:rPr>
          <w:rFonts w:hint="eastAsia" w:hAnsi="宋体" w:cs="宋体"/>
          <w:highlight w:val="none"/>
        </w:rPr>
        <w:t>2015年全镇实现生产总值3.08亿元，比上年度增长16.67%；农村居民人均纯收入为9272元，比上年度增长8.7%；财政收入208.5万元，比上年度增长6.5%。</w:t>
      </w:r>
    </w:p>
    <w:p w14:paraId="1F0B42F9">
      <w:pPr>
        <w:rPr>
          <w:rFonts w:hint="eastAsia" w:hAnsi="宋体" w:cs="宋体"/>
          <w:highlight w:val="none"/>
        </w:rPr>
      </w:pPr>
      <w:r>
        <w:rPr>
          <w:rFonts w:hint="eastAsia" w:hAnsi="宋体" w:cs="宋体"/>
          <w:highlight w:val="none"/>
        </w:rPr>
        <w:t>2015年坪田镇全力推广黄烟新品种，推广新的大棚漂浮育苗、全地膜覆盖、打脚叶等新种植技术，促进烟农增产增收。2015年黄烟种植4517亩，完成烟叶收购量635吨，完成量达100%，收购金额达1587万元，烟叶税收分成达到88.4万元，完成烟叶收购任务。2015年农作物总播种面积31736亩，其中稻谷18907亩，比上年增加633亩，增长3%；其他作物2251亩，其中蔬菜播种面积2102亩，增长1%。花生、大豆、小辣椒丰收。</w:t>
      </w:r>
    </w:p>
    <w:p w14:paraId="2CFA64B1">
      <w:pPr>
        <w:pStyle w:val="4"/>
        <w:bidi w:val="0"/>
        <w:rPr>
          <w:rFonts w:hint="eastAsia"/>
          <w:highlight w:val="none"/>
        </w:rPr>
      </w:pPr>
      <w:r>
        <w:rPr>
          <w:rFonts w:hint="eastAsia"/>
          <w:highlight w:val="none"/>
        </w:rPr>
        <w:t>【基础设施建设】</w:t>
      </w:r>
    </w:p>
    <w:p w14:paraId="1D08D46C">
      <w:pPr>
        <w:rPr>
          <w:rFonts w:hint="eastAsia" w:hAnsi="宋体" w:cs="宋体"/>
          <w:highlight w:val="none"/>
        </w:rPr>
      </w:pPr>
      <w:r>
        <w:rPr>
          <w:rFonts w:hint="eastAsia" w:hAnsi="宋体" w:cs="宋体"/>
          <w:highlight w:val="none"/>
        </w:rPr>
        <w:t>推进基础设施建设，改善农村生产生活条件。新龙水山洪沟防治工程建设。涉及迳洞、新圩、老宅3个村，单边开挖河道长度3公里，总投资为1000万。新龙水中小河流治理工程建设。项目总投资4273万元，河道长25.2公里，2015年在中坪、横岭、龙口、背迳、官陂、小塘、老龙等村委会完成对河道两边10米范围内“两清”工作。各村委会共投入62.8万元安装完成210盏路灯，基本实现村通路灯目标。农业综合开发项目。项目区涉及中坪、老宅、新墟、迳洞、坪田、坪湖6个村委会，治理面积8500亩，项目总投资1122万元，2015年完成开挖渠道16公里，已浇筑混凝土渠道8.3公里，施工进度为32%。完善农田水利设施，2015年完成高标准农田建设1.34万亩，投入资金达1520万元，解决长坑、老龙、龙口、背迳、官陂、小塘、横岭等村委会农田灌溉难、蓄水防涝能力差问题。</w:t>
      </w:r>
    </w:p>
    <w:p w14:paraId="47E515DD">
      <w:pPr>
        <w:pStyle w:val="4"/>
        <w:bidi w:val="0"/>
        <w:rPr>
          <w:rFonts w:hint="eastAsia"/>
          <w:highlight w:val="none"/>
        </w:rPr>
      </w:pPr>
      <w:r>
        <w:rPr>
          <w:rFonts w:hint="eastAsia"/>
          <w:highlight w:val="none"/>
        </w:rPr>
        <w:t>【文教卫生】</w:t>
      </w:r>
    </w:p>
    <w:p w14:paraId="65470652">
      <w:pPr>
        <w:rPr>
          <w:rFonts w:hint="eastAsia" w:hAnsi="宋体" w:cs="宋体"/>
          <w:highlight w:val="none"/>
        </w:rPr>
      </w:pPr>
      <w:r>
        <w:rPr>
          <w:rFonts w:hint="eastAsia" w:hAnsi="宋体" w:cs="宋体"/>
          <w:highlight w:val="none"/>
        </w:rPr>
        <w:t>争取上级项目资金12万元及自筹8万元，按标准对镇文化站进行规范化建设；同时，大力发扬特色文化产业的发展，结合坪田镇银杏旅游文化节，在旅游期间，举办多场采茶戏表演。投入30多万元经费用于组织人员对河流、村庄垃圾整治，并购置垃圾桶300多个，保持镇村清洁卫生。</w:t>
      </w:r>
    </w:p>
    <w:p w14:paraId="440224E8">
      <w:pPr>
        <w:pStyle w:val="4"/>
        <w:bidi w:val="0"/>
        <w:rPr>
          <w:rFonts w:hint="eastAsia"/>
          <w:highlight w:val="none"/>
        </w:rPr>
      </w:pPr>
      <w:r>
        <w:rPr>
          <w:rFonts w:hint="eastAsia"/>
          <w:highlight w:val="none"/>
        </w:rPr>
        <w:t>【扶贫工作】</w:t>
      </w:r>
    </w:p>
    <w:p w14:paraId="34EB3B8A">
      <w:pPr>
        <w:rPr>
          <w:rFonts w:hint="eastAsia" w:hAnsi="宋体" w:cs="宋体"/>
          <w:highlight w:val="none"/>
        </w:rPr>
      </w:pPr>
      <w:r>
        <w:rPr>
          <w:rFonts w:hint="eastAsia" w:hAnsi="宋体" w:cs="宋体"/>
          <w:highlight w:val="none"/>
        </w:rPr>
        <w:t>2015年，全镇4个重点帮扶村累计投入帮扶资金2203万元，其中到村资金2087万元，到户资金115万元，平均每村达到550万元。全镇贫困户人均纯收入达到9000元以上，同比上年度增加1500元。完善贫困村基础设施建设，经多方筹集扶贫资金，投入1711万多元。以入股形式壮大村集体收入，贫困村累计筹措资金260万元入股浈江电业及城投公司。</w:t>
      </w:r>
    </w:p>
    <w:p w14:paraId="4392FC80">
      <w:pPr>
        <w:pStyle w:val="4"/>
        <w:bidi w:val="0"/>
        <w:rPr>
          <w:rFonts w:hint="eastAsia"/>
          <w:highlight w:val="none"/>
        </w:rPr>
      </w:pPr>
      <w:r>
        <w:rPr>
          <w:rFonts w:hint="eastAsia"/>
          <w:highlight w:val="none"/>
        </w:rPr>
        <w:t>【新农村建设】</w:t>
      </w:r>
    </w:p>
    <w:p w14:paraId="69BAE3B8">
      <w:pPr>
        <w:rPr>
          <w:rFonts w:hint="eastAsia" w:hAnsi="宋体" w:cs="宋体"/>
          <w:highlight w:val="none"/>
        </w:rPr>
      </w:pPr>
      <w:r>
        <w:rPr>
          <w:rFonts w:hint="eastAsia" w:hAnsi="宋体" w:cs="宋体"/>
          <w:highlight w:val="none"/>
        </w:rPr>
        <w:t>建设戈平新农村，总面积达1.2万平方米，投入1500万元统一规划、统一建设39套住房，完成立面装修。</w:t>
      </w:r>
    </w:p>
    <w:p w14:paraId="5987308F">
      <w:pPr>
        <w:pStyle w:val="4"/>
        <w:bidi w:val="0"/>
        <w:rPr>
          <w:rFonts w:hint="eastAsia"/>
          <w:highlight w:val="none"/>
        </w:rPr>
      </w:pPr>
      <w:r>
        <w:rPr>
          <w:rFonts w:hint="eastAsia"/>
          <w:highlight w:val="none"/>
        </w:rPr>
        <w:t>【社会管理】</w:t>
      </w:r>
    </w:p>
    <w:p w14:paraId="3CF004CC">
      <w:pPr>
        <w:rPr>
          <w:rFonts w:hint="eastAsia" w:hAnsi="宋体" w:cs="宋体"/>
          <w:highlight w:val="none"/>
        </w:rPr>
      </w:pPr>
      <w:r>
        <w:rPr>
          <w:rFonts w:hint="eastAsia" w:hAnsi="宋体" w:cs="宋体"/>
          <w:highlight w:val="none"/>
        </w:rPr>
        <w:t>开展反邪教工作，抓民间纠纷调解工作，把各种矛盾解决在基层，形成良好社会秩序。2015年，接待来访来电56批次、143人次。开展法律进村制度。驻村律师解答法律咨询服务388人次，法制培训、法律知识讲座3场次，参与调解民事纠纷15宗，发放各类宣传资料300份。</w:t>
      </w:r>
    </w:p>
    <w:p w14:paraId="6ACFD4EC">
      <w:pPr>
        <w:pStyle w:val="4"/>
        <w:bidi w:val="0"/>
        <w:rPr>
          <w:rFonts w:hint="eastAsia"/>
          <w:highlight w:val="none"/>
        </w:rPr>
      </w:pPr>
      <w:r>
        <w:rPr>
          <w:rFonts w:hint="eastAsia"/>
          <w:highlight w:val="none"/>
        </w:rPr>
        <w:t>【计生工作】</w:t>
      </w:r>
    </w:p>
    <w:p w14:paraId="45858C15">
      <w:pPr>
        <w:rPr>
          <w:rFonts w:hint="eastAsia" w:hAnsi="宋体" w:cs="宋体"/>
          <w:highlight w:val="none"/>
        </w:rPr>
      </w:pPr>
      <w:r>
        <w:rPr>
          <w:rFonts w:hint="eastAsia" w:hAnsi="宋体" w:cs="宋体"/>
          <w:highlight w:val="none"/>
        </w:rPr>
        <w:t>2015年全镇全年出生335人，性别比下降到106.79，自然增长率7.56‰。</w:t>
      </w:r>
    </w:p>
    <w:p w14:paraId="6A1285F5">
      <w:pPr>
        <w:pStyle w:val="4"/>
        <w:bidi w:val="0"/>
        <w:rPr>
          <w:rFonts w:hint="eastAsia"/>
          <w:highlight w:val="none"/>
        </w:rPr>
      </w:pPr>
      <w:r>
        <w:rPr>
          <w:rFonts w:hint="eastAsia"/>
          <w:highlight w:val="none"/>
        </w:rPr>
        <w:t>【社会保障】</w:t>
      </w:r>
    </w:p>
    <w:p w14:paraId="1516EB31">
      <w:pPr>
        <w:rPr>
          <w:rFonts w:hint="eastAsia" w:hAnsi="宋体" w:cs="宋体"/>
          <w:highlight w:val="none"/>
        </w:rPr>
      </w:pPr>
      <w:r>
        <w:rPr>
          <w:rFonts w:hint="eastAsia" w:hAnsi="宋体" w:cs="宋体"/>
          <w:highlight w:val="none"/>
        </w:rPr>
        <w:t>全镇有优抚对象111人，享受农村最低生活保障298户，557人。2015年，全镇城乡居民医疗保险完成数2.1万人，完成率为101%，城乡居民养老保险其中完成参保人数9300人，缴费完成率为104%。完成企业职工养老保险人数23人，征缴金额13.4万元，完成目标任务数比例分别为120%。</w:t>
      </w:r>
    </w:p>
    <w:p w14:paraId="2DEAF708">
      <w:pPr>
        <w:pStyle w:val="4"/>
        <w:bidi w:val="0"/>
        <w:rPr>
          <w:rFonts w:hint="eastAsia"/>
          <w:highlight w:val="none"/>
        </w:rPr>
      </w:pPr>
      <w:r>
        <w:rPr>
          <w:rFonts w:hint="eastAsia"/>
          <w:highlight w:val="none"/>
        </w:rPr>
        <w:t>【旅游业发展】</w:t>
      </w:r>
    </w:p>
    <w:p w14:paraId="6D1BDF01">
      <w:pPr>
        <w:rPr>
          <w:rFonts w:hint="eastAsia" w:hAnsi="宋体" w:eastAsia="宋体" w:cs="宋体"/>
          <w:highlight w:val="none"/>
          <w:lang w:eastAsia="zh-CN"/>
        </w:rPr>
      </w:pPr>
      <w:r>
        <w:rPr>
          <w:rFonts w:hint="eastAsia" w:hAnsi="宋体" w:cs="宋体"/>
          <w:highlight w:val="none"/>
        </w:rPr>
        <w:t>坪田“银杏染秋”成为南雄旅游品牌，按照市委提出“路要顺、景能看、能吃住、心情好”方针，集中力量发展坪田银杏旅游业。完善景区交通设施建设。新墟到迳洞村委会按县道标准改造，同时对坪田至军营寨村道升级改造，建成开通邓坳至坪田循环道路。完成老宅5万多平方米停车场建设，可停放大小车辆约1500辆，在2015年旅游季节投入使用。景区有色树种种植和抚育工作，在坪田中学后山、县道公路沿线山上及路边种植梅花、红枫、银杏等有色树种6000多株。建设农土特一条街，按照统一风格外立面设计进行施工，基本完成主体工程建设。农家乐建设得到较快发展，有大小农家乐100多家。2015年，景区接待游客20多万人，车辆1.8万辆，旅游产业为当地居民人均收入增加2000元。（林松）</w:t>
      </w:r>
    </w:p>
    <w:p w14:paraId="1DEEC2E2">
      <w:pPr>
        <w:pStyle w:val="4"/>
        <w:bidi w:val="0"/>
        <w:rPr>
          <w:rFonts w:hint="eastAsia"/>
          <w:highlight w:val="none"/>
        </w:rPr>
      </w:pPr>
      <w:r>
        <w:rPr>
          <w:rFonts w:hint="eastAsia"/>
          <w:highlight w:val="none"/>
        </w:rPr>
        <w:t>【各村委会（社区）基本情况】</w:t>
      </w:r>
    </w:p>
    <w:p w14:paraId="35E5D878">
      <w:pPr>
        <w:rPr>
          <w:rFonts w:hint="eastAsia" w:hAnsi="宋体" w:cs="宋体"/>
          <w:highlight w:val="none"/>
        </w:rPr>
      </w:pPr>
      <w:r>
        <w:rPr>
          <w:rFonts w:hint="eastAsia" w:hAnsi="宋体" w:cs="宋体"/>
          <w:highlight w:val="none"/>
        </w:rPr>
        <w:t>见下表。</w:t>
      </w:r>
    </w:p>
    <w:p w14:paraId="15B787C1">
      <w:pPr>
        <w:jc w:val="center"/>
        <w:rPr>
          <w:rFonts w:hint="eastAsia" w:hAnsi="宋体" w:cs="宋体"/>
          <w:highlight w:val="none"/>
        </w:rPr>
      </w:pPr>
      <w:r>
        <w:rPr>
          <w:rFonts w:hint="eastAsia" w:hAnsi="宋体" w:cs="宋体"/>
          <w:highlight w:val="none"/>
        </w:rPr>
        <w:t>2015年坪田镇各村委会（社区）基本情况</w:t>
      </w:r>
    </w:p>
    <w:p w14:paraId="6A0809C2">
      <w:pPr>
        <w:rPr>
          <w:rFonts w:hint="eastAsia" w:hAnsi="宋体" w:eastAsia="宋体" w:cs="宋体"/>
          <w:highlight w:val="none"/>
          <w:lang w:eastAsia="zh-CN"/>
        </w:rPr>
      </w:pPr>
      <w:r>
        <w:rPr>
          <w:rFonts w:hint="eastAsia" w:hAnsi="宋体" w:cs="宋体"/>
          <w:highlight w:val="none"/>
        </w:rPr>
        <w:t>表36</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1214"/>
        <w:gridCol w:w="1186"/>
        <w:gridCol w:w="1186"/>
        <w:gridCol w:w="1187"/>
        <w:gridCol w:w="1187"/>
        <w:gridCol w:w="1499"/>
      </w:tblGrid>
      <w:tr w14:paraId="0B27F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175BE9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村（社区）名</w:t>
            </w:r>
          </w:p>
        </w:tc>
        <w:tc>
          <w:tcPr>
            <w:tcW w:w="1246" w:type="dxa"/>
            <w:noWrap w:val="0"/>
            <w:vAlign w:val="center"/>
          </w:tcPr>
          <w:p w14:paraId="0CE387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村（居民）小组数（个）</w:t>
            </w:r>
          </w:p>
        </w:tc>
        <w:tc>
          <w:tcPr>
            <w:tcW w:w="1217" w:type="dxa"/>
            <w:noWrap w:val="0"/>
            <w:vAlign w:val="center"/>
          </w:tcPr>
          <w:p w14:paraId="7FC925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户数（户）</w:t>
            </w:r>
          </w:p>
        </w:tc>
        <w:tc>
          <w:tcPr>
            <w:tcW w:w="1217" w:type="dxa"/>
            <w:noWrap w:val="0"/>
            <w:vAlign w:val="center"/>
          </w:tcPr>
          <w:p w14:paraId="03F0E9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人口（人）</w:t>
            </w:r>
          </w:p>
        </w:tc>
        <w:tc>
          <w:tcPr>
            <w:tcW w:w="1218" w:type="dxa"/>
            <w:noWrap w:val="0"/>
            <w:vAlign w:val="center"/>
          </w:tcPr>
          <w:p w14:paraId="79AFF5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耕地面积（公顷）</w:t>
            </w:r>
          </w:p>
        </w:tc>
        <w:tc>
          <w:tcPr>
            <w:tcW w:w="1218" w:type="dxa"/>
            <w:noWrap w:val="0"/>
            <w:vAlign w:val="center"/>
          </w:tcPr>
          <w:p w14:paraId="1D5341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山林面积（公顷）</w:t>
            </w:r>
          </w:p>
        </w:tc>
        <w:tc>
          <w:tcPr>
            <w:tcW w:w="1540" w:type="dxa"/>
            <w:noWrap w:val="0"/>
            <w:vAlign w:val="center"/>
          </w:tcPr>
          <w:p w14:paraId="670818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农民人均年收入（元）</w:t>
            </w:r>
          </w:p>
        </w:tc>
      </w:tr>
      <w:tr w14:paraId="6BE2D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57BA5D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老龙村</w:t>
            </w:r>
          </w:p>
        </w:tc>
        <w:tc>
          <w:tcPr>
            <w:tcW w:w="1246" w:type="dxa"/>
            <w:noWrap w:val="0"/>
            <w:vAlign w:val="center"/>
          </w:tcPr>
          <w:p w14:paraId="730119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1217" w:type="dxa"/>
            <w:noWrap w:val="0"/>
            <w:vAlign w:val="center"/>
          </w:tcPr>
          <w:p w14:paraId="21BE7A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665</w:t>
            </w:r>
          </w:p>
        </w:tc>
        <w:tc>
          <w:tcPr>
            <w:tcW w:w="1217" w:type="dxa"/>
            <w:noWrap w:val="0"/>
            <w:vAlign w:val="center"/>
          </w:tcPr>
          <w:p w14:paraId="25CD3E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2609</w:t>
            </w:r>
          </w:p>
        </w:tc>
        <w:tc>
          <w:tcPr>
            <w:tcW w:w="1218" w:type="dxa"/>
            <w:noWrap w:val="0"/>
            <w:vAlign w:val="center"/>
          </w:tcPr>
          <w:p w14:paraId="680E34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224.13</w:t>
            </w:r>
          </w:p>
        </w:tc>
        <w:tc>
          <w:tcPr>
            <w:tcW w:w="1218" w:type="dxa"/>
            <w:noWrap w:val="0"/>
            <w:vAlign w:val="center"/>
          </w:tcPr>
          <w:p w14:paraId="7255A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260.9</w:t>
            </w:r>
          </w:p>
        </w:tc>
        <w:tc>
          <w:tcPr>
            <w:tcW w:w="1540" w:type="dxa"/>
            <w:noWrap w:val="0"/>
            <w:vAlign w:val="center"/>
          </w:tcPr>
          <w:p w14:paraId="3DDFE8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9655</w:t>
            </w:r>
          </w:p>
        </w:tc>
      </w:tr>
      <w:tr w14:paraId="16A94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4807CA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长坑村</w:t>
            </w:r>
          </w:p>
        </w:tc>
        <w:tc>
          <w:tcPr>
            <w:tcW w:w="1246" w:type="dxa"/>
            <w:noWrap w:val="0"/>
            <w:vAlign w:val="center"/>
          </w:tcPr>
          <w:p w14:paraId="439640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1217" w:type="dxa"/>
            <w:noWrap w:val="0"/>
            <w:vAlign w:val="center"/>
          </w:tcPr>
          <w:p w14:paraId="543D91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615</w:t>
            </w:r>
          </w:p>
        </w:tc>
        <w:tc>
          <w:tcPr>
            <w:tcW w:w="1217" w:type="dxa"/>
            <w:noWrap w:val="0"/>
            <w:vAlign w:val="center"/>
          </w:tcPr>
          <w:p w14:paraId="32ED7E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2406</w:t>
            </w:r>
          </w:p>
        </w:tc>
        <w:tc>
          <w:tcPr>
            <w:tcW w:w="1218" w:type="dxa"/>
            <w:noWrap w:val="0"/>
            <w:vAlign w:val="center"/>
          </w:tcPr>
          <w:p w14:paraId="380801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220.5</w:t>
            </w:r>
          </w:p>
        </w:tc>
        <w:tc>
          <w:tcPr>
            <w:tcW w:w="1218" w:type="dxa"/>
            <w:noWrap w:val="0"/>
            <w:vAlign w:val="center"/>
          </w:tcPr>
          <w:p w14:paraId="7D26AB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77.9</w:t>
            </w:r>
          </w:p>
        </w:tc>
        <w:tc>
          <w:tcPr>
            <w:tcW w:w="1540" w:type="dxa"/>
            <w:noWrap w:val="0"/>
            <w:vAlign w:val="center"/>
          </w:tcPr>
          <w:p w14:paraId="339763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10586</w:t>
            </w:r>
          </w:p>
        </w:tc>
      </w:tr>
      <w:tr w14:paraId="2F128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6957C2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背迳村</w:t>
            </w:r>
          </w:p>
        </w:tc>
        <w:tc>
          <w:tcPr>
            <w:tcW w:w="1246" w:type="dxa"/>
            <w:noWrap w:val="0"/>
            <w:vAlign w:val="center"/>
          </w:tcPr>
          <w:p w14:paraId="18E6B2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w:t>
            </w:r>
          </w:p>
        </w:tc>
        <w:tc>
          <w:tcPr>
            <w:tcW w:w="1217" w:type="dxa"/>
            <w:noWrap w:val="0"/>
            <w:vAlign w:val="center"/>
          </w:tcPr>
          <w:p w14:paraId="718BBE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479</w:t>
            </w:r>
          </w:p>
        </w:tc>
        <w:tc>
          <w:tcPr>
            <w:tcW w:w="1217" w:type="dxa"/>
            <w:noWrap w:val="0"/>
            <w:vAlign w:val="center"/>
          </w:tcPr>
          <w:p w14:paraId="7D1FBA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1888</w:t>
            </w:r>
          </w:p>
        </w:tc>
        <w:tc>
          <w:tcPr>
            <w:tcW w:w="1218" w:type="dxa"/>
            <w:noWrap w:val="0"/>
            <w:vAlign w:val="center"/>
          </w:tcPr>
          <w:p w14:paraId="4E265E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127.5</w:t>
            </w:r>
          </w:p>
        </w:tc>
        <w:tc>
          <w:tcPr>
            <w:tcW w:w="1218" w:type="dxa"/>
            <w:noWrap w:val="0"/>
            <w:vAlign w:val="center"/>
          </w:tcPr>
          <w:p w14:paraId="424EDD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707.8</w:t>
            </w:r>
          </w:p>
        </w:tc>
        <w:tc>
          <w:tcPr>
            <w:tcW w:w="1540" w:type="dxa"/>
            <w:noWrap w:val="0"/>
            <w:vAlign w:val="center"/>
          </w:tcPr>
          <w:p w14:paraId="5CE672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9544</w:t>
            </w:r>
          </w:p>
        </w:tc>
      </w:tr>
      <w:tr w14:paraId="29086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4A22DA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龙口村</w:t>
            </w:r>
          </w:p>
        </w:tc>
        <w:tc>
          <w:tcPr>
            <w:tcW w:w="1246" w:type="dxa"/>
            <w:noWrap w:val="0"/>
            <w:vAlign w:val="center"/>
          </w:tcPr>
          <w:p w14:paraId="6CC641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w:t>
            </w:r>
          </w:p>
        </w:tc>
        <w:tc>
          <w:tcPr>
            <w:tcW w:w="1217" w:type="dxa"/>
            <w:noWrap w:val="0"/>
            <w:vAlign w:val="center"/>
          </w:tcPr>
          <w:p w14:paraId="4F505F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383</w:t>
            </w:r>
          </w:p>
        </w:tc>
        <w:tc>
          <w:tcPr>
            <w:tcW w:w="1217" w:type="dxa"/>
            <w:noWrap w:val="0"/>
            <w:vAlign w:val="center"/>
          </w:tcPr>
          <w:p w14:paraId="2AE823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1459</w:t>
            </w:r>
          </w:p>
        </w:tc>
        <w:tc>
          <w:tcPr>
            <w:tcW w:w="1218" w:type="dxa"/>
            <w:noWrap w:val="0"/>
            <w:vAlign w:val="center"/>
          </w:tcPr>
          <w:p w14:paraId="0A6478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104.8</w:t>
            </w:r>
          </w:p>
        </w:tc>
        <w:tc>
          <w:tcPr>
            <w:tcW w:w="1218" w:type="dxa"/>
            <w:noWrap w:val="0"/>
            <w:vAlign w:val="center"/>
          </w:tcPr>
          <w:p w14:paraId="06E2A0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331.8</w:t>
            </w:r>
          </w:p>
        </w:tc>
        <w:tc>
          <w:tcPr>
            <w:tcW w:w="1540" w:type="dxa"/>
            <w:noWrap w:val="0"/>
            <w:vAlign w:val="center"/>
          </w:tcPr>
          <w:p w14:paraId="20EE78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9924</w:t>
            </w:r>
          </w:p>
        </w:tc>
      </w:tr>
      <w:tr w14:paraId="6D455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6EAD54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横岭村</w:t>
            </w:r>
          </w:p>
        </w:tc>
        <w:tc>
          <w:tcPr>
            <w:tcW w:w="1246" w:type="dxa"/>
            <w:noWrap w:val="0"/>
            <w:vAlign w:val="center"/>
          </w:tcPr>
          <w:p w14:paraId="160007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1217" w:type="dxa"/>
            <w:noWrap w:val="0"/>
            <w:vAlign w:val="center"/>
          </w:tcPr>
          <w:p w14:paraId="7A1B15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402</w:t>
            </w:r>
          </w:p>
        </w:tc>
        <w:tc>
          <w:tcPr>
            <w:tcW w:w="1217" w:type="dxa"/>
            <w:noWrap w:val="0"/>
            <w:vAlign w:val="center"/>
          </w:tcPr>
          <w:p w14:paraId="18EA4E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1626</w:t>
            </w:r>
          </w:p>
        </w:tc>
        <w:tc>
          <w:tcPr>
            <w:tcW w:w="1218" w:type="dxa"/>
            <w:noWrap w:val="0"/>
            <w:vAlign w:val="center"/>
          </w:tcPr>
          <w:p w14:paraId="0ABE64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125.7</w:t>
            </w:r>
          </w:p>
        </w:tc>
        <w:tc>
          <w:tcPr>
            <w:tcW w:w="1218" w:type="dxa"/>
            <w:noWrap w:val="0"/>
            <w:vAlign w:val="center"/>
          </w:tcPr>
          <w:p w14:paraId="1E7741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456.9</w:t>
            </w:r>
          </w:p>
        </w:tc>
        <w:tc>
          <w:tcPr>
            <w:tcW w:w="1540" w:type="dxa"/>
            <w:noWrap w:val="0"/>
            <w:vAlign w:val="center"/>
          </w:tcPr>
          <w:p w14:paraId="1767E4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9534</w:t>
            </w:r>
          </w:p>
        </w:tc>
      </w:tr>
      <w:tr w14:paraId="3C712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55C3BE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小塘村</w:t>
            </w:r>
          </w:p>
        </w:tc>
        <w:tc>
          <w:tcPr>
            <w:tcW w:w="1246" w:type="dxa"/>
            <w:noWrap w:val="0"/>
            <w:vAlign w:val="center"/>
          </w:tcPr>
          <w:p w14:paraId="002599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w:t>
            </w:r>
          </w:p>
        </w:tc>
        <w:tc>
          <w:tcPr>
            <w:tcW w:w="1217" w:type="dxa"/>
            <w:noWrap w:val="0"/>
            <w:vAlign w:val="center"/>
          </w:tcPr>
          <w:p w14:paraId="5AA4B3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370</w:t>
            </w:r>
          </w:p>
        </w:tc>
        <w:tc>
          <w:tcPr>
            <w:tcW w:w="1217" w:type="dxa"/>
            <w:noWrap w:val="0"/>
            <w:vAlign w:val="center"/>
          </w:tcPr>
          <w:p w14:paraId="168106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1383</w:t>
            </w:r>
          </w:p>
        </w:tc>
        <w:tc>
          <w:tcPr>
            <w:tcW w:w="1218" w:type="dxa"/>
            <w:noWrap w:val="0"/>
            <w:vAlign w:val="center"/>
          </w:tcPr>
          <w:p w14:paraId="1DE405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79.3</w:t>
            </w:r>
          </w:p>
        </w:tc>
        <w:tc>
          <w:tcPr>
            <w:tcW w:w="1218" w:type="dxa"/>
            <w:noWrap w:val="0"/>
            <w:vAlign w:val="center"/>
          </w:tcPr>
          <w:p w14:paraId="208283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211.3</w:t>
            </w:r>
          </w:p>
        </w:tc>
        <w:tc>
          <w:tcPr>
            <w:tcW w:w="1540" w:type="dxa"/>
            <w:noWrap w:val="0"/>
            <w:vAlign w:val="center"/>
          </w:tcPr>
          <w:p w14:paraId="675668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10377</w:t>
            </w:r>
          </w:p>
        </w:tc>
      </w:tr>
      <w:tr w14:paraId="02287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312E9B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官陂村</w:t>
            </w:r>
          </w:p>
        </w:tc>
        <w:tc>
          <w:tcPr>
            <w:tcW w:w="1246" w:type="dxa"/>
            <w:noWrap w:val="0"/>
            <w:vAlign w:val="center"/>
          </w:tcPr>
          <w:p w14:paraId="585F5A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w:t>
            </w:r>
          </w:p>
        </w:tc>
        <w:tc>
          <w:tcPr>
            <w:tcW w:w="1217" w:type="dxa"/>
            <w:noWrap w:val="0"/>
            <w:vAlign w:val="center"/>
          </w:tcPr>
          <w:p w14:paraId="1157A3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453</w:t>
            </w:r>
          </w:p>
        </w:tc>
        <w:tc>
          <w:tcPr>
            <w:tcW w:w="1217" w:type="dxa"/>
            <w:noWrap w:val="0"/>
            <w:vAlign w:val="center"/>
          </w:tcPr>
          <w:p w14:paraId="397F14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1807</w:t>
            </w:r>
          </w:p>
        </w:tc>
        <w:tc>
          <w:tcPr>
            <w:tcW w:w="1218" w:type="dxa"/>
            <w:noWrap w:val="0"/>
            <w:vAlign w:val="center"/>
          </w:tcPr>
          <w:p w14:paraId="3DA8E4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185.6</w:t>
            </w:r>
          </w:p>
        </w:tc>
        <w:tc>
          <w:tcPr>
            <w:tcW w:w="1218" w:type="dxa"/>
            <w:noWrap w:val="0"/>
            <w:vAlign w:val="center"/>
          </w:tcPr>
          <w:p w14:paraId="75981D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382.7</w:t>
            </w:r>
          </w:p>
        </w:tc>
        <w:tc>
          <w:tcPr>
            <w:tcW w:w="1540" w:type="dxa"/>
            <w:noWrap w:val="0"/>
            <w:vAlign w:val="center"/>
          </w:tcPr>
          <w:p w14:paraId="0EE26B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9719</w:t>
            </w:r>
          </w:p>
        </w:tc>
      </w:tr>
      <w:tr w14:paraId="22E23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06A53E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坪湖村</w:t>
            </w:r>
          </w:p>
        </w:tc>
        <w:tc>
          <w:tcPr>
            <w:tcW w:w="1246" w:type="dxa"/>
            <w:noWrap w:val="0"/>
            <w:vAlign w:val="center"/>
          </w:tcPr>
          <w:p w14:paraId="159832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w:t>
            </w:r>
          </w:p>
        </w:tc>
        <w:tc>
          <w:tcPr>
            <w:tcW w:w="1217" w:type="dxa"/>
            <w:noWrap w:val="0"/>
            <w:vAlign w:val="center"/>
          </w:tcPr>
          <w:p w14:paraId="1F324A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513</w:t>
            </w:r>
          </w:p>
        </w:tc>
        <w:tc>
          <w:tcPr>
            <w:tcW w:w="1217" w:type="dxa"/>
            <w:noWrap w:val="0"/>
            <w:vAlign w:val="center"/>
          </w:tcPr>
          <w:p w14:paraId="76F5E9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2025</w:t>
            </w:r>
          </w:p>
        </w:tc>
        <w:tc>
          <w:tcPr>
            <w:tcW w:w="1218" w:type="dxa"/>
            <w:noWrap w:val="0"/>
            <w:vAlign w:val="center"/>
          </w:tcPr>
          <w:p w14:paraId="176D60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75.6</w:t>
            </w:r>
          </w:p>
        </w:tc>
        <w:tc>
          <w:tcPr>
            <w:tcW w:w="1218" w:type="dxa"/>
            <w:noWrap w:val="0"/>
            <w:vAlign w:val="center"/>
          </w:tcPr>
          <w:p w14:paraId="68F7FB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957.9</w:t>
            </w:r>
          </w:p>
        </w:tc>
        <w:tc>
          <w:tcPr>
            <w:tcW w:w="1540" w:type="dxa"/>
            <w:noWrap w:val="0"/>
            <w:vAlign w:val="center"/>
          </w:tcPr>
          <w:p w14:paraId="45E568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10397</w:t>
            </w:r>
          </w:p>
        </w:tc>
      </w:tr>
      <w:tr w14:paraId="514C4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101DF0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坪田村</w:t>
            </w:r>
          </w:p>
        </w:tc>
        <w:tc>
          <w:tcPr>
            <w:tcW w:w="1246" w:type="dxa"/>
            <w:noWrap w:val="0"/>
            <w:vAlign w:val="center"/>
          </w:tcPr>
          <w:p w14:paraId="70C604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w:t>
            </w:r>
          </w:p>
        </w:tc>
        <w:tc>
          <w:tcPr>
            <w:tcW w:w="1217" w:type="dxa"/>
            <w:noWrap w:val="0"/>
            <w:vAlign w:val="center"/>
          </w:tcPr>
          <w:p w14:paraId="512425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480</w:t>
            </w:r>
          </w:p>
        </w:tc>
        <w:tc>
          <w:tcPr>
            <w:tcW w:w="1217" w:type="dxa"/>
            <w:noWrap w:val="0"/>
            <w:vAlign w:val="center"/>
          </w:tcPr>
          <w:p w14:paraId="49AB97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1791</w:t>
            </w:r>
          </w:p>
        </w:tc>
        <w:tc>
          <w:tcPr>
            <w:tcW w:w="1218" w:type="dxa"/>
            <w:noWrap w:val="0"/>
            <w:vAlign w:val="center"/>
          </w:tcPr>
          <w:p w14:paraId="00A9B8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67.4</w:t>
            </w:r>
          </w:p>
        </w:tc>
        <w:tc>
          <w:tcPr>
            <w:tcW w:w="1218" w:type="dxa"/>
            <w:noWrap w:val="0"/>
            <w:vAlign w:val="center"/>
          </w:tcPr>
          <w:p w14:paraId="6DB304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873.45</w:t>
            </w:r>
          </w:p>
        </w:tc>
        <w:tc>
          <w:tcPr>
            <w:tcW w:w="1540" w:type="dxa"/>
            <w:noWrap w:val="0"/>
            <w:vAlign w:val="center"/>
          </w:tcPr>
          <w:p w14:paraId="272ACD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9958</w:t>
            </w:r>
          </w:p>
        </w:tc>
      </w:tr>
      <w:tr w14:paraId="51D23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0AC119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龙头村</w:t>
            </w:r>
          </w:p>
        </w:tc>
        <w:tc>
          <w:tcPr>
            <w:tcW w:w="1246" w:type="dxa"/>
            <w:noWrap w:val="0"/>
            <w:vAlign w:val="center"/>
          </w:tcPr>
          <w:p w14:paraId="2323CF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w:t>
            </w:r>
          </w:p>
        </w:tc>
        <w:tc>
          <w:tcPr>
            <w:tcW w:w="1217" w:type="dxa"/>
            <w:noWrap w:val="0"/>
            <w:vAlign w:val="center"/>
          </w:tcPr>
          <w:p w14:paraId="707349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248</w:t>
            </w:r>
          </w:p>
        </w:tc>
        <w:tc>
          <w:tcPr>
            <w:tcW w:w="1217" w:type="dxa"/>
            <w:noWrap w:val="0"/>
            <w:vAlign w:val="center"/>
          </w:tcPr>
          <w:p w14:paraId="6D49F3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1037</w:t>
            </w:r>
          </w:p>
        </w:tc>
        <w:tc>
          <w:tcPr>
            <w:tcW w:w="1218" w:type="dxa"/>
            <w:noWrap w:val="0"/>
            <w:vAlign w:val="center"/>
          </w:tcPr>
          <w:p w14:paraId="301ED1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79.6</w:t>
            </w:r>
          </w:p>
        </w:tc>
        <w:tc>
          <w:tcPr>
            <w:tcW w:w="1218" w:type="dxa"/>
            <w:noWrap w:val="0"/>
            <w:vAlign w:val="center"/>
          </w:tcPr>
          <w:p w14:paraId="55BC76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587.2</w:t>
            </w:r>
          </w:p>
        </w:tc>
        <w:tc>
          <w:tcPr>
            <w:tcW w:w="1540" w:type="dxa"/>
            <w:noWrap w:val="0"/>
            <w:vAlign w:val="center"/>
          </w:tcPr>
          <w:p w14:paraId="35CF48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10109</w:t>
            </w:r>
          </w:p>
        </w:tc>
      </w:tr>
      <w:tr w14:paraId="11DAE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323E4F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迳洞村</w:t>
            </w:r>
          </w:p>
        </w:tc>
        <w:tc>
          <w:tcPr>
            <w:tcW w:w="1246" w:type="dxa"/>
            <w:noWrap w:val="0"/>
            <w:vAlign w:val="center"/>
          </w:tcPr>
          <w:p w14:paraId="6C3542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w:t>
            </w:r>
          </w:p>
        </w:tc>
        <w:tc>
          <w:tcPr>
            <w:tcW w:w="1217" w:type="dxa"/>
            <w:noWrap w:val="0"/>
            <w:vAlign w:val="center"/>
          </w:tcPr>
          <w:p w14:paraId="54FE8F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567</w:t>
            </w:r>
          </w:p>
        </w:tc>
        <w:tc>
          <w:tcPr>
            <w:tcW w:w="1217" w:type="dxa"/>
            <w:noWrap w:val="0"/>
            <w:vAlign w:val="center"/>
          </w:tcPr>
          <w:p w14:paraId="7850A9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2271</w:t>
            </w:r>
          </w:p>
        </w:tc>
        <w:tc>
          <w:tcPr>
            <w:tcW w:w="1218" w:type="dxa"/>
            <w:noWrap w:val="0"/>
            <w:vAlign w:val="center"/>
          </w:tcPr>
          <w:p w14:paraId="278DC4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91.8</w:t>
            </w:r>
          </w:p>
        </w:tc>
        <w:tc>
          <w:tcPr>
            <w:tcW w:w="1218" w:type="dxa"/>
            <w:noWrap w:val="0"/>
            <w:vAlign w:val="center"/>
          </w:tcPr>
          <w:p w14:paraId="5BE67E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1586.9</w:t>
            </w:r>
          </w:p>
        </w:tc>
        <w:tc>
          <w:tcPr>
            <w:tcW w:w="1540" w:type="dxa"/>
            <w:noWrap w:val="0"/>
            <w:vAlign w:val="center"/>
          </w:tcPr>
          <w:p w14:paraId="6483B9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9908</w:t>
            </w:r>
          </w:p>
        </w:tc>
      </w:tr>
      <w:tr w14:paraId="5AC79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152378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新墟村</w:t>
            </w:r>
          </w:p>
        </w:tc>
        <w:tc>
          <w:tcPr>
            <w:tcW w:w="1246" w:type="dxa"/>
            <w:noWrap w:val="0"/>
            <w:vAlign w:val="center"/>
          </w:tcPr>
          <w:p w14:paraId="41FBBA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w:t>
            </w:r>
          </w:p>
        </w:tc>
        <w:tc>
          <w:tcPr>
            <w:tcW w:w="1217" w:type="dxa"/>
            <w:noWrap w:val="0"/>
            <w:vAlign w:val="center"/>
          </w:tcPr>
          <w:p w14:paraId="7E3308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372</w:t>
            </w:r>
          </w:p>
        </w:tc>
        <w:tc>
          <w:tcPr>
            <w:tcW w:w="1217" w:type="dxa"/>
            <w:noWrap w:val="0"/>
            <w:vAlign w:val="center"/>
          </w:tcPr>
          <w:p w14:paraId="262B32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1512</w:t>
            </w:r>
          </w:p>
        </w:tc>
        <w:tc>
          <w:tcPr>
            <w:tcW w:w="1218" w:type="dxa"/>
            <w:noWrap w:val="0"/>
            <w:vAlign w:val="center"/>
          </w:tcPr>
          <w:p w14:paraId="02892A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132.4</w:t>
            </w:r>
          </w:p>
        </w:tc>
        <w:tc>
          <w:tcPr>
            <w:tcW w:w="1218" w:type="dxa"/>
            <w:noWrap w:val="0"/>
            <w:vAlign w:val="center"/>
          </w:tcPr>
          <w:p w14:paraId="171D81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472.7</w:t>
            </w:r>
          </w:p>
        </w:tc>
        <w:tc>
          <w:tcPr>
            <w:tcW w:w="1540" w:type="dxa"/>
            <w:noWrap w:val="0"/>
            <w:vAlign w:val="center"/>
          </w:tcPr>
          <w:p w14:paraId="1D9A08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10253</w:t>
            </w:r>
          </w:p>
        </w:tc>
      </w:tr>
      <w:tr w14:paraId="311CF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7EBC23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老宅村</w:t>
            </w:r>
          </w:p>
        </w:tc>
        <w:tc>
          <w:tcPr>
            <w:tcW w:w="1246" w:type="dxa"/>
            <w:noWrap w:val="0"/>
            <w:vAlign w:val="center"/>
          </w:tcPr>
          <w:p w14:paraId="658DBE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w:t>
            </w:r>
          </w:p>
        </w:tc>
        <w:tc>
          <w:tcPr>
            <w:tcW w:w="1217" w:type="dxa"/>
            <w:noWrap w:val="0"/>
            <w:vAlign w:val="center"/>
          </w:tcPr>
          <w:p w14:paraId="78628A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401</w:t>
            </w:r>
          </w:p>
        </w:tc>
        <w:tc>
          <w:tcPr>
            <w:tcW w:w="1217" w:type="dxa"/>
            <w:noWrap w:val="0"/>
            <w:vAlign w:val="center"/>
          </w:tcPr>
          <w:p w14:paraId="67543A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1643</w:t>
            </w:r>
          </w:p>
        </w:tc>
        <w:tc>
          <w:tcPr>
            <w:tcW w:w="1218" w:type="dxa"/>
            <w:noWrap w:val="0"/>
            <w:vAlign w:val="center"/>
          </w:tcPr>
          <w:p w14:paraId="16D0DA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100.9</w:t>
            </w:r>
          </w:p>
        </w:tc>
        <w:tc>
          <w:tcPr>
            <w:tcW w:w="1218" w:type="dxa"/>
            <w:noWrap w:val="0"/>
            <w:vAlign w:val="center"/>
          </w:tcPr>
          <w:p w14:paraId="7BD2E3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962.1</w:t>
            </w:r>
          </w:p>
        </w:tc>
        <w:tc>
          <w:tcPr>
            <w:tcW w:w="1540" w:type="dxa"/>
            <w:noWrap w:val="0"/>
            <w:vAlign w:val="center"/>
          </w:tcPr>
          <w:p w14:paraId="1D0B9D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9666</w:t>
            </w:r>
          </w:p>
        </w:tc>
      </w:tr>
      <w:tr w14:paraId="1636B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7DA8BE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中坪村</w:t>
            </w:r>
          </w:p>
        </w:tc>
        <w:tc>
          <w:tcPr>
            <w:tcW w:w="1246" w:type="dxa"/>
            <w:noWrap w:val="0"/>
            <w:vAlign w:val="center"/>
          </w:tcPr>
          <w:p w14:paraId="784B23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w:t>
            </w:r>
          </w:p>
        </w:tc>
        <w:tc>
          <w:tcPr>
            <w:tcW w:w="1217" w:type="dxa"/>
            <w:noWrap w:val="0"/>
            <w:vAlign w:val="center"/>
          </w:tcPr>
          <w:p w14:paraId="46F31A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484</w:t>
            </w:r>
          </w:p>
        </w:tc>
        <w:tc>
          <w:tcPr>
            <w:tcW w:w="1217" w:type="dxa"/>
            <w:noWrap w:val="0"/>
            <w:vAlign w:val="center"/>
          </w:tcPr>
          <w:p w14:paraId="150899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1960</w:t>
            </w:r>
          </w:p>
        </w:tc>
        <w:tc>
          <w:tcPr>
            <w:tcW w:w="1218" w:type="dxa"/>
            <w:noWrap w:val="0"/>
            <w:vAlign w:val="center"/>
          </w:tcPr>
          <w:p w14:paraId="14AE8C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108.6</w:t>
            </w:r>
          </w:p>
        </w:tc>
        <w:tc>
          <w:tcPr>
            <w:tcW w:w="1218" w:type="dxa"/>
            <w:noWrap w:val="0"/>
            <w:vAlign w:val="center"/>
          </w:tcPr>
          <w:p w14:paraId="29324E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1676.9</w:t>
            </w:r>
          </w:p>
        </w:tc>
        <w:tc>
          <w:tcPr>
            <w:tcW w:w="1540" w:type="dxa"/>
            <w:noWrap w:val="0"/>
            <w:vAlign w:val="center"/>
          </w:tcPr>
          <w:p w14:paraId="79010B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10201</w:t>
            </w:r>
          </w:p>
        </w:tc>
      </w:tr>
      <w:tr w14:paraId="1E142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35FADD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社区</w:t>
            </w:r>
          </w:p>
        </w:tc>
        <w:tc>
          <w:tcPr>
            <w:tcW w:w="1246" w:type="dxa"/>
            <w:noWrap w:val="0"/>
            <w:vAlign w:val="center"/>
          </w:tcPr>
          <w:p w14:paraId="0427A0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w:t>
            </w:r>
          </w:p>
        </w:tc>
        <w:tc>
          <w:tcPr>
            <w:tcW w:w="1217" w:type="dxa"/>
            <w:noWrap w:val="0"/>
            <w:vAlign w:val="center"/>
          </w:tcPr>
          <w:p w14:paraId="000616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838</w:t>
            </w:r>
          </w:p>
        </w:tc>
        <w:tc>
          <w:tcPr>
            <w:tcW w:w="1217" w:type="dxa"/>
            <w:noWrap w:val="0"/>
            <w:vAlign w:val="center"/>
          </w:tcPr>
          <w:p w14:paraId="7C4D75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1369</w:t>
            </w:r>
          </w:p>
        </w:tc>
        <w:tc>
          <w:tcPr>
            <w:tcW w:w="1218" w:type="dxa"/>
            <w:noWrap w:val="0"/>
            <w:vAlign w:val="center"/>
          </w:tcPr>
          <w:p w14:paraId="0F77AB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w:t>
            </w:r>
          </w:p>
        </w:tc>
        <w:tc>
          <w:tcPr>
            <w:tcW w:w="1218" w:type="dxa"/>
            <w:noWrap w:val="0"/>
            <w:vAlign w:val="center"/>
          </w:tcPr>
          <w:p w14:paraId="4D52CF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w:t>
            </w:r>
          </w:p>
        </w:tc>
        <w:tc>
          <w:tcPr>
            <w:tcW w:w="1540" w:type="dxa"/>
            <w:noWrap w:val="0"/>
            <w:vAlign w:val="center"/>
          </w:tcPr>
          <w:p w14:paraId="16ED39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w:t>
            </w:r>
          </w:p>
        </w:tc>
      </w:tr>
      <w:tr w14:paraId="36C87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8" w:type="dxa"/>
            <w:noWrap w:val="0"/>
            <w:vAlign w:val="center"/>
          </w:tcPr>
          <w:p w14:paraId="1FDE0E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合计</w:t>
            </w:r>
          </w:p>
        </w:tc>
        <w:tc>
          <w:tcPr>
            <w:tcW w:w="1246" w:type="dxa"/>
            <w:noWrap w:val="0"/>
            <w:vAlign w:val="center"/>
          </w:tcPr>
          <w:p w14:paraId="76496E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181</w:t>
            </w:r>
          </w:p>
        </w:tc>
        <w:tc>
          <w:tcPr>
            <w:tcW w:w="1217" w:type="dxa"/>
            <w:noWrap w:val="0"/>
            <w:vAlign w:val="center"/>
          </w:tcPr>
          <w:p w14:paraId="7AE65B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7274</w:t>
            </w:r>
          </w:p>
        </w:tc>
        <w:tc>
          <w:tcPr>
            <w:tcW w:w="1217" w:type="dxa"/>
            <w:noWrap w:val="0"/>
            <w:vAlign w:val="center"/>
          </w:tcPr>
          <w:p w14:paraId="037074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26794</w:t>
            </w:r>
          </w:p>
        </w:tc>
        <w:tc>
          <w:tcPr>
            <w:tcW w:w="1218" w:type="dxa"/>
            <w:noWrap w:val="0"/>
            <w:vAlign w:val="center"/>
          </w:tcPr>
          <w:p w14:paraId="715994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1723.83</w:t>
            </w:r>
          </w:p>
        </w:tc>
        <w:tc>
          <w:tcPr>
            <w:tcW w:w="1218" w:type="dxa"/>
            <w:noWrap w:val="0"/>
            <w:vAlign w:val="center"/>
          </w:tcPr>
          <w:p w14:paraId="723932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9546.45</w:t>
            </w:r>
          </w:p>
        </w:tc>
        <w:tc>
          <w:tcPr>
            <w:tcW w:w="1540" w:type="dxa"/>
            <w:noWrap w:val="0"/>
            <w:vAlign w:val="center"/>
          </w:tcPr>
          <w:p w14:paraId="618ABB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9988</w:t>
            </w:r>
          </w:p>
        </w:tc>
      </w:tr>
    </w:tbl>
    <w:p w14:paraId="72FE40F0">
      <w:pPr>
        <w:rPr>
          <w:rFonts w:hint="eastAsia" w:hAnsi="宋体" w:eastAsia="宋体" w:cs="宋体"/>
          <w:highlight w:val="none"/>
          <w:lang w:eastAsia="zh-CN"/>
        </w:rPr>
      </w:pPr>
      <w:r>
        <w:rPr>
          <w:rFonts w:hint="eastAsia" w:hAnsi="宋体" w:cs="宋体"/>
          <w:highlight w:val="none"/>
        </w:rPr>
        <w:t>附：2015年坪田镇领导班子成员名单</w:t>
      </w:r>
    </w:p>
    <w:p w14:paraId="1BAC51D4">
      <w:pPr>
        <w:rPr>
          <w:rFonts w:hint="eastAsia" w:hAnsi="宋体" w:eastAsia="宋体" w:cs="宋体"/>
          <w:highlight w:val="none"/>
          <w:lang w:eastAsia="zh-CN"/>
        </w:rPr>
      </w:pPr>
      <w:r>
        <w:rPr>
          <w:rFonts w:hint="eastAsia" w:hAnsi="宋体" w:cs="宋体"/>
          <w:highlight w:val="none"/>
        </w:rPr>
        <w:t>镇党委书记、人大主席：何少波</w:t>
      </w:r>
    </w:p>
    <w:p w14:paraId="71041588">
      <w:pPr>
        <w:rPr>
          <w:rFonts w:hint="eastAsia" w:hAnsi="宋体" w:eastAsia="宋体" w:cs="宋体"/>
          <w:b w:val="0"/>
          <w:bCs w:val="0"/>
          <w:highlight w:val="none"/>
          <w:lang w:eastAsia="zh-CN"/>
        </w:rPr>
      </w:pPr>
      <w:r>
        <w:rPr>
          <w:rFonts w:hint="eastAsia" w:hAnsi="宋体" w:cs="宋体"/>
          <w:b w:val="0"/>
          <w:bCs w:val="0"/>
          <w:highlight w:val="none"/>
        </w:rPr>
        <w:t>镇党委副书记、镇长</w:t>
      </w:r>
      <w:r>
        <w:rPr>
          <w:rFonts w:hint="eastAsia" w:hAnsi="宋体" w:cs="宋体"/>
          <w:b w:val="0"/>
          <w:bCs w:val="0"/>
          <w:highlight w:val="none"/>
          <w:lang w:eastAsia="zh-CN"/>
        </w:rPr>
        <w:t>：</w:t>
      </w:r>
      <w:r>
        <w:rPr>
          <w:rFonts w:hint="eastAsia" w:hAnsi="宋体" w:cs="宋体"/>
          <w:b w:val="0"/>
          <w:bCs w:val="0"/>
          <w:highlight w:val="none"/>
        </w:rPr>
        <w:t>叶飞（4月任）</w:t>
      </w:r>
    </w:p>
    <w:p w14:paraId="54334A12">
      <w:pPr>
        <w:rPr>
          <w:rFonts w:hint="eastAsia" w:hAnsi="宋体" w:eastAsia="宋体" w:cs="宋体"/>
          <w:b w:val="0"/>
          <w:bCs w:val="0"/>
          <w:highlight w:val="none"/>
          <w:lang w:eastAsia="zh-CN"/>
        </w:rPr>
      </w:pPr>
      <w:r>
        <w:rPr>
          <w:rFonts w:hint="eastAsia" w:hAnsi="宋体" w:cs="宋体"/>
          <w:b w:val="0"/>
          <w:bCs w:val="0"/>
          <w:highlight w:val="none"/>
        </w:rPr>
        <w:t>镇党委副书记：杨</w:t>
      </w:r>
      <w:r>
        <w:rPr>
          <w:rFonts w:hint="eastAsia" w:hAnsi="宋体" w:cs="宋体"/>
          <w:b w:val="0"/>
          <w:bCs w:val="0"/>
          <w:highlight w:val="none"/>
          <w:lang w:val="en-US" w:eastAsia="zh-CN"/>
        </w:rPr>
        <w:t xml:space="preserve">  </w:t>
      </w:r>
      <w:r>
        <w:rPr>
          <w:rFonts w:hint="eastAsia" w:hAnsi="宋体" w:cs="宋体"/>
          <w:b w:val="0"/>
          <w:bCs w:val="0"/>
          <w:highlight w:val="none"/>
        </w:rPr>
        <w:t>忠</w:t>
      </w:r>
    </w:p>
    <w:p w14:paraId="3D2D4C0F">
      <w:pPr>
        <w:rPr>
          <w:rFonts w:hint="eastAsia" w:hAnsi="宋体" w:eastAsia="宋体" w:cs="宋体"/>
          <w:b w:val="0"/>
          <w:bCs w:val="0"/>
          <w:highlight w:val="none"/>
          <w:lang w:eastAsia="zh-CN"/>
        </w:rPr>
      </w:pPr>
      <w:r>
        <w:rPr>
          <w:rFonts w:hint="eastAsia" w:hAnsi="宋体" w:cs="宋体"/>
          <w:b w:val="0"/>
          <w:bCs w:val="0"/>
          <w:highlight w:val="none"/>
        </w:rPr>
        <w:t>镇党委委员、纪委书记：张朝凤</w:t>
      </w:r>
    </w:p>
    <w:p w14:paraId="6B000B14">
      <w:pPr>
        <w:rPr>
          <w:rFonts w:hint="eastAsia" w:hAnsi="宋体" w:eastAsia="宋体" w:cs="宋体"/>
          <w:b w:val="0"/>
          <w:bCs w:val="0"/>
          <w:highlight w:val="none"/>
          <w:lang w:eastAsia="zh-CN"/>
        </w:rPr>
      </w:pPr>
      <w:r>
        <w:rPr>
          <w:rFonts w:hint="eastAsia" w:hAnsi="宋体" w:cs="宋体"/>
          <w:b w:val="0"/>
          <w:bCs w:val="0"/>
          <w:highlight w:val="none"/>
        </w:rPr>
        <w:t>镇党委组织委员：杜嗣卿</w:t>
      </w:r>
    </w:p>
    <w:p w14:paraId="3863213D">
      <w:pPr>
        <w:rPr>
          <w:rFonts w:hint="eastAsia" w:hAnsi="宋体" w:eastAsia="宋体" w:cs="宋体"/>
          <w:b w:val="0"/>
          <w:bCs w:val="0"/>
          <w:highlight w:val="none"/>
          <w:lang w:eastAsia="zh-CN"/>
        </w:rPr>
      </w:pPr>
      <w:r>
        <w:rPr>
          <w:rFonts w:hint="eastAsia" w:hAnsi="宋体" w:cs="宋体"/>
          <w:b w:val="0"/>
          <w:bCs w:val="0"/>
          <w:highlight w:val="none"/>
        </w:rPr>
        <w:t>镇党委宣传委员：黄得林</w:t>
      </w:r>
    </w:p>
    <w:p w14:paraId="218C1B5D">
      <w:pPr>
        <w:rPr>
          <w:rFonts w:hint="eastAsia" w:hAnsi="宋体" w:eastAsia="宋体" w:cs="宋体"/>
          <w:b w:val="0"/>
          <w:bCs w:val="0"/>
          <w:highlight w:val="none"/>
          <w:lang w:eastAsia="zh-CN"/>
        </w:rPr>
      </w:pPr>
      <w:r>
        <w:rPr>
          <w:rFonts w:hint="eastAsia" w:hAnsi="宋体" w:cs="宋体"/>
          <w:b w:val="0"/>
          <w:bCs w:val="0"/>
          <w:highlight w:val="none"/>
        </w:rPr>
        <w:t>镇党委委员、人大副主席：叶银华</w:t>
      </w:r>
    </w:p>
    <w:p w14:paraId="5911C2C0">
      <w:pPr>
        <w:rPr>
          <w:rFonts w:hint="eastAsia" w:hAnsi="宋体" w:eastAsia="宋体" w:cs="宋体"/>
          <w:b w:val="0"/>
          <w:bCs w:val="0"/>
          <w:highlight w:val="none"/>
          <w:lang w:eastAsia="zh-CN"/>
        </w:rPr>
      </w:pPr>
      <w:r>
        <w:rPr>
          <w:rFonts w:hint="eastAsia" w:hAnsi="宋体" w:cs="宋体"/>
          <w:b w:val="0"/>
          <w:bCs w:val="0"/>
          <w:highlight w:val="none"/>
        </w:rPr>
        <w:t>镇党委委员、武装部长：陈军良</w:t>
      </w:r>
    </w:p>
    <w:p w14:paraId="3E7B0757">
      <w:pPr>
        <w:rPr>
          <w:rFonts w:hint="eastAsia" w:hAnsi="宋体" w:eastAsia="宋体" w:cs="宋体"/>
          <w:b w:val="0"/>
          <w:bCs w:val="0"/>
          <w:highlight w:val="none"/>
          <w:lang w:eastAsia="zh-CN"/>
        </w:rPr>
      </w:pPr>
      <w:r>
        <w:rPr>
          <w:rFonts w:hint="eastAsia" w:hAnsi="宋体" w:cs="宋体"/>
          <w:b w:val="0"/>
          <w:bCs w:val="0"/>
          <w:highlight w:val="none"/>
        </w:rPr>
        <w:t>镇党委委员、综治中心专职副主任：聂伟敏</w:t>
      </w:r>
    </w:p>
    <w:p w14:paraId="173DAE4B">
      <w:pPr>
        <w:rPr>
          <w:rFonts w:hint="eastAsia" w:hAnsi="宋体" w:eastAsia="宋体" w:cs="宋体"/>
          <w:b w:val="0"/>
          <w:bCs w:val="0"/>
          <w:highlight w:val="none"/>
          <w:lang w:eastAsia="zh-CN"/>
        </w:rPr>
      </w:pPr>
      <w:r>
        <w:rPr>
          <w:rFonts w:hint="eastAsia" w:hAnsi="宋体" w:cs="宋体"/>
          <w:b w:val="0"/>
          <w:bCs w:val="0"/>
          <w:highlight w:val="none"/>
        </w:rPr>
        <w:t>副镇长：陈日军</w:t>
      </w:r>
      <w:r>
        <w:rPr>
          <w:rFonts w:hint="eastAsia" w:hAnsi="宋体" w:cs="宋体"/>
          <w:b w:val="0"/>
          <w:bCs w:val="0"/>
          <w:highlight w:val="none"/>
          <w:lang w:val="en-US" w:eastAsia="zh-CN"/>
        </w:rPr>
        <w:t xml:space="preserve"> </w:t>
      </w:r>
      <w:r>
        <w:rPr>
          <w:rFonts w:hint="eastAsia" w:hAnsi="宋体" w:cs="宋体"/>
          <w:b w:val="0"/>
          <w:bCs w:val="0"/>
          <w:highlight w:val="none"/>
        </w:rPr>
        <w:t>张</w:t>
      </w:r>
      <w:r>
        <w:rPr>
          <w:rFonts w:hint="eastAsia" w:hAnsi="宋体" w:cs="宋体"/>
          <w:b w:val="0"/>
          <w:bCs w:val="0"/>
          <w:highlight w:val="none"/>
          <w:lang w:val="en-US" w:eastAsia="zh-CN"/>
        </w:rPr>
        <w:t xml:space="preserve">  </w:t>
      </w:r>
      <w:r>
        <w:rPr>
          <w:rFonts w:hint="eastAsia" w:hAnsi="宋体" w:cs="宋体"/>
          <w:b w:val="0"/>
          <w:bCs w:val="0"/>
          <w:highlight w:val="none"/>
        </w:rPr>
        <w:t>旭</w:t>
      </w:r>
      <w:r>
        <w:rPr>
          <w:rFonts w:hint="eastAsia" w:hAnsi="宋体" w:cs="宋体"/>
          <w:b w:val="0"/>
          <w:bCs w:val="0"/>
          <w:highlight w:val="none"/>
          <w:lang w:val="en-US" w:eastAsia="zh-CN"/>
        </w:rPr>
        <w:t xml:space="preserve"> </w:t>
      </w:r>
      <w:r>
        <w:rPr>
          <w:rFonts w:hint="eastAsia" w:hAnsi="宋体" w:cs="宋体"/>
          <w:b w:val="0"/>
          <w:bCs w:val="0"/>
          <w:highlight w:val="none"/>
        </w:rPr>
        <w:t>曾令荣</w:t>
      </w:r>
    </w:p>
    <w:p w14:paraId="6E07078E">
      <w:pPr>
        <w:pStyle w:val="3"/>
        <w:bidi w:val="0"/>
        <w:rPr>
          <w:rFonts w:hint="eastAsia"/>
          <w:highlight w:val="none"/>
        </w:rPr>
      </w:pPr>
      <w:r>
        <w:rPr>
          <w:rFonts w:hint="eastAsia"/>
          <w:highlight w:val="none"/>
        </w:rPr>
        <w:t>黄坑镇</w:t>
      </w:r>
    </w:p>
    <w:p w14:paraId="7936899D">
      <w:pPr>
        <w:pStyle w:val="4"/>
        <w:bidi w:val="0"/>
        <w:rPr>
          <w:rFonts w:hint="eastAsia"/>
          <w:highlight w:val="none"/>
        </w:rPr>
      </w:pPr>
      <w:r>
        <w:rPr>
          <w:rFonts w:hint="eastAsia"/>
          <w:highlight w:val="none"/>
        </w:rPr>
        <w:t>【概况】</w:t>
      </w:r>
    </w:p>
    <w:p w14:paraId="4919C4D7">
      <w:pPr>
        <w:rPr>
          <w:rFonts w:hint="eastAsia" w:hAnsi="宋体" w:cs="宋体"/>
          <w:highlight w:val="none"/>
        </w:rPr>
      </w:pPr>
      <w:r>
        <w:rPr>
          <w:rFonts w:hint="eastAsia" w:hAnsi="宋体" w:cs="宋体"/>
          <w:highlight w:val="none"/>
        </w:rPr>
        <w:t>黄坑镇位于南雄市东北部21公里处，总面积58.26平方公里，人口2.5万人，辖11个村（居）委会。黄坑因黄泥土多而得名，明代属望检乡杨律都。清咸丰四年（1854年）废都建约。民国初期沿清制。民国21年（1932年）属第六区黄平乡。民国29年（1940年）属第二区黄平乡。1951年建立黄坑乡。1958年属火箭（黄坑）人民公社。1962年建立黄坑人民公社。1984年改为区，1986年改为镇。镇政府驻地黄坑墟。辖黄坑、社前、小陂、塘源、溪塘、许村、上象、耶溪、中心、园岭10个村委会和黄坑社区居委会，124个村民小组，总户数7978户，户籍人口24542人，常住人口16256人，有畲族少数民族。镇政府内设党政办公室、经济发展办公室、社会事务办公室、农业办公室、计划生育办公室。行政在编人员26人，事业在编人员16人。2015年镇经济社会科学发展考核被评为良好等次。</w:t>
      </w:r>
    </w:p>
    <w:p w14:paraId="042B61B9">
      <w:pPr>
        <w:pStyle w:val="4"/>
        <w:bidi w:val="0"/>
        <w:rPr>
          <w:rFonts w:hint="eastAsia"/>
          <w:highlight w:val="none"/>
        </w:rPr>
      </w:pPr>
      <w:r>
        <w:rPr>
          <w:rFonts w:hint="eastAsia"/>
          <w:highlight w:val="none"/>
        </w:rPr>
        <w:t>【人文名胜】</w:t>
      </w:r>
    </w:p>
    <w:p w14:paraId="35A9B6F4">
      <w:pPr>
        <w:rPr>
          <w:rFonts w:hint="eastAsia" w:hAnsi="宋体" w:cs="宋体"/>
          <w:highlight w:val="none"/>
        </w:rPr>
      </w:pPr>
      <w:r>
        <w:rPr>
          <w:rFonts w:hint="eastAsia" w:hAnsi="宋体" w:cs="宋体"/>
          <w:highlight w:val="none"/>
        </w:rPr>
        <w:t>黄坑人文历史源远流长，始建于公元920年雄州第一城古溪塘村是广东省古村落，村内至今保留许多古建筑、古雕刻等文化遗产。杨梅坑恐龙化石遗址是省自然保护区。1928年2月，南雄第一届苏维埃政府成立万人大会在黄坑墟召开。镇内18个村落至今保留完好。进士拴马石、板桥文化节、墟镇骄阳采茶剧团、10间农家书屋等见证黄坑崇文尚学文化底蕴。</w:t>
      </w:r>
    </w:p>
    <w:p w14:paraId="1D1A3CAE">
      <w:pPr>
        <w:pStyle w:val="4"/>
        <w:bidi w:val="0"/>
        <w:rPr>
          <w:rFonts w:hint="eastAsia"/>
          <w:highlight w:val="none"/>
        </w:rPr>
      </w:pPr>
      <w:r>
        <w:rPr>
          <w:rFonts w:hint="eastAsia"/>
          <w:highlight w:val="none"/>
        </w:rPr>
        <w:t>【经济发展】</w:t>
      </w:r>
    </w:p>
    <w:p w14:paraId="378195E0">
      <w:pPr>
        <w:rPr>
          <w:rFonts w:hint="eastAsia" w:hAnsi="宋体" w:eastAsia="宋体" w:cs="宋体"/>
          <w:highlight w:val="none"/>
          <w:lang w:eastAsia="zh-CN"/>
        </w:rPr>
      </w:pPr>
      <w:r>
        <w:rPr>
          <w:rFonts w:hint="eastAsia" w:hAnsi="宋体" w:cs="宋体"/>
          <w:highlight w:val="none"/>
        </w:rPr>
        <w:t>2015年工农业总产值6.93亿元，农村人均收入11045元，比上年分别增长16.2%和15%；财政收入329.36万元，对比减少42%。</w:t>
      </w:r>
    </w:p>
    <w:p w14:paraId="323AC3AE">
      <w:pPr>
        <w:pStyle w:val="4"/>
        <w:bidi w:val="0"/>
        <w:rPr>
          <w:rFonts w:hint="eastAsia"/>
          <w:highlight w:val="none"/>
        </w:rPr>
      </w:pPr>
      <w:r>
        <w:rPr>
          <w:rFonts w:hint="eastAsia"/>
          <w:highlight w:val="none"/>
        </w:rPr>
        <w:t>【黄烟生产】</w:t>
      </w:r>
    </w:p>
    <w:p w14:paraId="72105ABB">
      <w:pPr>
        <w:rPr>
          <w:rFonts w:hint="eastAsia" w:hAnsi="宋体" w:cs="宋体"/>
          <w:highlight w:val="none"/>
        </w:rPr>
      </w:pPr>
      <w:r>
        <w:rPr>
          <w:rFonts w:hint="eastAsia" w:hAnsi="宋体" w:cs="宋体"/>
          <w:highlight w:val="none"/>
        </w:rPr>
        <w:t>种植黄烟11760亩，完成黄烟收购1715吨，每公斤收购价25.12元，居全市前列，收购总金额4308.08万元。</w:t>
      </w:r>
    </w:p>
    <w:p w14:paraId="042524C3">
      <w:pPr>
        <w:pStyle w:val="4"/>
        <w:bidi w:val="0"/>
        <w:rPr>
          <w:rFonts w:hint="eastAsia"/>
          <w:highlight w:val="none"/>
        </w:rPr>
      </w:pPr>
      <w:r>
        <w:rPr>
          <w:rFonts w:hint="eastAsia"/>
          <w:highlight w:val="none"/>
        </w:rPr>
        <w:t>【优质稻推广】</w:t>
      </w:r>
    </w:p>
    <w:p w14:paraId="1D508973">
      <w:pPr>
        <w:rPr>
          <w:rFonts w:hint="eastAsia" w:hAnsi="宋体" w:cs="宋体"/>
          <w:highlight w:val="none"/>
        </w:rPr>
      </w:pPr>
      <w:r>
        <w:rPr>
          <w:rFonts w:hint="eastAsia" w:hAnsi="宋体" w:cs="宋体"/>
          <w:highlight w:val="none"/>
        </w:rPr>
        <w:t>推广米香粘2号为主栽品种，推进品种更替工作。优质稻品种播种面积约2万亩，其中米香粘2号品种播种面积8200亩。</w:t>
      </w:r>
    </w:p>
    <w:p w14:paraId="26170667">
      <w:pPr>
        <w:pStyle w:val="4"/>
        <w:bidi w:val="0"/>
        <w:rPr>
          <w:rFonts w:hint="eastAsia"/>
          <w:highlight w:val="none"/>
        </w:rPr>
      </w:pPr>
      <w:r>
        <w:rPr>
          <w:rFonts w:hint="eastAsia"/>
          <w:highlight w:val="none"/>
        </w:rPr>
        <w:t>【林业生产】</w:t>
      </w:r>
    </w:p>
    <w:p w14:paraId="49FC6572">
      <w:pPr>
        <w:rPr>
          <w:rFonts w:hint="eastAsia" w:hAnsi="宋体" w:cs="宋体"/>
          <w:highlight w:val="none"/>
        </w:rPr>
      </w:pPr>
      <w:r>
        <w:rPr>
          <w:rFonts w:hint="eastAsia" w:hAnsi="宋体" w:cs="宋体"/>
          <w:highlight w:val="none"/>
        </w:rPr>
        <w:t>完成造林绿化面积1165亩，查处擅自改变林地用途案件9宗。省级、国家级公益林森林生态效益补偿兑现面积15266亩，总金额297.68万元。新增891亩生态公益林，每年多增加17375元生态公益林补偿损失性资金。</w:t>
      </w:r>
    </w:p>
    <w:p w14:paraId="57A51696">
      <w:pPr>
        <w:pStyle w:val="4"/>
        <w:bidi w:val="0"/>
        <w:rPr>
          <w:rFonts w:hint="eastAsia"/>
          <w:highlight w:val="none"/>
        </w:rPr>
      </w:pPr>
      <w:r>
        <w:rPr>
          <w:rFonts w:hint="eastAsia"/>
          <w:highlight w:val="none"/>
        </w:rPr>
        <w:t>【畜牧水产】</w:t>
      </w:r>
    </w:p>
    <w:p w14:paraId="1176B94F">
      <w:pPr>
        <w:rPr>
          <w:rFonts w:hint="eastAsia" w:hAnsi="宋体" w:cs="宋体"/>
          <w:highlight w:val="none"/>
        </w:rPr>
      </w:pPr>
      <w:r>
        <w:rPr>
          <w:rFonts w:hint="eastAsia" w:hAnsi="宋体" w:cs="宋体"/>
          <w:highlight w:val="none"/>
        </w:rPr>
        <w:t>实行春、秋两季动物防疫工作，免费注射猪口蹄疫、猪瘟、蓝耳疫苗，牛口蹄疫、鸡、鸭、鹅禽流感疫苗。完成上象沈福辉、耶溪阳处伟、中心曾宪林等3个猪场的减排任务。</w:t>
      </w:r>
    </w:p>
    <w:p w14:paraId="48C88519">
      <w:pPr>
        <w:pStyle w:val="4"/>
        <w:bidi w:val="0"/>
        <w:rPr>
          <w:rFonts w:hint="eastAsia"/>
          <w:highlight w:val="none"/>
        </w:rPr>
      </w:pPr>
      <w:r>
        <w:rPr>
          <w:rFonts w:hint="eastAsia"/>
          <w:highlight w:val="none"/>
        </w:rPr>
        <w:t>【计划生育】</w:t>
      </w:r>
    </w:p>
    <w:p w14:paraId="4B13CFB8">
      <w:pPr>
        <w:rPr>
          <w:rFonts w:hint="eastAsia" w:hAnsi="宋体" w:cs="宋体"/>
          <w:highlight w:val="none"/>
        </w:rPr>
      </w:pPr>
      <w:r>
        <w:rPr>
          <w:rFonts w:hint="eastAsia" w:hAnsi="宋体" w:cs="宋体"/>
          <w:highlight w:val="none"/>
        </w:rPr>
        <w:t>2015年出生347人，政策生育率为92.22%，人口出生率为13.60‰，出生人口性别比为105.33。人口死亡135人，自然增长212人，自然增长率为8.31‰。开展流动人口服务管理专项活动，核查20间出租屋，45家商铺，6个工地，6个住宅小区，4处厂区宿舍，2个窝棚人口与计生情况。</w:t>
      </w:r>
    </w:p>
    <w:p w14:paraId="392949AC">
      <w:pPr>
        <w:pStyle w:val="4"/>
        <w:bidi w:val="0"/>
        <w:rPr>
          <w:rFonts w:hint="eastAsia"/>
          <w:highlight w:val="none"/>
        </w:rPr>
      </w:pPr>
      <w:r>
        <w:rPr>
          <w:rFonts w:hint="eastAsia"/>
          <w:highlight w:val="none"/>
        </w:rPr>
        <w:t>【扶贫“双到”】</w:t>
      </w:r>
    </w:p>
    <w:p w14:paraId="558761CF">
      <w:pPr>
        <w:rPr>
          <w:rFonts w:hint="eastAsia" w:hAnsi="宋体" w:cs="宋体"/>
          <w:highlight w:val="none"/>
        </w:rPr>
      </w:pPr>
      <w:r>
        <w:rPr>
          <w:rFonts w:hint="eastAsia" w:hAnsi="宋体" w:cs="宋体"/>
          <w:highlight w:val="none"/>
        </w:rPr>
        <w:t>联合3个重点贫困村帮扶单位，通过各种渠道，争取社会各界的支持。整合各类资金588.79万元，其中到村558.7万元，到户30.09万元。上象村“两不具备”搬迁任务35户171人，村委会和帮扶单位协调，选定坳背村为安置点，35套住房建成，建筑面积达3780平方米，总投资564.32万元，其中市级补助75万元，帮扶单位资助24.32万元，农民自筹465万元。</w:t>
      </w:r>
    </w:p>
    <w:p w14:paraId="0B7003AD">
      <w:pPr>
        <w:pStyle w:val="4"/>
        <w:bidi w:val="0"/>
        <w:rPr>
          <w:rFonts w:hint="eastAsia"/>
          <w:highlight w:val="none"/>
        </w:rPr>
      </w:pPr>
      <w:r>
        <w:rPr>
          <w:rFonts w:hint="eastAsia"/>
          <w:highlight w:val="none"/>
        </w:rPr>
        <w:t>【基础设施】</w:t>
      </w:r>
    </w:p>
    <w:p w14:paraId="10AE2F09">
      <w:pPr>
        <w:rPr>
          <w:rFonts w:hint="eastAsia" w:hAnsi="宋体" w:cs="宋体"/>
          <w:highlight w:val="none"/>
        </w:rPr>
      </w:pPr>
      <w:r>
        <w:rPr>
          <w:rFonts w:hint="eastAsia" w:hAnsi="宋体" w:cs="宋体"/>
          <w:highlight w:val="none"/>
        </w:rPr>
        <w:t>投入70.3万元，铺设水泥公路5.1公里，其中上象村2.7公里，园岭村0.81公里，中心村1.6公里；镇内各村公路两旁新安装路灯339盏，其中园岭16盏，溪塘村80盏，黄坑村109盏，耶溪村134盏；中心村投入14.38万元建成2500米农田三面光水渠。</w:t>
      </w:r>
    </w:p>
    <w:p w14:paraId="2AEB3444">
      <w:pPr>
        <w:pStyle w:val="4"/>
        <w:bidi w:val="0"/>
        <w:rPr>
          <w:rFonts w:hint="eastAsia"/>
          <w:highlight w:val="none"/>
        </w:rPr>
      </w:pPr>
      <w:r>
        <w:rPr>
          <w:rFonts w:hint="eastAsia"/>
          <w:highlight w:val="none"/>
        </w:rPr>
        <w:t>【亮点工作】</w:t>
      </w:r>
    </w:p>
    <w:p w14:paraId="589A2D58">
      <w:pPr>
        <w:rPr>
          <w:rFonts w:hint="eastAsia" w:hAnsi="宋体" w:cs="宋体"/>
          <w:highlight w:val="none"/>
        </w:rPr>
      </w:pPr>
      <w:r>
        <w:rPr>
          <w:rFonts w:hint="eastAsia" w:hAnsi="宋体" w:cs="宋体"/>
          <w:highlight w:val="none"/>
        </w:rPr>
        <w:t>投入65万元兴建群众体育活动场所，已建1个标准篮球场、2个羽毛球场，划设20个停车位；协办南雄市蓝氏姓氏文化节，于12月12日、13日顺利举办，此次蓝氏姓氏文化节参会人数有710多人，筹集款项40多万元，成功引进两家企业落户黄坑，引入资金数额达700多万元；创建老四方坑文明法治新村，累计投资23万元，创建成效显著，乡风文明进一步提升；嘉源农庄，总投资达200多万元，与100多户农户达成土鸡养殖供应协议，成为带动周边村民致富典范；创办许村黄烟示范基地，累计产量1127担，亩产达350斤，黄烟收成和质量对比上年都有较好提高，对全镇黄烟推广起到较好示范作用；许村便民休闲健身广场，总投资30多万元，占地面积约4800平方米，是集休闲与健身于一体的多功能便民场所，为村民提供较好的休闲运动场所。</w:t>
      </w:r>
    </w:p>
    <w:p w14:paraId="24D5B18A">
      <w:pPr>
        <w:pStyle w:val="4"/>
        <w:bidi w:val="0"/>
        <w:rPr>
          <w:rFonts w:hint="eastAsia"/>
          <w:highlight w:val="none"/>
        </w:rPr>
      </w:pPr>
      <w:r>
        <w:rPr>
          <w:rFonts w:hint="eastAsia"/>
          <w:highlight w:val="none"/>
        </w:rPr>
        <w:t>【基层组织建设】</w:t>
      </w:r>
    </w:p>
    <w:p w14:paraId="175D417E">
      <w:pPr>
        <w:rPr>
          <w:rFonts w:hint="eastAsia" w:hAnsi="宋体" w:cs="宋体"/>
          <w:highlight w:val="none"/>
        </w:rPr>
      </w:pPr>
      <w:r>
        <w:rPr>
          <w:rFonts w:hint="eastAsia" w:hAnsi="宋体" w:cs="宋体"/>
          <w:highlight w:val="none"/>
        </w:rPr>
        <w:t>开展领导干部驻点普遍直接联系群众活动。各村（社区）驻点团队走访联系群众14214人，收集登记群众意见建议128条，解决群众问题88个；完成软弱涣散党组织整顿工作。挂点领导及帮扶单位牵头联系落实资金83.87万元，用于溪塘村路灯安装、村道修复及烤烟房修建等项目建设。镇党委召开“七一”纪念暨表彰大会，评选4个“先进党（总）支部”、4名“优秀村支书”、3名“优秀党务工作者”和40名“优秀共产党员”。广泛开展党员“双向承诺”活动。全镇参加活动的党员538人，承诺事项达1341项，“双向承诺”活动取得显著成效。完成创新基层党组织设置工作，全镇有8个村（社区）由党支部升级为党总支部，各总支下设3个支部，优化党组织设置，实现党组织全覆盖。</w:t>
      </w:r>
    </w:p>
    <w:p w14:paraId="10AA55E4">
      <w:pPr>
        <w:pStyle w:val="4"/>
        <w:bidi w:val="0"/>
        <w:rPr>
          <w:rFonts w:hint="eastAsia"/>
          <w:highlight w:val="none"/>
        </w:rPr>
      </w:pPr>
      <w:r>
        <w:rPr>
          <w:rFonts w:hint="eastAsia"/>
          <w:highlight w:val="none"/>
        </w:rPr>
        <w:t>【综治维稳】</w:t>
      </w:r>
    </w:p>
    <w:p w14:paraId="3311B579">
      <w:pPr>
        <w:rPr>
          <w:rFonts w:hint="eastAsia" w:hAnsi="宋体" w:cs="宋体"/>
          <w:highlight w:val="none"/>
        </w:rPr>
      </w:pPr>
      <w:r>
        <w:rPr>
          <w:rFonts w:hint="eastAsia" w:hAnsi="宋体" w:cs="宋体"/>
          <w:highlight w:val="none"/>
        </w:rPr>
        <w:t>以镇矛盾调处联合会为中心，整合各有关部门、各村调委会、治保会力量，建立调委会11个，镇、村两级调解人员220人，排查调处各类矛盾纠纷65件，其中赔偿纠纷5件，婚姻家庭纠纷9件，邻里纠纷10件，赡养抚养纠纷3件，山林土地纠纷14件，村务管理纠纷2件，土地纠纷1件，其他21件。排查高危重点人员，做好安置帮教工作，预防重新违法犯罪。刑释解教人员28人，人员信息全部录入信息库，对刑释解教人员帮教率100%，安置率95%以上，未出现重新犯罪人员出现。派出所立行政案件39宗，已调解25宗，已处罚8宗；立刑事案件25宗，破案16宗，逮捕6人，刑事拘留7人。</w:t>
      </w:r>
    </w:p>
    <w:p w14:paraId="242F2307">
      <w:pPr>
        <w:pStyle w:val="4"/>
        <w:bidi w:val="0"/>
        <w:rPr>
          <w:rFonts w:hint="eastAsia"/>
          <w:highlight w:val="none"/>
        </w:rPr>
      </w:pPr>
      <w:r>
        <w:rPr>
          <w:rFonts w:hint="eastAsia"/>
          <w:highlight w:val="none"/>
        </w:rPr>
        <w:t>【社会保障】</w:t>
      </w:r>
    </w:p>
    <w:p w14:paraId="6ECC1DE9">
      <w:pPr>
        <w:rPr>
          <w:rFonts w:hint="eastAsia" w:hAnsi="宋体" w:cs="宋体"/>
          <w:highlight w:val="none"/>
        </w:rPr>
      </w:pPr>
      <w:r>
        <w:rPr>
          <w:rFonts w:hint="eastAsia" w:hAnsi="宋体" w:cs="宋体"/>
          <w:highlight w:val="none"/>
        </w:rPr>
        <w:t>城乡居民基本养老保险：完成市下达任务，完成人数6650人，比例达103%。企业职工养老保险扩面：社保扩面完成市下达任务，完成人数达31人，完成比例达114%，完成基金额13.59万元，完成比例150%。城乡居民医疗保险：参保缴费人数达221147人，完成市下达任务。全镇39户因病致贫农户申请医疗救助27.9万元，3户因暴雨造成房屋倒塌农户申请重建家园资金6.5万元；为126名特困残疾人办理农村最低生活保障、保障金额26万元；发放2名残疾人用品用具；发放5名智力、精神及重度残疾人居家阳光托养资金6000元（每人每月50元）；办理325名残疾人生活补贴3.88万元；扶持残疾人自主创业5人；办理1名脑瘫患者长期免费康复治疗手续；全镇80岁以上452位高龄老人申请高龄津贴，每月发放金额9710元。</w:t>
      </w:r>
    </w:p>
    <w:p w14:paraId="2CDB1949">
      <w:pPr>
        <w:pStyle w:val="4"/>
        <w:bidi w:val="0"/>
        <w:rPr>
          <w:rFonts w:hint="eastAsia"/>
          <w:highlight w:val="none"/>
        </w:rPr>
      </w:pPr>
      <w:r>
        <w:rPr>
          <w:rFonts w:hint="eastAsia"/>
          <w:highlight w:val="none"/>
        </w:rPr>
        <w:t>【妇联工作】</w:t>
      </w:r>
    </w:p>
    <w:p w14:paraId="519B2E69">
      <w:pPr>
        <w:rPr>
          <w:rFonts w:hint="eastAsia" w:hAnsi="宋体" w:cs="宋体"/>
          <w:highlight w:val="none"/>
        </w:rPr>
      </w:pPr>
      <w:r>
        <w:rPr>
          <w:rFonts w:hint="eastAsia" w:hAnsi="宋体" w:cs="宋体"/>
          <w:highlight w:val="none"/>
        </w:rPr>
        <w:t>开展春节慰问单亲母亲工作、反家庭暴力宣教活动、关爱妇女儿童活动、国际“三八”妇女节系列活动、创平安宣传活动、“平安家庭”示范户评选活动等。矛盾调处工作，维护妇女合法权益，并帮助4名2015年高考生成功申请到助学款。</w:t>
      </w:r>
    </w:p>
    <w:p w14:paraId="615E8785">
      <w:pPr>
        <w:pStyle w:val="4"/>
        <w:bidi w:val="0"/>
        <w:rPr>
          <w:rFonts w:hint="eastAsia"/>
          <w:highlight w:val="none"/>
        </w:rPr>
      </w:pPr>
      <w:r>
        <w:rPr>
          <w:rFonts w:hint="eastAsia"/>
          <w:highlight w:val="none"/>
        </w:rPr>
        <w:t>【食品药品】</w:t>
      </w:r>
    </w:p>
    <w:p w14:paraId="2FFA7F15">
      <w:pPr>
        <w:rPr>
          <w:rFonts w:hint="eastAsia" w:hAnsi="宋体" w:cs="宋体"/>
          <w:highlight w:val="none"/>
        </w:rPr>
      </w:pPr>
      <w:r>
        <w:rPr>
          <w:rFonts w:hint="eastAsia" w:hAnsi="宋体" w:cs="宋体"/>
          <w:highlight w:val="none"/>
        </w:rPr>
        <w:t>2015年完成药品24批次、食品100批次食品药品快筛快检任务；查处案件4宗；对辖区内黄坑中学、黄坑小学、黄坑幼儿园、丹丹幼儿园、诗怡幼儿园开展食堂卫生专项检查；开展禁止使用硫黄熏制辣椒宣传、检查工作，规范辣椒干制加工行为；开展农庄、酒家、饭店、超市及食品流通商店食品安全专项检查；食品流通商店已办证51家、餐饮办证13家、药品零售办证8家，保健食品办证8家，卫生站办证15家。</w:t>
      </w:r>
    </w:p>
    <w:p w14:paraId="7834F9DE">
      <w:pPr>
        <w:pStyle w:val="4"/>
        <w:bidi w:val="0"/>
        <w:rPr>
          <w:rFonts w:hint="eastAsia"/>
          <w:highlight w:val="none"/>
        </w:rPr>
      </w:pPr>
      <w:r>
        <w:rPr>
          <w:rFonts w:hint="eastAsia"/>
          <w:highlight w:val="none"/>
        </w:rPr>
        <w:t>【安全生产】</w:t>
      </w:r>
    </w:p>
    <w:p w14:paraId="1F3F97B5">
      <w:pPr>
        <w:rPr>
          <w:rFonts w:hint="eastAsia" w:hAnsi="宋体" w:cs="宋体"/>
          <w:highlight w:val="none"/>
        </w:rPr>
      </w:pPr>
      <w:r>
        <w:rPr>
          <w:rFonts w:hint="eastAsia" w:hAnsi="宋体" w:cs="宋体"/>
          <w:highlight w:val="none"/>
        </w:rPr>
        <w:t>建立和健全11个村（居）委会的安全生产台账和各项制度，完善办公设施。2015年排查治理存在事故隐患的生产经营单位51家，发现隐患25处，整改25处，整改率100%。12月初在鸿基塑料厂开展安全生产事故应急救援演练，提高广大干部职工、企业员工安全意识，积累应急演练救援实战经验。年内未发生重大安全生产事故。</w:t>
      </w:r>
    </w:p>
    <w:p w14:paraId="2FE9E27B">
      <w:pPr>
        <w:pStyle w:val="4"/>
        <w:bidi w:val="0"/>
        <w:rPr>
          <w:rFonts w:hint="eastAsia"/>
          <w:highlight w:val="none"/>
        </w:rPr>
      </w:pPr>
      <w:r>
        <w:rPr>
          <w:rFonts w:hint="eastAsia"/>
          <w:highlight w:val="none"/>
        </w:rPr>
        <w:t>【纪检监察】</w:t>
      </w:r>
    </w:p>
    <w:p w14:paraId="73D49641">
      <w:pPr>
        <w:rPr>
          <w:rFonts w:hint="eastAsia" w:hAnsi="宋体" w:cs="宋体"/>
          <w:highlight w:val="none"/>
        </w:rPr>
      </w:pPr>
      <w:r>
        <w:rPr>
          <w:rFonts w:hint="eastAsia" w:hAnsi="宋体" w:cs="宋体"/>
          <w:highlight w:val="none"/>
        </w:rPr>
        <w:t>加强“三资”管理，抓好阳光村务。落实公开制度，推进党务公开、政务公开、村务公开工作；抓阳光村务工程，深入推进村级廉政风险防控；对镇村亮点工程建设实行全程监督，有效防止腐败问题发生。</w:t>
      </w:r>
    </w:p>
    <w:p w14:paraId="488E0937">
      <w:pPr>
        <w:pStyle w:val="4"/>
        <w:bidi w:val="0"/>
        <w:rPr>
          <w:rFonts w:hint="eastAsia"/>
          <w:highlight w:val="none"/>
        </w:rPr>
      </w:pPr>
      <w:r>
        <w:rPr>
          <w:rFonts w:hint="eastAsia"/>
          <w:highlight w:val="none"/>
        </w:rPr>
        <w:t>【各村委会基本情况】</w:t>
      </w:r>
    </w:p>
    <w:p w14:paraId="0D65F6E0">
      <w:pPr>
        <w:rPr>
          <w:rFonts w:hint="eastAsia" w:hAnsi="宋体" w:cs="宋体"/>
          <w:b/>
          <w:highlight w:val="none"/>
        </w:rPr>
      </w:pPr>
      <w:r>
        <w:rPr>
          <w:rFonts w:hint="eastAsia" w:hAnsi="宋体" w:cs="宋体"/>
          <w:b/>
          <w:highlight w:val="none"/>
        </w:rPr>
        <w:t>黄坑村</w:t>
      </w:r>
      <w:r>
        <w:rPr>
          <w:rFonts w:hint="eastAsia" w:hAnsi="宋体" w:cs="宋体"/>
          <w:b/>
          <w:highlight w:val="none"/>
          <w:lang w:val="en-US" w:eastAsia="zh-CN"/>
        </w:rPr>
        <w:t xml:space="preserve">  </w:t>
      </w:r>
      <w:r>
        <w:rPr>
          <w:rFonts w:hint="eastAsia" w:hAnsi="宋体" w:cs="宋体"/>
          <w:highlight w:val="none"/>
        </w:rPr>
        <w:t>位于镇西部，距离市区23公里，有7个自然村、14个村小组，有沈、何、余等5个姓氏。村集体经济收入5.8万元，人均纯收入10979元。全村共有农户736户，总人口2425人，耕地面积2540亩，其中水田面积1227亩，旱地1313亩。农业以种植黄烟、水稻、花生为主</w:t>
      </w:r>
      <w:r>
        <w:rPr>
          <w:rFonts w:hint="eastAsia" w:hAnsi="宋体" w:cs="宋体"/>
          <w:b/>
          <w:highlight w:val="none"/>
        </w:rPr>
        <w:t>。</w:t>
      </w:r>
    </w:p>
    <w:p w14:paraId="552BCEE0">
      <w:pPr>
        <w:rPr>
          <w:rFonts w:hint="eastAsia" w:hAnsi="宋体" w:cs="宋体"/>
          <w:b/>
          <w:highlight w:val="none"/>
        </w:rPr>
      </w:pPr>
      <w:r>
        <w:rPr>
          <w:rFonts w:hint="eastAsia" w:hAnsi="宋体" w:cs="宋体"/>
          <w:b/>
          <w:highlight w:val="none"/>
        </w:rPr>
        <w:t>社前村</w:t>
      </w:r>
      <w:r>
        <w:rPr>
          <w:rFonts w:hint="eastAsia" w:hAnsi="宋体" w:cs="宋体"/>
          <w:b/>
          <w:highlight w:val="none"/>
          <w:lang w:val="en-US" w:eastAsia="zh-CN"/>
        </w:rPr>
        <w:t xml:space="preserve">  </w:t>
      </w:r>
      <w:r>
        <w:rPr>
          <w:rFonts w:hint="eastAsia" w:hAnsi="宋体" w:cs="宋体"/>
          <w:highlight w:val="none"/>
        </w:rPr>
        <w:t>位于镇北部，距离市区25公里，与镇政府所在地相距2公里，有8个自然村、8个村小组，有何、黄、杨、雷、卢、李6个姓氏。村集体经济收入5.4万元，人均纯收入11073元。全村共有农户622户，总人口2025人，耕地面积2632亩，其中水田面积1072亩，旱地1560亩。农业以种植黄烟、水稻、花生为主</w:t>
      </w:r>
      <w:r>
        <w:rPr>
          <w:rFonts w:hint="eastAsia" w:hAnsi="宋体" w:cs="宋体"/>
          <w:b/>
          <w:highlight w:val="none"/>
        </w:rPr>
        <w:t>。</w:t>
      </w:r>
    </w:p>
    <w:p w14:paraId="3D039282">
      <w:pPr>
        <w:rPr>
          <w:rFonts w:hint="eastAsia" w:hAnsi="宋体" w:cs="宋体"/>
          <w:b/>
          <w:highlight w:val="none"/>
        </w:rPr>
      </w:pPr>
      <w:r>
        <w:rPr>
          <w:rFonts w:hint="eastAsia" w:hAnsi="宋体" w:cs="宋体"/>
          <w:b/>
          <w:highlight w:val="none"/>
        </w:rPr>
        <w:t>小陂村</w:t>
      </w:r>
      <w:r>
        <w:rPr>
          <w:rFonts w:hint="eastAsia" w:hAnsi="宋体" w:cs="宋体"/>
          <w:b/>
          <w:highlight w:val="none"/>
          <w:lang w:val="en-US" w:eastAsia="zh-CN"/>
        </w:rPr>
        <w:t xml:space="preserve">  </w:t>
      </w:r>
      <w:r>
        <w:rPr>
          <w:rFonts w:hint="eastAsia" w:hAnsi="宋体" w:cs="宋体"/>
          <w:highlight w:val="none"/>
        </w:rPr>
        <w:t>位于镇东北部，距离市区26公里，与镇政府所在地相距2.5公里，有8个自然村、10个村小组，有沈、张、雷、刘、陈、卢6个姓氏。村集体经济收入5.3万元，人均纯收入11127元。全村共有农户620户，总人口2212人，耕地面积3479亩，其中水田面积1633亩，旱地1846亩。农业以种植黄烟、水稻、花生为主</w:t>
      </w:r>
      <w:r>
        <w:rPr>
          <w:rFonts w:hint="eastAsia" w:hAnsi="宋体" w:cs="宋体"/>
          <w:b/>
          <w:highlight w:val="none"/>
        </w:rPr>
        <w:t>。</w:t>
      </w:r>
    </w:p>
    <w:p w14:paraId="08D4E461">
      <w:pPr>
        <w:rPr>
          <w:rFonts w:hint="eastAsia" w:hAnsi="宋体" w:cs="宋体"/>
          <w:b/>
          <w:highlight w:val="none"/>
        </w:rPr>
      </w:pPr>
      <w:r>
        <w:rPr>
          <w:rFonts w:hint="eastAsia" w:hAnsi="宋体" w:cs="宋体"/>
          <w:b/>
          <w:highlight w:val="none"/>
        </w:rPr>
        <w:t>塘源村</w:t>
      </w:r>
      <w:r>
        <w:rPr>
          <w:rFonts w:hint="eastAsia" w:hAnsi="宋体" w:cs="宋体"/>
          <w:b/>
          <w:highlight w:val="none"/>
          <w:lang w:val="en-US" w:eastAsia="zh-CN"/>
        </w:rPr>
        <w:t xml:space="preserve">  </w:t>
      </w:r>
      <w:r>
        <w:rPr>
          <w:rFonts w:hint="eastAsia" w:hAnsi="宋体" w:cs="宋体"/>
          <w:highlight w:val="none"/>
        </w:rPr>
        <w:t>位于镇东部，距离市区25公里，与镇政府所在地相距1公里，是黄坑镇的人口大村，有13个自然村、18个村小组，有沈、蓝、马、叶、陈、李、廖、温、吴等11个姓氏。村集体经济收入6.1万元，人均纯收入11014元。全村共有农户991户，总人口3304人，耕地面积4841亩，其中水田面积2258亩，旱地2583亩。农业以种植黄烟、水稻、花生为主</w:t>
      </w:r>
      <w:r>
        <w:rPr>
          <w:rFonts w:hint="eastAsia" w:hAnsi="宋体" w:cs="宋体"/>
          <w:b/>
          <w:highlight w:val="none"/>
        </w:rPr>
        <w:t>。</w:t>
      </w:r>
    </w:p>
    <w:p w14:paraId="1CF3305B">
      <w:pPr>
        <w:rPr>
          <w:rFonts w:hint="eastAsia" w:hAnsi="宋体" w:cs="宋体"/>
          <w:b/>
          <w:highlight w:val="none"/>
        </w:rPr>
      </w:pPr>
      <w:r>
        <w:rPr>
          <w:rFonts w:hint="eastAsia" w:hAnsi="宋体" w:cs="宋体"/>
          <w:b/>
          <w:highlight w:val="none"/>
        </w:rPr>
        <w:t>溪塘村</w:t>
      </w:r>
      <w:r>
        <w:rPr>
          <w:rFonts w:hint="eastAsia" w:hAnsi="宋体" w:cs="宋体"/>
          <w:b/>
          <w:highlight w:val="none"/>
          <w:lang w:val="en-US" w:eastAsia="zh-CN"/>
        </w:rPr>
        <w:t xml:space="preserve">  </w:t>
      </w:r>
      <w:r>
        <w:rPr>
          <w:rFonts w:hint="eastAsia" w:hAnsi="宋体" w:cs="宋体"/>
          <w:highlight w:val="none"/>
        </w:rPr>
        <w:t>位于镇东南部，距离市区28公里，与镇政府所在地相距5公里，是黄坑镇的人口大村，有6个自然村、15个村小组，有陈、范、周、李、董、阳、郭、沈、张等11个姓氏。村集体经济收入7万元，人均纯收入11031元。全村共有农户871户，总人口2930人，耕地面积3714亩，其中水田面积2036亩，旱地1678亩。农业以种植黄烟、水稻、花生、柿子为主，淡水鱼塘养殖初具规模</w:t>
      </w:r>
      <w:r>
        <w:rPr>
          <w:rFonts w:hint="eastAsia" w:hAnsi="宋体" w:cs="宋体"/>
          <w:b/>
          <w:highlight w:val="none"/>
        </w:rPr>
        <w:t>。</w:t>
      </w:r>
    </w:p>
    <w:p w14:paraId="694E9051">
      <w:pPr>
        <w:rPr>
          <w:rFonts w:hint="eastAsia" w:hAnsi="宋体" w:cs="宋体"/>
          <w:b/>
          <w:highlight w:val="none"/>
        </w:rPr>
      </w:pPr>
      <w:r>
        <w:rPr>
          <w:rFonts w:hint="eastAsia" w:hAnsi="宋体" w:cs="宋体"/>
          <w:b/>
          <w:highlight w:val="none"/>
        </w:rPr>
        <w:t>耶溪村</w:t>
      </w:r>
      <w:r>
        <w:rPr>
          <w:rFonts w:hint="eastAsia" w:hAnsi="宋体" w:cs="宋体"/>
          <w:b/>
          <w:highlight w:val="none"/>
          <w:lang w:val="en-US" w:eastAsia="zh-CN"/>
        </w:rPr>
        <w:t xml:space="preserve">  </w:t>
      </w:r>
      <w:r>
        <w:rPr>
          <w:rFonts w:hint="eastAsia" w:hAnsi="宋体" w:cs="宋体"/>
          <w:highlight w:val="none"/>
        </w:rPr>
        <w:t>位于镇西南部，距离市区21公里，与镇政府所在地相距3公里，有5个自然村、14个村小组，有沈、陈、林、黄、阳、何、肖7个姓氏。村集体经济收入7万元，人均纯收入11167元。全村共有农户651户，总人口2204人，耕地面积3400亩，其中水田面积1855亩，旱地1545亩，林地面积1900亩，鱼塘水面面积260亩。农业以种植黄烟、水稻、花生、柿子为主</w:t>
      </w:r>
      <w:r>
        <w:rPr>
          <w:rFonts w:hint="eastAsia" w:hAnsi="宋体" w:cs="宋体"/>
          <w:b/>
          <w:highlight w:val="none"/>
        </w:rPr>
        <w:t>。</w:t>
      </w:r>
    </w:p>
    <w:p w14:paraId="770628AA">
      <w:pPr>
        <w:rPr>
          <w:rFonts w:hint="eastAsia" w:hAnsi="宋体" w:cs="宋体"/>
          <w:b/>
          <w:highlight w:val="none"/>
        </w:rPr>
      </w:pPr>
      <w:r>
        <w:rPr>
          <w:rFonts w:hint="eastAsia" w:hAnsi="宋体" w:cs="宋体"/>
          <w:b/>
          <w:highlight w:val="none"/>
        </w:rPr>
        <w:t>中心村</w:t>
      </w:r>
      <w:r>
        <w:rPr>
          <w:rFonts w:hint="eastAsia" w:hAnsi="宋体" w:cs="宋体"/>
          <w:b/>
          <w:highlight w:val="none"/>
          <w:lang w:val="en-US" w:eastAsia="zh-CN"/>
        </w:rPr>
        <w:t xml:space="preserve">  </w:t>
      </w:r>
      <w:r>
        <w:rPr>
          <w:rFonts w:hint="eastAsia" w:hAnsi="宋体" w:cs="宋体"/>
          <w:highlight w:val="none"/>
        </w:rPr>
        <w:t>位于镇南部，距离市区26公里，与镇政府所在地相距3公里，有13个自然村、13个村小组，有周、杨、刘、曾、陈、沈等11个姓氏。村集体经济收入5.2万元，人均纯收入10898元。全村共有农户563户，总人口1925人，耕地面积3108亩，其中水田面积1503亩，旱地1605亩。农业以种植黄烟、水稻为主</w:t>
      </w:r>
      <w:r>
        <w:rPr>
          <w:rFonts w:hint="eastAsia" w:hAnsi="宋体" w:cs="宋体"/>
          <w:b/>
          <w:highlight w:val="none"/>
        </w:rPr>
        <w:t>。</w:t>
      </w:r>
    </w:p>
    <w:p w14:paraId="6896F335">
      <w:pPr>
        <w:rPr>
          <w:rFonts w:hint="eastAsia" w:hAnsi="宋体" w:cs="宋体"/>
          <w:b/>
          <w:highlight w:val="none"/>
        </w:rPr>
      </w:pPr>
      <w:r>
        <w:rPr>
          <w:rFonts w:hint="eastAsia" w:hAnsi="宋体" w:cs="宋体"/>
          <w:b/>
          <w:highlight w:val="none"/>
        </w:rPr>
        <w:t>园岭村</w:t>
      </w:r>
      <w:r>
        <w:rPr>
          <w:rFonts w:hint="eastAsia" w:hAnsi="宋体" w:cs="宋体"/>
          <w:b/>
          <w:highlight w:val="none"/>
          <w:lang w:val="en-US" w:eastAsia="zh-CN"/>
        </w:rPr>
        <w:t xml:space="preserve">  </w:t>
      </w:r>
      <w:r>
        <w:rPr>
          <w:rFonts w:hint="eastAsia" w:hAnsi="宋体" w:cs="宋体"/>
          <w:highlight w:val="none"/>
        </w:rPr>
        <w:t>位于镇南部，距离市区28公里，与镇政府所在地相距5公里，有6个自然村、9个村小组，有沈、廖、周、刘4个姓氏。村集体经济收入5万元，人均纯收入10937元。全村共有农户432户，总人口1428人，耕地面积2601亩，其中水田面积1013亩，旱地1588亩。农业以种植黄烟、水稻、花生为主</w:t>
      </w:r>
      <w:r>
        <w:rPr>
          <w:rFonts w:hint="eastAsia" w:hAnsi="宋体" w:cs="宋体"/>
          <w:b/>
          <w:highlight w:val="none"/>
        </w:rPr>
        <w:t>。</w:t>
      </w:r>
    </w:p>
    <w:p w14:paraId="1AE5D1FF">
      <w:pPr>
        <w:rPr>
          <w:rFonts w:hint="eastAsia" w:hAnsi="宋体" w:cs="宋体"/>
          <w:b/>
          <w:highlight w:val="none"/>
        </w:rPr>
      </w:pPr>
      <w:r>
        <w:rPr>
          <w:rFonts w:hint="eastAsia" w:hAnsi="宋体" w:cs="宋体"/>
          <w:b/>
          <w:highlight w:val="none"/>
        </w:rPr>
        <w:t>许村村</w:t>
      </w:r>
      <w:r>
        <w:rPr>
          <w:rFonts w:hint="eastAsia" w:hAnsi="宋体" w:cs="宋体"/>
          <w:b/>
          <w:highlight w:val="none"/>
          <w:lang w:val="en-US" w:eastAsia="zh-CN"/>
        </w:rPr>
        <w:t xml:space="preserve">  </w:t>
      </w:r>
      <w:r>
        <w:rPr>
          <w:rFonts w:hint="eastAsia" w:hAnsi="宋体" w:cs="宋体"/>
          <w:highlight w:val="none"/>
        </w:rPr>
        <w:t>位于镇西部，距离市区21公里，与镇政府所在地相距2公里，有5个自然村、12个村小组，有蓝、刘、赖、陈、沈等8个姓氏。村集体经济收入5.9万元，人均纯收入11112元。全村共有农户692户，总人口2279人，耕地面积2642亩，其中水田面积1867亩，旱地775亩。农业以种植黄烟、水稻、花生为主，以优质鱼、山地鸡、鸭为主的水库综合养殖已具规模</w:t>
      </w:r>
      <w:r>
        <w:rPr>
          <w:rFonts w:hint="eastAsia" w:hAnsi="宋体" w:cs="宋体"/>
          <w:b/>
          <w:highlight w:val="none"/>
        </w:rPr>
        <w:t>。</w:t>
      </w:r>
    </w:p>
    <w:p w14:paraId="73237794">
      <w:pPr>
        <w:rPr>
          <w:rFonts w:hint="eastAsia" w:hAnsi="宋体" w:cs="宋体"/>
          <w:highlight w:val="none"/>
        </w:rPr>
      </w:pPr>
      <w:r>
        <w:rPr>
          <w:rFonts w:hint="eastAsia" w:hAnsi="宋体" w:cs="宋体"/>
          <w:b/>
          <w:highlight w:val="none"/>
        </w:rPr>
        <w:t>上象村</w:t>
      </w:r>
      <w:r>
        <w:rPr>
          <w:rFonts w:hint="eastAsia" w:hAnsi="宋体" w:cs="宋体"/>
          <w:b/>
          <w:highlight w:val="none"/>
          <w:lang w:val="en-US" w:eastAsia="zh-CN"/>
        </w:rPr>
        <w:t xml:space="preserve">  </w:t>
      </w:r>
      <w:r>
        <w:rPr>
          <w:rFonts w:hint="eastAsia" w:hAnsi="宋体" w:cs="宋体"/>
          <w:highlight w:val="none"/>
        </w:rPr>
        <w:t>位于镇南部，距离市区23公里，与镇政府所在地相距2公里，有8个自然村、10个村小组，有沈、刘、卢3个姓氏。村集体经济收入5.3万元，人均纯收入10929元。全村共有农户451户，总人口1610人，耕地面积2205亩，其中水田面积1101亩，旱地1104亩。农业以种植黄烟、水稻、花生为主。（朱光晃）</w:t>
      </w:r>
    </w:p>
    <w:p w14:paraId="6CCD6D82">
      <w:pPr>
        <w:rPr>
          <w:rFonts w:hint="eastAsia" w:hAnsi="宋体" w:eastAsia="宋体" w:cs="宋体"/>
          <w:highlight w:val="none"/>
          <w:lang w:eastAsia="zh-CN"/>
        </w:rPr>
      </w:pPr>
      <w:r>
        <w:rPr>
          <w:rFonts w:hint="eastAsia" w:hAnsi="宋体" w:cs="宋体"/>
          <w:highlight w:val="none"/>
        </w:rPr>
        <w:t>附：2015年黄坑镇领导班子成员名单</w:t>
      </w:r>
    </w:p>
    <w:p w14:paraId="20769482">
      <w:pPr>
        <w:rPr>
          <w:rFonts w:hint="eastAsia" w:hAnsi="宋体" w:eastAsia="宋体" w:cs="宋体"/>
          <w:highlight w:val="none"/>
          <w:lang w:eastAsia="zh-CN"/>
        </w:rPr>
      </w:pPr>
      <w:r>
        <w:rPr>
          <w:rFonts w:hint="eastAsia" w:hAnsi="宋体" w:cs="宋体"/>
          <w:highlight w:val="none"/>
        </w:rPr>
        <w:t>党委书记、人大主席：沈文昌</w:t>
      </w:r>
    </w:p>
    <w:p w14:paraId="641AFD3D">
      <w:pPr>
        <w:rPr>
          <w:rFonts w:hint="eastAsia" w:hAnsi="宋体" w:eastAsia="宋体" w:cs="宋体"/>
          <w:highlight w:val="none"/>
          <w:lang w:eastAsia="zh-CN"/>
        </w:rPr>
      </w:pPr>
      <w:r>
        <w:rPr>
          <w:rFonts w:hint="eastAsia" w:hAnsi="宋体" w:cs="宋体"/>
          <w:highlight w:val="none"/>
        </w:rPr>
        <w:t>党委副书记、镇长：黄恢伟</w:t>
      </w:r>
    </w:p>
    <w:p w14:paraId="1C3F4C48">
      <w:pPr>
        <w:rPr>
          <w:rFonts w:hint="eastAsia" w:hAnsi="宋体" w:eastAsia="宋体" w:cs="宋体"/>
          <w:highlight w:val="none"/>
          <w:lang w:eastAsia="zh-CN"/>
        </w:rPr>
      </w:pPr>
      <w:r>
        <w:rPr>
          <w:rFonts w:hint="eastAsia" w:hAnsi="宋体" w:cs="宋体"/>
          <w:highlight w:val="none"/>
        </w:rPr>
        <w:t>党委副书记：罗惠琴</w:t>
      </w:r>
    </w:p>
    <w:p w14:paraId="3BE4AA08">
      <w:pPr>
        <w:rPr>
          <w:rFonts w:hint="eastAsia" w:hAnsi="宋体" w:eastAsia="宋体" w:cs="宋体"/>
          <w:highlight w:val="none"/>
          <w:lang w:eastAsia="zh-CN"/>
        </w:rPr>
      </w:pPr>
      <w:r>
        <w:rPr>
          <w:rFonts w:hint="eastAsia" w:hAnsi="宋体" w:cs="宋体"/>
          <w:highlight w:val="none"/>
        </w:rPr>
        <w:t>中心纪检组长、纪委书记：叶培兰</w:t>
      </w:r>
    </w:p>
    <w:p w14:paraId="4807BA30">
      <w:pPr>
        <w:rPr>
          <w:rFonts w:hint="eastAsia" w:hAnsi="宋体" w:eastAsia="宋体" w:cs="宋体"/>
          <w:highlight w:val="none"/>
          <w:lang w:eastAsia="zh-CN"/>
        </w:rPr>
      </w:pPr>
      <w:r>
        <w:rPr>
          <w:rFonts w:hint="eastAsia" w:hAnsi="宋体" w:cs="宋体"/>
          <w:highlight w:val="none"/>
        </w:rPr>
        <w:t>组织委员：赖毅鹏</w:t>
      </w:r>
    </w:p>
    <w:p w14:paraId="7474A89A">
      <w:pPr>
        <w:rPr>
          <w:rFonts w:hint="eastAsia" w:hAnsi="宋体" w:eastAsia="宋体" w:cs="宋体"/>
          <w:highlight w:val="none"/>
          <w:lang w:eastAsia="zh-CN"/>
        </w:rPr>
      </w:pPr>
      <w:r>
        <w:rPr>
          <w:rFonts w:hint="eastAsia" w:hAnsi="宋体" w:cs="宋体"/>
          <w:highlight w:val="none"/>
        </w:rPr>
        <w:t>宣传委员：叶细芳</w:t>
      </w:r>
    </w:p>
    <w:p w14:paraId="565F464F">
      <w:pPr>
        <w:rPr>
          <w:rFonts w:hint="eastAsia" w:hAnsi="宋体" w:eastAsia="宋体" w:cs="宋体"/>
          <w:highlight w:val="none"/>
          <w:lang w:eastAsia="zh-CN"/>
        </w:rPr>
      </w:pPr>
      <w:r>
        <w:rPr>
          <w:rFonts w:hint="eastAsia" w:hAnsi="宋体" w:cs="宋体"/>
          <w:highlight w:val="none"/>
        </w:rPr>
        <w:t>人大副主席：林祥辉</w:t>
      </w:r>
    </w:p>
    <w:p w14:paraId="36E7D274">
      <w:pPr>
        <w:rPr>
          <w:rFonts w:hint="eastAsia" w:hAnsi="宋体" w:eastAsia="宋体" w:cs="宋体"/>
          <w:highlight w:val="none"/>
          <w:lang w:eastAsia="zh-CN"/>
        </w:rPr>
      </w:pPr>
      <w:r>
        <w:rPr>
          <w:rFonts w:hint="eastAsia" w:hAnsi="宋体" w:cs="宋体"/>
          <w:highlight w:val="none"/>
        </w:rPr>
        <w:t>武装部长：邓荣贵</w:t>
      </w:r>
    </w:p>
    <w:p w14:paraId="32EB079C">
      <w:pPr>
        <w:rPr>
          <w:rFonts w:hint="eastAsia" w:hAnsi="宋体" w:eastAsia="宋体" w:cs="宋体"/>
          <w:highlight w:val="none"/>
          <w:lang w:eastAsia="zh-CN"/>
        </w:rPr>
      </w:pPr>
      <w:r>
        <w:rPr>
          <w:rFonts w:hint="eastAsia" w:hAnsi="宋体" w:cs="宋体"/>
          <w:highlight w:val="none"/>
        </w:rPr>
        <w:t>综治办专职副主任：谢俊南</w:t>
      </w:r>
    </w:p>
    <w:p w14:paraId="0E0601FC">
      <w:pPr>
        <w:ind w:firstLine="420"/>
        <w:rPr>
          <w:rFonts w:hint="eastAsia" w:hAnsi="宋体" w:eastAsia="宋体" w:cs="宋体"/>
          <w:highlight w:val="none"/>
          <w:vertAlign w:val="baseline"/>
          <w:lang w:eastAsia="zh-CN"/>
        </w:rPr>
      </w:pPr>
      <w:r>
        <w:rPr>
          <w:rFonts w:hint="eastAsia" w:hAnsi="宋体" w:cs="宋体"/>
          <w:highlight w:val="none"/>
        </w:rPr>
        <w:t>副镇长：戴明 海刘洪</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57305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0E87D23">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353310"/>
                  <wp:effectExtent l="0" t="0" r="8890" b="8890"/>
                  <wp:docPr id="128" name="图片 305" descr="江头镇扶贫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05" descr="江头镇扶贫工作"/>
                          <pic:cNvPicPr>
                            <a:picLocks noChangeAspect="1"/>
                          </pic:cNvPicPr>
                        </pic:nvPicPr>
                        <pic:blipFill>
                          <a:blip r:embed="rId133"/>
                          <a:stretch>
                            <a:fillRect/>
                          </a:stretch>
                        </pic:blipFill>
                        <pic:spPr>
                          <a:xfrm>
                            <a:off x="0" y="0"/>
                            <a:ext cx="3420110" cy="2353310"/>
                          </a:xfrm>
                          <a:prstGeom prst="rect">
                            <a:avLst/>
                          </a:prstGeom>
                          <a:noFill/>
                          <a:ln>
                            <a:noFill/>
                          </a:ln>
                        </pic:spPr>
                      </pic:pic>
                    </a:graphicData>
                  </a:graphic>
                </wp:inline>
              </w:drawing>
            </w:r>
          </w:p>
        </w:tc>
      </w:tr>
      <w:tr w14:paraId="5C8CD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0BC6F315">
            <w:pPr>
              <w:jc w:val="center"/>
              <w:rPr>
                <w:rFonts w:hint="eastAsia" w:hAnsi="宋体" w:cs="宋体"/>
                <w:highlight w:val="none"/>
                <w:vertAlign w:val="baseline"/>
              </w:rPr>
            </w:pPr>
            <w:r>
              <w:rPr>
                <w:rFonts w:hint="eastAsia" w:hAnsi="宋体" w:cs="宋体"/>
                <w:highlight w:val="none"/>
                <w:vertAlign w:val="baseline"/>
              </w:rPr>
              <w:t>市人大常委会副主任陈玉英（后排右二）调研江头镇扶贫工作</w:t>
            </w:r>
          </w:p>
        </w:tc>
      </w:tr>
    </w:tbl>
    <w:p w14:paraId="6F924226">
      <w:pPr>
        <w:pStyle w:val="3"/>
        <w:bidi w:val="0"/>
        <w:rPr>
          <w:rFonts w:hint="eastAsia"/>
          <w:highlight w:val="none"/>
        </w:rPr>
      </w:pPr>
      <w:r>
        <w:rPr>
          <w:rFonts w:hint="eastAsia"/>
          <w:highlight w:val="none"/>
        </w:rPr>
        <w:t>江头镇</w:t>
      </w:r>
    </w:p>
    <w:p w14:paraId="06920C3D">
      <w:pPr>
        <w:pStyle w:val="4"/>
        <w:bidi w:val="0"/>
        <w:rPr>
          <w:rFonts w:hint="eastAsia"/>
          <w:highlight w:val="none"/>
        </w:rPr>
      </w:pPr>
      <w:r>
        <w:rPr>
          <w:rFonts w:hint="eastAsia"/>
          <w:highlight w:val="none"/>
        </w:rPr>
        <w:t>【概况】</w:t>
      </w:r>
    </w:p>
    <w:p w14:paraId="1F5BBA8F">
      <w:pPr>
        <w:rPr>
          <w:rFonts w:hint="eastAsia" w:hAnsi="宋体" w:cs="宋体"/>
          <w:highlight w:val="none"/>
        </w:rPr>
      </w:pPr>
      <w:r>
        <w:rPr>
          <w:rFonts w:hint="eastAsia" w:hAnsi="宋体" w:cs="宋体"/>
          <w:highlight w:val="none"/>
        </w:rPr>
        <w:t>江头镇位于市区南面，毗邻江西省全南县陂头镇，与主田镇、雄州街道、水口镇接壤，镇政府驻地距市区13公里。镇辖9个村委会，1个社区居委会，97个村民小组，总户数3008户，人口12956人。镇内属山区，半山区和丘陵地带，区域面积164平方公里，耕地面积955.6公顷，山林面积11481公顷，森林覆盖率达70%。</w:t>
      </w:r>
    </w:p>
    <w:p w14:paraId="1CCC17BA">
      <w:pPr>
        <w:rPr>
          <w:rFonts w:hint="eastAsia" w:hAnsi="宋体" w:cs="宋体"/>
          <w:highlight w:val="none"/>
        </w:rPr>
      </w:pPr>
      <w:r>
        <w:rPr>
          <w:rFonts w:hint="eastAsia" w:hAnsi="宋体" w:cs="宋体"/>
          <w:highlight w:val="none"/>
        </w:rPr>
        <w:t>江头镇立足境内森林资源，发展生态旅游产业。年产毛竹200多万条，冬笋2000多吨，活立木蓄积量50多万立方米。以青嶂山省级自然保护区和温泉度假村为品牌旅游资源进一步开发，提高天池、宋代云峰寺遗址、小竹宋代宝塔、丹霞地貌天然岩洞、万亩“竹海”等旅游景点吸引力，带动全镇乡村旅游产业发展。以坪岗众鑫农场农家乐为代表一批乡村农家乐相继建成营业，可供游客休闲娱乐。</w:t>
      </w:r>
    </w:p>
    <w:p w14:paraId="0EC2C747">
      <w:pPr>
        <w:pStyle w:val="4"/>
        <w:bidi w:val="0"/>
        <w:rPr>
          <w:rFonts w:hint="eastAsia"/>
          <w:highlight w:val="none"/>
        </w:rPr>
      </w:pPr>
      <w:r>
        <w:rPr>
          <w:rFonts w:hint="eastAsia"/>
          <w:highlight w:val="none"/>
        </w:rPr>
        <w:t>【经济发展】</w:t>
      </w:r>
    </w:p>
    <w:p w14:paraId="474EE3A1">
      <w:pPr>
        <w:rPr>
          <w:rFonts w:hint="eastAsia" w:hAnsi="宋体" w:cs="宋体"/>
          <w:highlight w:val="none"/>
        </w:rPr>
      </w:pPr>
      <w:r>
        <w:rPr>
          <w:rFonts w:hint="eastAsia" w:hAnsi="宋体" w:cs="宋体"/>
          <w:highlight w:val="none"/>
        </w:rPr>
        <w:t>2015年全镇农村经济总收入1.86亿元，同比增长15%；全镇农民人均纯收入9593元，同比增长16%；财政总收入185万元。</w:t>
      </w:r>
    </w:p>
    <w:p w14:paraId="46A7C792">
      <w:pPr>
        <w:pStyle w:val="4"/>
        <w:bidi w:val="0"/>
        <w:rPr>
          <w:rFonts w:hint="eastAsia"/>
          <w:highlight w:val="none"/>
        </w:rPr>
      </w:pPr>
      <w:r>
        <w:rPr>
          <w:rFonts w:hint="eastAsia"/>
          <w:highlight w:val="none"/>
        </w:rPr>
        <w:t>【农业发展】</w:t>
      </w:r>
    </w:p>
    <w:p w14:paraId="1F2BD2F4">
      <w:pPr>
        <w:rPr>
          <w:rFonts w:hint="eastAsia" w:hAnsi="宋体" w:cs="宋体"/>
          <w:highlight w:val="none"/>
        </w:rPr>
      </w:pPr>
      <w:r>
        <w:rPr>
          <w:rFonts w:hint="eastAsia" w:hAnsi="宋体" w:cs="宋体"/>
          <w:highlight w:val="none"/>
        </w:rPr>
        <w:t>黄烟、稻谷、花生等传统作物收成良好。全镇种植黄烟1109亩，收购烟叶162.5吨。加大对优质稻的生产，全镇种植优质稻面积10000多亩总产6400吨；花生种植面积3000多亩，总产675吨。水果面积2000多亩，总产量1000多吨。“三元”杂交猪年出栏量达1万多头，黑山羊出栏量达500多头。</w:t>
      </w:r>
    </w:p>
    <w:p w14:paraId="5C55BB1F">
      <w:pPr>
        <w:pStyle w:val="4"/>
        <w:bidi w:val="0"/>
        <w:rPr>
          <w:rFonts w:hint="eastAsia"/>
          <w:highlight w:val="none"/>
        </w:rPr>
      </w:pPr>
      <w:r>
        <w:rPr>
          <w:rFonts w:hint="eastAsia"/>
          <w:highlight w:val="none"/>
        </w:rPr>
        <w:t>【民生事业】</w:t>
      </w:r>
    </w:p>
    <w:p w14:paraId="3C7C287E">
      <w:pPr>
        <w:rPr>
          <w:rFonts w:hint="eastAsia" w:hAnsi="宋体" w:cs="宋体"/>
          <w:highlight w:val="none"/>
        </w:rPr>
      </w:pPr>
      <w:r>
        <w:rPr>
          <w:rFonts w:hint="eastAsia" w:hAnsi="宋体" w:cs="宋体"/>
          <w:highlight w:val="none"/>
        </w:rPr>
        <w:t>完成5650人新农保参保续保工作，占任务104%；完成10614人新农合缴费工作，占任务101.09%；做好企业职工养老保险扩面工作，任务20人，完成23人；社保基金征收任务7万元，实际完成14万元。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3C596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FD106F6">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99945"/>
                  <wp:effectExtent l="0" t="0" r="8890" b="14605"/>
                  <wp:docPr id="129" name="图片 306" descr="扶贫工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06" descr="扶贫工作1"/>
                          <pic:cNvPicPr>
                            <a:picLocks noChangeAspect="1"/>
                          </pic:cNvPicPr>
                        </pic:nvPicPr>
                        <pic:blipFill>
                          <a:blip r:embed="rId134"/>
                          <a:stretch>
                            <a:fillRect/>
                          </a:stretch>
                        </pic:blipFill>
                        <pic:spPr>
                          <a:xfrm>
                            <a:off x="0" y="0"/>
                            <a:ext cx="3420110" cy="2099945"/>
                          </a:xfrm>
                          <a:prstGeom prst="rect">
                            <a:avLst/>
                          </a:prstGeom>
                          <a:noFill/>
                          <a:ln>
                            <a:noFill/>
                          </a:ln>
                        </pic:spPr>
                      </pic:pic>
                    </a:graphicData>
                  </a:graphic>
                </wp:inline>
              </w:drawing>
            </w:r>
          </w:p>
        </w:tc>
      </w:tr>
      <w:tr w14:paraId="0218D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F1A50EC">
            <w:pPr>
              <w:jc w:val="center"/>
              <w:rPr>
                <w:rFonts w:hint="eastAsia" w:hAnsi="宋体" w:cs="宋体"/>
                <w:highlight w:val="none"/>
                <w:vertAlign w:val="baseline"/>
              </w:rPr>
            </w:pPr>
            <w:r>
              <w:rPr>
                <w:rFonts w:hint="eastAsia" w:hAnsi="宋体" w:cs="宋体"/>
                <w:highlight w:val="none"/>
                <w:vertAlign w:val="baseline"/>
              </w:rPr>
              <w:t>市委常委霍永健（左二）到江头镇调研扶贫工作</w:t>
            </w:r>
          </w:p>
        </w:tc>
      </w:tr>
    </w:tbl>
    <w:p w14:paraId="184F1F05">
      <w:pPr>
        <w:pStyle w:val="4"/>
        <w:bidi w:val="0"/>
        <w:rPr>
          <w:rFonts w:hint="eastAsia"/>
          <w:highlight w:val="none"/>
        </w:rPr>
      </w:pPr>
      <w:r>
        <w:rPr>
          <w:rFonts w:hint="eastAsia"/>
          <w:highlight w:val="none"/>
        </w:rPr>
        <w:t>【旅游开发】</w:t>
      </w:r>
    </w:p>
    <w:p w14:paraId="17BE7A0B">
      <w:pPr>
        <w:rPr>
          <w:rFonts w:hint="eastAsia" w:hAnsi="宋体" w:cs="宋体"/>
          <w:highlight w:val="none"/>
        </w:rPr>
      </w:pPr>
      <w:r>
        <w:rPr>
          <w:rFonts w:hint="eastAsia" w:hAnsi="宋体" w:cs="宋体"/>
          <w:highlight w:val="none"/>
        </w:rPr>
        <w:t>继续加大宣传力度，稳步推进青嶂山风景区旅游开发步伐；引进南雄市云峰山旅游开发有限公司投资1.2亿万元开发武岭农业观光、休闲旅游项目，已种植蓝莓2000多亩，种植银杏8000棵，种植红枫2万株；筹资15万元对江头村杨屋古村落进行修缮和挂牌匾，并借助南雄电视台宣传推介杨氏围屋，以保护好现有重要的、不可再生旅游资源；鼓励扶持培育农家乐、农场，新增众鑫农场，为广大游客提供了休闲、旅游好去处。</w:t>
      </w:r>
    </w:p>
    <w:p w14:paraId="3E9B00DE">
      <w:pPr>
        <w:pStyle w:val="4"/>
        <w:bidi w:val="0"/>
        <w:rPr>
          <w:rFonts w:hint="eastAsia"/>
          <w:highlight w:val="none"/>
        </w:rPr>
      </w:pPr>
      <w:r>
        <w:rPr>
          <w:rFonts w:hint="eastAsia"/>
          <w:highlight w:val="none"/>
        </w:rPr>
        <w:t>【生态林业】</w:t>
      </w:r>
    </w:p>
    <w:p w14:paraId="5554A94F">
      <w:pPr>
        <w:rPr>
          <w:rFonts w:hint="eastAsia" w:hAnsi="宋体" w:cs="宋体"/>
          <w:highlight w:val="none"/>
        </w:rPr>
      </w:pPr>
      <w:r>
        <w:rPr>
          <w:rFonts w:hint="eastAsia" w:hAnsi="宋体" w:cs="宋体"/>
          <w:highlight w:val="none"/>
        </w:rPr>
        <w:t>全镇林地面积15.8万亩，生态公益林面积92460亩，发放生态公益林补偿金额162.9万元（面积83523亩）。开展春季造林活动，完成残次林改造958.65亩，协助完成林分（碳汇林）改造1850多亩，完成义务植树500多株，森林病虫害治理9486亩，完成公路绿化点元甫村至社芬村小组的“万村绿”建设任务，完成幼林抚育13520多亩，完成坪岗塘窝、元甫兰头水、蚊坑等3个造林示范点建设，建设县级森林公园一个（青嶂山森林公园）。继续加强护林队伍建设，并划定各护林员管护责任区；实行封山育林11万亩，其中全封山9.2万亩，半封山1.8万亩；加强巡山护林，落实防火措施，搞好森林防火工作，2015年未发生一起森林火灾；加大林业行政执法力度，切实保护森林资源，镇林业站查处林业行政案件8宗，其中滥伐林木4宗、擅自改变林地用途4宗，罚款金额1.6万元。</w:t>
      </w:r>
    </w:p>
    <w:p w14:paraId="5A22A012">
      <w:pPr>
        <w:pStyle w:val="4"/>
        <w:bidi w:val="0"/>
        <w:rPr>
          <w:rFonts w:hint="eastAsia"/>
          <w:highlight w:val="none"/>
        </w:rPr>
      </w:pPr>
      <w:r>
        <w:rPr>
          <w:rFonts w:hint="eastAsia"/>
          <w:highlight w:val="none"/>
        </w:rPr>
        <w:t>【党建工作】</w:t>
      </w:r>
    </w:p>
    <w:p w14:paraId="0970793D">
      <w:pPr>
        <w:rPr>
          <w:rFonts w:hint="eastAsia" w:hAnsi="宋体" w:cs="宋体"/>
          <w:highlight w:val="none"/>
        </w:rPr>
      </w:pPr>
      <w:r>
        <w:rPr>
          <w:rFonts w:hint="eastAsia" w:hAnsi="宋体" w:cs="宋体"/>
          <w:highlight w:val="none"/>
        </w:rPr>
        <w:t>建立和健全党委班子学习制度、党内民主生活制度、党政领导班子议事制度、党政领导班子挂村蹲点制度等。为深入践行党的群众路线，进一步改进领导干部作风，密切党群干群关系，开展建立领导干部驻点普遍直接联系群众制度。截至2015年，全镇派驻驻点团队10个，驻点团队52人，辅助团队44人。直接联系群众9007人，占总人口数73.7%，收集群众反映意见135条，解决问题110条，解决率达81.5%。</w:t>
      </w:r>
    </w:p>
    <w:p w14:paraId="155802FF">
      <w:pPr>
        <w:pStyle w:val="4"/>
        <w:bidi w:val="0"/>
        <w:rPr>
          <w:rFonts w:hint="eastAsia"/>
          <w:highlight w:val="none"/>
        </w:rPr>
      </w:pPr>
      <w:r>
        <w:rPr>
          <w:rFonts w:hint="eastAsia"/>
          <w:highlight w:val="none"/>
        </w:rPr>
        <w:t>【计划生育】</w:t>
      </w:r>
    </w:p>
    <w:p w14:paraId="46101F74">
      <w:pPr>
        <w:rPr>
          <w:rFonts w:hint="eastAsia" w:hAnsi="宋体" w:cs="宋体"/>
          <w:highlight w:val="none"/>
        </w:rPr>
      </w:pPr>
      <w:r>
        <w:rPr>
          <w:rFonts w:hint="eastAsia" w:hAnsi="宋体" w:cs="宋体"/>
          <w:highlight w:val="none"/>
        </w:rPr>
        <w:t>2015年出生人口137人，其中一孩58人，一孩率42.34%，二孩76人，二孩率55.47%，多孩3人，多孩率2.19%，政策内出生127人，政策生育率92.7%，出生男孩71人，出生女孩66人，出生人口性别比为107.58。</w:t>
      </w:r>
    </w:p>
    <w:p w14:paraId="3C62661E">
      <w:pPr>
        <w:pStyle w:val="4"/>
        <w:bidi w:val="0"/>
        <w:rPr>
          <w:rFonts w:hint="eastAsia"/>
          <w:highlight w:val="none"/>
        </w:rPr>
      </w:pPr>
      <w:r>
        <w:rPr>
          <w:rFonts w:hint="eastAsia"/>
          <w:highlight w:val="none"/>
        </w:rPr>
        <w:t>【社会综合治理】</w:t>
      </w:r>
    </w:p>
    <w:p w14:paraId="2DD8CF21">
      <w:pPr>
        <w:rPr>
          <w:rFonts w:hint="eastAsia" w:hAnsi="宋体" w:cs="宋体"/>
          <w:highlight w:val="none"/>
        </w:rPr>
      </w:pPr>
      <w:r>
        <w:rPr>
          <w:rFonts w:hint="eastAsia" w:hAnsi="宋体" w:cs="宋体"/>
          <w:highlight w:val="none"/>
        </w:rPr>
        <w:t>2015年调处民事纠纷41件，调处成功41件，接待来信来访77人次，并全部办结。全镇发刑事案件3起，破获1起，刑事拘留2人；治安案件24起，查结20起。加大矛盾排查力度和普法宣传力度，深入开展“平安江头”建设。</w:t>
      </w:r>
    </w:p>
    <w:p w14:paraId="74DF4BAF">
      <w:pPr>
        <w:pStyle w:val="4"/>
        <w:bidi w:val="0"/>
        <w:rPr>
          <w:rFonts w:hint="eastAsia"/>
          <w:highlight w:val="none"/>
        </w:rPr>
      </w:pPr>
      <w:r>
        <w:rPr>
          <w:rFonts w:hint="eastAsia"/>
          <w:highlight w:val="none"/>
        </w:rPr>
        <w:t>【各村（居）委会基本情况】</w:t>
      </w:r>
    </w:p>
    <w:p w14:paraId="175A5FD9">
      <w:pPr>
        <w:rPr>
          <w:rFonts w:hint="eastAsia" w:hAnsi="宋体" w:cs="宋体"/>
          <w:highlight w:val="none"/>
        </w:rPr>
      </w:pPr>
      <w:r>
        <w:rPr>
          <w:rFonts w:hint="eastAsia" w:hAnsi="宋体" w:cs="宋体"/>
          <w:highlight w:val="none"/>
        </w:rPr>
        <w:t>见下表。</w:t>
      </w:r>
    </w:p>
    <w:p w14:paraId="73556594">
      <w:pPr>
        <w:jc w:val="center"/>
        <w:rPr>
          <w:rFonts w:hint="eastAsia" w:hAnsi="宋体" w:cs="宋体"/>
          <w:highlight w:val="none"/>
        </w:rPr>
      </w:pPr>
      <w:r>
        <w:rPr>
          <w:rFonts w:hint="eastAsia" w:hAnsi="宋体" w:cs="宋体"/>
          <w:highlight w:val="none"/>
        </w:rPr>
        <w:t>2015年江头镇各村（居）委会基本情况</w:t>
      </w:r>
    </w:p>
    <w:p w14:paraId="0E302997">
      <w:pPr>
        <w:rPr>
          <w:rFonts w:hint="eastAsia" w:hAnsi="宋体" w:cs="宋体"/>
          <w:highlight w:val="none"/>
        </w:rPr>
      </w:pPr>
      <w:r>
        <w:rPr>
          <w:rFonts w:hint="eastAsia" w:hAnsi="宋体" w:cs="宋体"/>
          <w:highlight w:val="none"/>
        </w:rPr>
        <w:t>表37</w:t>
      </w:r>
    </w:p>
    <w:tbl>
      <w:tblPr>
        <w:tblStyle w:val="7"/>
        <w:tblW w:w="5000" w:type="pct"/>
        <w:jc w:val="center"/>
        <w:tblLayout w:type="fixed"/>
        <w:tblCellMar>
          <w:top w:w="0" w:type="dxa"/>
          <w:left w:w="108" w:type="dxa"/>
          <w:bottom w:w="0" w:type="dxa"/>
          <w:right w:w="108" w:type="dxa"/>
        </w:tblCellMar>
      </w:tblPr>
      <w:tblGrid>
        <w:gridCol w:w="693"/>
        <w:gridCol w:w="677"/>
        <w:gridCol w:w="614"/>
        <w:gridCol w:w="598"/>
        <w:gridCol w:w="653"/>
        <w:gridCol w:w="700"/>
        <w:gridCol w:w="685"/>
        <w:gridCol w:w="1123"/>
        <w:gridCol w:w="1175"/>
        <w:gridCol w:w="1698"/>
      </w:tblGrid>
      <w:tr w14:paraId="41BA439D">
        <w:tblPrEx>
          <w:tblCellMar>
            <w:top w:w="0" w:type="dxa"/>
            <w:left w:w="108" w:type="dxa"/>
            <w:bottom w:w="0" w:type="dxa"/>
            <w:right w:w="108" w:type="dxa"/>
          </w:tblCellMar>
        </w:tblPrEx>
        <w:trPr>
          <w:trHeight w:val="411" w:hRule="atLeast"/>
          <w:jc w:val="center"/>
        </w:trPr>
        <w:tc>
          <w:tcPr>
            <w:tcW w:w="1111" w:type="dxa"/>
            <w:vMerge w:val="restart"/>
            <w:tcBorders>
              <w:top w:val="single" w:color="000000" w:sz="4" w:space="0"/>
              <w:left w:val="single" w:color="000000" w:sz="4" w:space="0"/>
              <w:bottom w:val="single" w:color="000000" w:sz="4" w:space="0"/>
              <w:right w:val="single" w:color="000000" w:sz="4" w:space="0"/>
            </w:tcBorders>
            <w:noWrap w:val="0"/>
            <w:vAlign w:val="center"/>
          </w:tcPr>
          <w:p w14:paraId="0D96B6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  别</w:t>
            </w:r>
          </w:p>
        </w:tc>
        <w:tc>
          <w:tcPr>
            <w:tcW w:w="1080" w:type="dxa"/>
            <w:vMerge w:val="restart"/>
            <w:tcBorders>
              <w:top w:val="single" w:color="000000" w:sz="4" w:space="0"/>
              <w:left w:val="nil"/>
              <w:bottom w:val="single" w:color="000000" w:sz="4" w:space="0"/>
              <w:right w:val="single" w:color="000000" w:sz="4" w:space="0"/>
            </w:tcBorders>
            <w:noWrap w:val="0"/>
            <w:vAlign w:val="center"/>
          </w:tcPr>
          <w:p w14:paraId="77BD87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村小组（个）</w:t>
            </w:r>
          </w:p>
        </w:tc>
        <w:tc>
          <w:tcPr>
            <w:tcW w:w="960" w:type="dxa"/>
            <w:vMerge w:val="restart"/>
            <w:tcBorders>
              <w:top w:val="single" w:color="000000" w:sz="4" w:space="0"/>
              <w:left w:val="nil"/>
              <w:bottom w:val="single" w:color="000000" w:sz="4" w:space="0"/>
              <w:right w:val="single" w:color="000000" w:sz="4" w:space="0"/>
            </w:tcBorders>
            <w:noWrap w:val="0"/>
            <w:vAlign w:val="center"/>
          </w:tcPr>
          <w:p w14:paraId="73056F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户 数</w:t>
            </w:r>
          </w:p>
          <w:p w14:paraId="7F3C7F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lang w:eastAsia="zh-CN"/>
              </w:rPr>
              <w:t>（</w:t>
            </w:r>
            <w:r>
              <w:rPr>
                <w:rFonts w:hint="eastAsia"/>
                <w:highlight w:val="none"/>
              </w:rPr>
              <w:t>户</w:t>
            </w:r>
            <w:r>
              <w:rPr>
                <w:rFonts w:hint="eastAsia"/>
                <w:highlight w:val="none"/>
                <w:lang w:eastAsia="zh-CN"/>
              </w:rPr>
              <w:t>）</w:t>
            </w:r>
          </w:p>
        </w:tc>
        <w:tc>
          <w:tcPr>
            <w:tcW w:w="930" w:type="dxa"/>
            <w:vMerge w:val="restart"/>
            <w:tcBorders>
              <w:top w:val="single" w:color="000000" w:sz="4" w:space="0"/>
              <w:left w:val="nil"/>
              <w:bottom w:val="single" w:color="000000" w:sz="4" w:space="0"/>
              <w:right w:val="single" w:color="000000" w:sz="4" w:space="0"/>
            </w:tcBorders>
            <w:noWrap w:val="0"/>
            <w:vAlign w:val="center"/>
          </w:tcPr>
          <w:p w14:paraId="4EEA76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总人口（人）</w:t>
            </w:r>
          </w:p>
        </w:tc>
        <w:tc>
          <w:tcPr>
            <w:tcW w:w="3255" w:type="dxa"/>
            <w:gridSpan w:val="3"/>
            <w:tcBorders>
              <w:top w:val="single" w:color="000000" w:sz="4" w:space="0"/>
              <w:left w:val="nil"/>
              <w:bottom w:val="single" w:color="auto" w:sz="4" w:space="0"/>
              <w:right w:val="single" w:color="000000" w:sz="4" w:space="0"/>
            </w:tcBorders>
            <w:noWrap w:val="0"/>
            <w:vAlign w:val="center"/>
          </w:tcPr>
          <w:p w14:paraId="269C48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集体所有农用地总面积（亩）</w:t>
            </w:r>
          </w:p>
        </w:tc>
        <w:tc>
          <w:tcPr>
            <w:tcW w:w="1935" w:type="dxa"/>
            <w:vMerge w:val="restart"/>
            <w:tcBorders>
              <w:top w:val="single" w:color="000000" w:sz="4" w:space="0"/>
              <w:left w:val="nil"/>
              <w:bottom w:val="single" w:color="000000" w:sz="4" w:space="0"/>
              <w:right w:val="single" w:color="000000" w:sz="4" w:space="0"/>
            </w:tcBorders>
            <w:noWrap w:val="0"/>
            <w:vAlign w:val="center"/>
          </w:tcPr>
          <w:p w14:paraId="525F90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农村经济总收入（万元）</w:t>
            </w:r>
          </w:p>
        </w:tc>
        <w:tc>
          <w:tcPr>
            <w:tcW w:w="2035" w:type="dxa"/>
            <w:vMerge w:val="restart"/>
            <w:tcBorders>
              <w:top w:val="single" w:color="000000" w:sz="4" w:space="0"/>
              <w:left w:val="nil"/>
              <w:bottom w:val="single" w:color="000000" w:sz="4" w:space="0"/>
              <w:right w:val="single" w:color="000000" w:sz="4" w:space="0"/>
            </w:tcBorders>
            <w:noWrap w:val="0"/>
            <w:vAlign w:val="center"/>
          </w:tcPr>
          <w:p w14:paraId="1075BD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人均纯收入（元）</w:t>
            </w:r>
          </w:p>
        </w:tc>
        <w:tc>
          <w:tcPr>
            <w:tcW w:w="3035" w:type="dxa"/>
            <w:vMerge w:val="restart"/>
            <w:tcBorders>
              <w:top w:val="single" w:color="000000" w:sz="4" w:space="0"/>
              <w:left w:val="nil"/>
              <w:bottom w:val="single" w:color="000000" w:sz="4" w:space="0"/>
              <w:right w:val="single" w:color="000000" w:sz="4" w:space="0"/>
            </w:tcBorders>
            <w:noWrap w:val="0"/>
            <w:vAlign w:val="center"/>
          </w:tcPr>
          <w:p w14:paraId="3C25B6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主要经济作物</w:t>
            </w:r>
          </w:p>
        </w:tc>
      </w:tr>
      <w:tr w14:paraId="589720AF">
        <w:tblPrEx>
          <w:tblCellMar>
            <w:top w:w="0" w:type="dxa"/>
            <w:left w:w="108" w:type="dxa"/>
            <w:bottom w:w="0" w:type="dxa"/>
            <w:right w:w="108" w:type="dxa"/>
          </w:tblCellMar>
        </w:tblPrEx>
        <w:trPr>
          <w:trHeight w:val="350" w:hRule="atLeast"/>
          <w:jc w:val="center"/>
        </w:trPr>
        <w:tc>
          <w:tcPr>
            <w:tcW w:w="1111"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7538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continue"/>
            <w:tcBorders>
              <w:top w:val="single" w:color="000000" w:sz="4" w:space="0"/>
              <w:left w:val="nil"/>
              <w:bottom w:val="single" w:color="000000" w:sz="4" w:space="0"/>
              <w:right w:val="single" w:color="000000" w:sz="4" w:space="0"/>
            </w:tcBorders>
            <w:noWrap w:val="0"/>
            <w:vAlign w:val="center"/>
          </w:tcPr>
          <w:p w14:paraId="6C5312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60" w:type="dxa"/>
            <w:vMerge w:val="continue"/>
            <w:tcBorders>
              <w:top w:val="single" w:color="000000" w:sz="4" w:space="0"/>
              <w:left w:val="nil"/>
              <w:bottom w:val="single" w:color="000000" w:sz="4" w:space="0"/>
              <w:right w:val="single" w:color="000000" w:sz="4" w:space="0"/>
            </w:tcBorders>
            <w:noWrap w:val="0"/>
            <w:vAlign w:val="center"/>
          </w:tcPr>
          <w:p w14:paraId="6ECE4A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30" w:type="dxa"/>
            <w:vMerge w:val="continue"/>
            <w:tcBorders>
              <w:top w:val="single" w:color="000000" w:sz="4" w:space="0"/>
              <w:left w:val="nil"/>
              <w:bottom w:val="single" w:color="000000" w:sz="4" w:space="0"/>
              <w:right w:val="single" w:color="000000" w:sz="4" w:space="0"/>
            </w:tcBorders>
            <w:noWrap w:val="0"/>
            <w:vAlign w:val="center"/>
          </w:tcPr>
          <w:p w14:paraId="514B63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35" w:type="dxa"/>
            <w:vMerge w:val="restart"/>
            <w:tcBorders>
              <w:top w:val="nil"/>
              <w:left w:val="nil"/>
              <w:bottom w:val="single" w:color="000000" w:sz="4" w:space="0"/>
              <w:right w:val="single" w:color="000000" w:sz="4" w:space="0"/>
            </w:tcBorders>
            <w:noWrap w:val="0"/>
            <w:vAlign w:val="center"/>
          </w:tcPr>
          <w:p w14:paraId="4D5F69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合计</w:t>
            </w:r>
          </w:p>
        </w:tc>
        <w:tc>
          <w:tcPr>
            <w:tcW w:w="2220" w:type="dxa"/>
            <w:gridSpan w:val="2"/>
            <w:tcBorders>
              <w:top w:val="single" w:color="auto" w:sz="4" w:space="0"/>
              <w:left w:val="nil"/>
              <w:bottom w:val="single" w:color="auto" w:sz="4" w:space="0"/>
              <w:right w:val="single" w:color="000000" w:sz="4" w:space="0"/>
            </w:tcBorders>
            <w:noWrap w:val="0"/>
            <w:vAlign w:val="center"/>
          </w:tcPr>
          <w:p w14:paraId="7EB11B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w:t>
            </w:r>
          </w:p>
        </w:tc>
        <w:tc>
          <w:tcPr>
            <w:tcW w:w="1935" w:type="dxa"/>
            <w:vMerge w:val="continue"/>
            <w:tcBorders>
              <w:top w:val="single" w:color="000000" w:sz="4" w:space="0"/>
              <w:left w:val="nil"/>
              <w:bottom w:val="single" w:color="000000" w:sz="4" w:space="0"/>
              <w:right w:val="single" w:color="000000" w:sz="4" w:space="0"/>
            </w:tcBorders>
            <w:noWrap w:val="0"/>
            <w:vAlign w:val="center"/>
          </w:tcPr>
          <w:p w14:paraId="3FF5F5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35" w:type="dxa"/>
            <w:vMerge w:val="continue"/>
            <w:tcBorders>
              <w:top w:val="single" w:color="000000" w:sz="4" w:space="0"/>
              <w:left w:val="nil"/>
              <w:bottom w:val="single" w:color="000000" w:sz="4" w:space="0"/>
              <w:right w:val="single" w:color="000000" w:sz="4" w:space="0"/>
            </w:tcBorders>
            <w:noWrap w:val="0"/>
            <w:vAlign w:val="center"/>
          </w:tcPr>
          <w:p w14:paraId="5A4960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3035" w:type="dxa"/>
            <w:vMerge w:val="continue"/>
            <w:tcBorders>
              <w:top w:val="single" w:color="000000" w:sz="4" w:space="0"/>
              <w:left w:val="nil"/>
              <w:bottom w:val="single" w:color="000000" w:sz="4" w:space="0"/>
              <w:right w:val="single" w:color="000000" w:sz="4" w:space="0"/>
            </w:tcBorders>
            <w:noWrap w:val="0"/>
            <w:vAlign w:val="center"/>
          </w:tcPr>
          <w:p w14:paraId="3D1D00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63176FFB">
        <w:tblPrEx>
          <w:tblCellMar>
            <w:top w:w="0" w:type="dxa"/>
            <w:left w:w="108" w:type="dxa"/>
            <w:bottom w:w="0" w:type="dxa"/>
            <w:right w:w="108" w:type="dxa"/>
          </w:tblCellMar>
        </w:tblPrEx>
        <w:trPr>
          <w:trHeight w:val="146" w:hRule="atLeast"/>
          <w:jc w:val="center"/>
        </w:trPr>
        <w:tc>
          <w:tcPr>
            <w:tcW w:w="1111"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38C4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continue"/>
            <w:tcBorders>
              <w:top w:val="single" w:color="000000" w:sz="4" w:space="0"/>
              <w:left w:val="nil"/>
              <w:bottom w:val="single" w:color="000000" w:sz="4" w:space="0"/>
              <w:right w:val="single" w:color="000000" w:sz="4" w:space="0"/>
            </w:tcBorders>
            <w:noWrap w:val="0"/>
            <w:vAlign w:val="center"/>
          </w:tcPr>
          <w:p w14:paraId="5B2815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60" w:type="dxa"/>
            <w:vMerge w:val="continue"/>
            <w:tcBorders>
              <w:top w:val="single" w:color="000000" w:sz="4" w:space="0"/>
              <w:left w:val="nil"/>
              <w:bottom w:val="single" w:color="000000" w:sz="4" w:space="0"/>
              <w:right w:val="single" w:color="000000" w:sz="4" w:space="0"/>
            </w:tcBorders>
            <w:noWrap w:val="0"/>
            <w:vAlign w:val="center"/>
          </w:tcPr>
          <w:p w14:paraId="239687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30" w:type="dxa"/>
            <w:vMerge w:val="continue"/>
            <w:tcBorders>
              <w:top w:val="single" w:color="000000" w:sz="4" w:space="0"/>
              <w:left w:val="nil"/>
              <w:bottom w:val="single" w:color="000000" w:sz="4" w:space="0"/>
              <w:right w:val="single" w:color="000000" w:sz="4" w:space="0"/>
            </w:tcBorders>
            <w:noWrap w:val="0"/>
            <w:vAlign w:val="center"/>
          </w:tcPr>
          <w:p w14:paraId="56B211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35" w:type="dxa"/>
            <w:vMerge w:val="continue"/>
            <w:tcBorders>
              <w:top w:val="nil"/>
              <w:left w:val="nil"/>
              <w:bottom w:val="single" w:color="000000" w:sz="4" w:space="0"/>
              <w:right w:val="single" w:color="000000" w:sz="4" w:space="0"/>
            </w:tcBorders>
            <w:noWrap w:val="0"/>
            <w:vAlign w:val="center"/>
          </w:tcPr>
          <w:p w14:paraId="10ABD6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25" w:type="dxa"/>
            <w:tcBorders>
              <w:top w:val="single" w:color="auto" w:sz="4" w:space="0"/>
              <w:left w:val="nil"/>
              <w:bottom w:val="single" w:color="000000" w:sz="4" w:space="0"/>
              <w:right w:val="single" w:color="000000" w:sz="4" w:space="0"/>
            </w:tcBorders>
            <w:noWrap w:val="0"/>
            <w:vAlign w:val="center"/>
          </w:tcPr>
          <w:p w14:paraId="1E392B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耕地</w:t>
            </w:r>
          </w:p>
        </w:tc>
        <w:tc>
          <w:tcPr>
            <w:tcW w:w="1095" w:type="dxa"/>
            <w:tcBorders>
              <w:top w:val="single" w:color="auto" w:sz="4" w:space="0"/>
              <w:left w:val="nil"/>
              <w:bottom w:val="single" w:color="000000" w:sz="4" w:space="0"/>
              <w:right w:val="single" w:color="000000" w:sz="4" w:space="0"/>
            </w:tcBorders>
            <w:noWrap w:val="0"/>
            <w:vAlign w:val="center"/>
          </w:tcPr>
          <w:p w14:paraId="2B7EDB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林地</w:t>
            </w:r>
          </w:p>
        </w:tc>
        <w:tc>
          <w:tcPr>
            <w:tcW w:w="1935" w:type="dxa"/>
            <w:vMerge w:val="continue"/>
            <w:tcBorders>
              <w:top w:val="single" w:color="000000" w:sz="4" w:space="0"/>
              <w:left w:val="nil"/>
              <w:bottom w:val="single" w:color="000000" w:sz="4" w:space="0"/>
              <w:right w:val="single" w:color="000000" w:sz="4" w:space="0"/>
            </w:tcBorders>
            <w:noWrap w:val="0"/>
            <w:vAlign w:val="center"/>
          </w:tcPr>
          <w:p w14:paraId="4BB27A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35" w:type="dxa"/>
            <w:vMerge w:val="continue"/>
            <w:tcBorders>
              <w:top w:val="single" w:color="000000" w:sz="4" w:space="0"/>
              <w:left w:val="nil"/>
              <w:bottom w:val="single" w:color="000000" w:sz="4" w:space="0"/>
              <w:right w:val="single" w:color="000000" w:sz="4" w:space="0"/>
            </w:tcBorders>
            <w:noWrap w:val="0"/>
            <w:vAlign w:val="center"/>
          </w:tcPr>
          <w:p w14:paraId="5D21CC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3035" w:type="dxa"/>
            <w:vMerge w:val="continue"/>
            <w:tcBorders>
              <w:top w:val="single" w:color="000000" w:sz="4" w:space="0"/>
              <w:left w:val="nil"/>
              <w:bottom w:val="single" w:color="000000" w:sz="4" w:space="0"/>
              <w:right w:val="single" w:color="000000" w:sz="4" w:space="0"/>
            </w:tcBorders>
            <w:noWrap w:val="0"/>
            <w:vAlign w:val="center"/>
          </w:tcPr>
          <w:p w14:paraId="0A60F7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67A13EB4">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2B63BA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合计</w:t>
            </w:r>
          </w:p>
        </w:tc>
        <w:tc>
          <w:tcPr>
            <w:tcW w:w="1080" w:type="dxa"/>
            <w:tcBorders>
              <w:top w:val="single" w:color="000000" w:sz="4" w:space="0"/>
              <w:left w:val="nil"/>
              <w:bottom w:val="single" w:color="000000" w:sz="4" w:space="0"/>
              <w:right w:val="single" w:color="000000" w:sz="4" w:space="0"/>
            </w:tcBorders>
            <w:noWrap w:val="0"/>
            <w:vAlign w:val="center"/>
          </w:tcPr>
          <w:p w14:paraId="65A8A1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97</w:t>
            </w:r>
          </w:p>
        </w:tc>
        <w:tc>
          <w:tcPr>
            <w:tcW w:w="960" w:type="dxa"/>
            <w:tcBorders>
              <w:top w:val="single" w:color="000000" w:sz="4" w:space="0"/>
              <w:left w:val="nil"/>
              <w:bottom w:val="single" w:color="000000" w:sz="4" w:space="0"/>
              <w:right w:val="single" w:color="000000" w:sz="4" w:space="0"/>
            </w:tcBorders>
            <w:noWrap w:val="0"/>
            <w:vAlign w:val="center"/>
          </w:tcPr>
          <w:p w14:paraId="54B67A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3008</w:t>
            </w:r>
          </w:p>
        </w:tc>
        <w:tc>
          <w:tcPr>
            <w:tcW w:w="930" w:type="dxa"/>
            <w:tcBorders>
              <w:top w:val="single" w:color="000000" w:sz="4" w:space="0"/>
              <w:left w:val="nil"/>
              <w:bottom w:val="single" w:color="000000" w:sz="4" w:space="0"/>
              <w:right w:val="single" w:color="000000" w:sz="4" w:space="0"/>
            </w:tcBorders>
            <w:noWrap w:val="0"/>
            <w:vAlign w:val="center"/>
          </w:tcPr>
          <w:p w14:paraId="7B7A43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12624</w:t>
            </w:r>
          </w:p>
        </w:tc>
        <w:tc>
          <w:tcPr>
            <w:tcW w:w="1035" w:type="dxa"/>
            <w:tcBorders>
              <w:top w:val="single" w:color="000000" w:sz="4" w:space="0"/>
              <w:left w:val="nil"/>
              <w:bottom w:val="single" w:color="000000" w:sz="4" w:space="0"/>
              <w:right w:val="single" w:color="000000" w:sz="4" w:space="0"/>
            </w:tcBorders>
            <w:noWrap w:val="0"/>
            <w:vAlign w:val="center"/>
          </w:tcPr>
          <w:p w14:paraId="148026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176127</w:t>
            </w:r>
          </w:p>
        </w:tc>
        <w:tc>
          <w:tcPr>
            <w:tcW w:w="1125" w:type="dxa"/>
            <w:tcBorders>
              <w:top w:val="single" w:color="000000" w:sz="4" w:space="0"/>
              <w:left w:val="nil"/>
              <w:bottom w:val="single" w:color="000000" w:sz="4" w:space="0"/>
              <w:right w:val="single" w:color="000000" w:sz="4" w:space="0"/>
            </w:tcBorders>
            <w:noWrap w:val="0"/>
            <w:vAlign w:val="center"/>
          </w:tcPr>
          <w:p w14:paraId="6BC269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14334</w:t>
            </w:r>
          </w:p>
        </w:tc>
        <w:tc>
          <w:tcPr>
            <w:tcW w:w="1095" w:type="dxa"/>
            <w:tcBorders>
              <w:top w:val="single" w:color="000000" w:sz="4" w:space="0"/>
              <w:left w:val="nil"/>
              <w:bottom w:val="single" w:color="000000" w:sz="4" w:space="0"/>
              <w:right w:val="single" w:color="000000" w:sz="4" w:space="0"/>
            </w:tcBorders>
            <w:noWrap w:val="0"/>
            <w:vAlign w:val="center"/>
          </w:tcPr>
          <w:p w14:paraId="768273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158400</w:t>
            </w:r>
          </w:p>
        </w:tc>
        <w:tc>
          <w:tcPr>
            <w:tcW w:w="1935" w:type="dxa"/>
            <w:tcBorders>
              <w:top w:val="single" w:color="000000" w:sz="4" w:space="0"/>
              <w:left w:val="nil"/>
              <w:bottom w:val="single" w:color="000000" w:sz="4" w:space="0"/>
              <w:right w:val="single" w:color="000000" w:sz="4" w:space="0"/>
            </w:tcBorders>
            <w:noWrap w:val="0"/>
            <w:vAlign w:val="center"/>
          </w:tcPr>
          <w:p w14:paraId="650E4A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16163</w:t>
            </w:r>
          </w:p>
        </w:tc>
        <w:tc>
          <w:tcPr>
            <w:tcW w:w="2035" w:type="dxa"/>
            <w:tcBorders>
              <w:top w:val="single" w:color="000000" w:sz="4" w:space="0"/>
              <w:left w:val="nil"/>
              <w:bottom w:val="single" w:color="000000" w:sz="4" w:space="0"/>
              <w:right w:val="single" w:color="000000" w:sz="4" w:space="0"/>
            </w:tcBorders>
            <w:noWrap w:val="0"/>
            <w:vAlign w:val="center"/>
          </w:tcPr>
          <w:p w14:paraId="7FCF69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9270</w:t>
            </w:r>
          </w:p>
        </w:tc>
        <w:tc>
          <w:tcPr>
            <w:tcW w:w="3035" w:type="dxa"/>
            <w:tcBorders>
              <w:top w:val="single" w:color="000000" w:sz="4" w:space="0"/>
              <w:left w:val="nil"/>
              <w:bottom w:val="single" w:color="000000" w:sz="4" w:space="0"/>
              <w:right w:val="single" w:color="000000" w:sz="4" w:space="0"/>
            </w:tcBorders>
            <w:noWrap w:val="0"/>
            <w:vAlign w:val="center"/>
          </w:tcPr>
          <w:p w14:paraId="5EF980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r w14:paraId="58507D16">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0E47DD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坪岗</w:t>
            </w:r>
          </w:p>
        </w:tc>
        <w:tc>
          <w:tcPr>
            <w:tcW w:w="1080" w:type="dxa"/>
            <w:tcBorders>
              <w:top w:val="single" w:color="000000" w:sz="4" w:space="0"/>
              <w:left w:val="nil"/>
              <w:bottom w:val="single" w:color="000000" w:sz="4" w:space="0"/>
              <w:right w:val="single" w:color="000000" w:sz="4" w:space="0"/>
            </w:tcBorders>
            <w:noWrap w:val="0"/>
            <w:vAlign w:val="center"/>
          </w:tcPr>
          <w:p w14:paraId="05F5E5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960" w:type="dxa"/>
            <w:tcBorders>
              <w:top w:val="single" w:color="000000" w:sz="4" w:space="0"/>
              <w:left w:val="nil"/>
              <w:bottom w:val="single" w:color="000000" w:sz="4" w:space="0"/>
              <w:right w:val="single" w:color="000000" w:sz="4" w:space="0"/>
            </w:tcBorders>
            <w:noWrap w:val="0"/>
            <w:vAlign w:val="center"/>
          </w:tcPr>
          <w:p w14:paraId="726C33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350</w:t>
            </w:r>
          </w:p>
        </w:tc>
        <w:tc>
          <w:tcPr>
            <w:tcW w:w="930" w:type="dxa"/>
            <w:tcBorders>
              <w:top w:val="single" w:color="000000" w:sz="4" w:space="0"/>
              <w:left w:val="nil"/>
              <w:bottom w:val="single" w:color="000000" w:sz="4" w:space="0"/>
              <w:right w:val="single" w:color="000000" w:sz="4" w:space="0"/>
            </w:tcBorders>
            <w:noWrap w:val="0"/>
            <w:vAlign w:val="center"/>
          </w:tcPr>
          <w:p w14:paraId="638233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1515</w:t>
            </w:r>
          </w:p>
        </w:tc>
        <w:tc>
          <w:tcPr>
            <w:tcW w:w="1035" w:type="dxa"/>
            <w:tcBorders>
              <w:top w:val="single" w:color="000000" w:sz="4" w:space="0"/>
              <w:left w:val="nil"/>
              <w:bottom w:val="single" w:color="000000" w:sz="4" w:space="0"/>
              <w:right w:val="single" w:color="000000" w:sz="4" w:space="0"/>
            </w:tcBorders>
            <w:noWrap w:val="0"/>
            <w:vAlign w:val="center"/>
          </w:tcPr>
          <w:p w14:paraId="77948E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7771</w:t>
            </w:r>
          </w:p>
        </w:tc>
        <w:tc>
          <w:tcPr>
            <w:tcW w:w="1125" w:type="dxa"/>
            <w:tcBorders>
              <w:top w:val="single" w:color="000000" w:sz="4" w:space="0"/>
              <w:left w:val="nil"/>
              <w:bottom w:val="single" w:color="000000" w:sz="4" w:space="0"/>
              <w:right w:val="single" w:color="000000" w:sz="4" w:space="0"/>
            </w:tcBorders>
            <w:noWrap w:val="0"/>
            <w:vAlign w:val="center"/>
          </w:tcPr>
          <w:p w14:paraId="10BAB4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1887</w:t>
            </w:r>
          </w:p>
        </w:tc>
        <w:tc>
          <w:tcPr>
            <w:tcW w:w="1095" w:type="dxa"/>
            <w:tcBorders>
              <w:top w:val="single" w:color="000000" w:sz="4" w:space="0"/>
              <w:left w:val="nil"/>
              <w:bottom w:val="single" w:color="000000" w:sz="4" w:space="0"/>
              <w:right w:val="single" w:color="000000" w:sz="4" w:space="0"/>
            </w:tcBorders>
            <w:noWrap w:val="0"/>
            <w:vAlign w:val="center"/>
          </w:tcPr>
          <w:p w14:paraId="32D366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5100</w:t>
            </w:r>
          </w:p>
        </w:tc>
        <w:tc>
          <w:tcPr>
            <w:tcW w:w="1935" w:type="dxa"/>
            <w:tcBorders>
              <w:top w:val="single" w:color="000000" w:sz="4" w:space="0"/>
              <w:left w:val="nil"/>
              <w:bottom w:val="single" w:color="000000" w:sz="4" w:space="0"/>
              <w:right w:val="single" w:color="000000" w:sz="4" w:space="0"/>
            </w:tcBorders>
            <w:noWrap w:val="0"/>
            <w:vAlign w:val="center"/>
          </w:tcPr>
          <w:p w14:paraId="1176E3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1312</w:t>
            </w:r>
          </w:p>
        </w:tc>
        <w:tc>
          <w:tcPr>
            <w:tcW w:w="2035" w:type="dxa"/>
            <w:tcBorders>
              <w:top w:val="single" w:color="000000" w:sz="4" w:space="0"/>
              <w:left w:val="nil"/>
              <w:bottom w:val="single" w:color="000000" w:sz="4" w:space="0"/>
              <w:right w:val="single" w:color="000000" w:sz="4" w:space="0"/>
            </w:tcBorders>
            <w:noWrap w:val="0"/>
            <w:vAlign w:val="center"/>
          </w:tcPr>
          <w:p w14:paraId="053000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9280</w:t>
            </w:r>
          </w:p>
        </w:tc>
        <w:tc>
          <w:tcPr>
            <w:tcW w:w="3035" w:type="dxa"/>
            <w:tcBorders>
              <w:top w:val="single" w:color="000000" w:sz="4" w:space="0"/>
              <w:left w:val="nil"/>
              <w:bottom w:val="single" w:color="000000" w:sz="4" w:space="0"/>
              <w:right w:val="single" w:color="000000" w:sz="4" w:space="0"/>
            </w:tcBorders>
            <w:noWrap w:val="0"/>
            <w:vAlign w:val="center"/>
          </w:tcPr>
          <w:p w14:paraId="61FEF3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水稻、黄烟、花生</w:t>
            </w:r>
          </w:p>
        </w:tc>
      </w:tr>
      <w:tr w14:paraId="6D09EB35">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24FB06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涌溪</w:t>
            </w:r>
          </w:p>
        </w:tc>
        <w:tc>
          <w:tcPr>
            <w:tcW w:w="1080" w:type="dxa"/>
            <w:tcBorders>
              <w:top w:val="single" w:color="000000" w:sz="4" w:space="0"/>
              <w:left w:val="nil"/>
              <w:bottom w:val="single" w:color="000000" w:sz="4" w:space="0"/>
              <w:right w:val="single" w:color="000000" w:sz="4" w:space="0"/>
            </w:tcBorders>
            <w:noWrap w:val="0"/>
            <w:vAlign w:val="center"/>
          </w:tcPr>
          <w:p w14:paraId="6C7F19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960" w:type="dxa"/>
            <w:tcBorders>
              <w:top w:val="single" w:color="000000" w:sz="4" w:space="0"/>
              <w:left w:val="nil"/>
              <w:bottom w:val="single" w:color="000000" w:sz="4" w:space="0"/>
              <w:right w:val="single" w:color="000000" w:sz="4" w:space="0"/>
            </w:tcBorders>
            <w:noWrap w:val="0"/>
            <w:vAlign w:val="center"/>
          </w:tcPr>
          <w:p w14:paraId="1A4F00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370</w:t>
            </w:r>
          </w:p>
        </w:tc>
        <w:tc>
          <w:tcPr>
            <w:tcW w:w="930" w:type="dxa"/>
            <w:tcBorders>
              <w:top w:val="single" w:color="000000" w:sz="4" w:space="0"/>
              <w:left w:val="nil"/>
              <w:bottom w:val="single" w:color="000000" w:sz="4" w:space="0"/>
              <w:right w:val="single" w:color="000000" w:sz="4" w:space="0"/>
            </w:tcBorders>
            <w:noWrap w:val="0"/>
            <w:vAlign w:val="center"/>
          </w:tcPr>
          <w:p w14:paraId="0557D0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1614</w:t>
            </w:r>
          </w:p>
        </w:tc>
        <w:tc>
          <w:tcPr>
            <w:tcW w:w="1035" w:type="dxa"/>
            <w:tcBorders>
              <w:top w:val="single" w:color="000000" w:sz="4" w:space="0"/>
              <w:left w:val="nil"/>
              <w:bottom w:val="single" w:color="000000" w:sz="4" w:space="0"/>
              <w:right w:val="single" w:color="000000" w:sz="4" w:space="0"/>
            </w:tcBorders>
            <w:noWrap w:val="0"/>
            <w:vAlign w:val="center"/>
          </w:tcPr>
          <w:p w14:paraId="1352E4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6587</w:t>
            </w:r>
          </w:p>
        </w:tc>
        <w:tc>
          <w:tcPr>
            <w:tcW w:w="1125" w:type="dxa"/>
            <w:tcBorders>
              <w:top w:val="single" w:color="000000" w:sz="4" w:space="0"/>
              <w:left w:val="nil"/>
              <w:bottom w:val="single" w:color="000000" w:sz="4" w:space="0"/>
              <w:right w:val="single" w:color="000000" w:sz="4" w:space="0"/>
            </w:tcBorders>
            <w:noWrap w:val="0"/>
            <w:vAlign w:val="center"/>
          </w:tcPr>
          <w:p w14:paraId="5D5CE0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1776</w:t>
            </w:r>
          </w:p>
        </w:tc>
        <w:tc>
          <w:tcPr>
            <w:tcW w:w="1095" w:type="dxa"/>
            <w:tcBorders>
              <w:top w:val="single" w:color="000000" w:sz="4" w:space="0"/>
              <w:left w:val="nil"/>
              <w:bottom w:val="single" w:color="000000" w:sz="4" w:space="0"/>
              <w:right w:val="single" w:color="000000" w:sz="4" w:space="0"/>
            </w:tcBorders>
            <w:noWrap w:val="0"/>
            <w:vAlign w:val="center"/>
          </w:tcPr>
          <w:p w14:paraId="4DA56E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4200</w:t>
            </w:r>
          </w:p>
        </w:tc>
        <w:tc>
          <w:tcPr>
            <w:tcW w:w="1935" w:type="dxa"/>
            <w:tcBorders>
              <w:top w:val="single" w:color="000000" w:sz="4" w:space="0"/>
              <w:left w:val="nil"/>
              <w:bottom w:val="single" w:color="000000" w:sz="4" w:space="0"/>
              <w:right w:val="single" w:color="000000" w:sz="4" w:space="0"/>
            </w:tcBorders>
            <w:noWrap w:val="0"/>
            <w:vAlign w:val="center"/>
          </w:tcPr>
          <w:p w14:paraId="007523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1314</w:t>
            </w:r>
          </w:p>
        </w:tc>
        <w:tc>
          <w:tcPr>
            <w:tcW w:w="2035" w:type="dxa"/>
            <w:tcBorders>
              <w:top w:val="single" w:color="000000" w:sz="4" w:space="0"/>
              <w:left w:val="nil"/>
              <w:bottom w:val="single" w:color="000000" w:sz="4" w:space="0"/>
              <w:right w:val="single" w:color="000000" w:sz="4" w:space="0"/>
            </w:tcBorders>
            <w:noWrap w:val="0"/>
            <w:vAlign w:val="center"/>
          </w:tcPr>
          <w:p w14:paraId="36AC35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9278</w:t>
            </w:r>
          </w:p>
        </w:tc>
        <w:tc>
          <w:tcPr>
            <w:tcW w:w="3035" w:type="dxa"/>
            <w:tcBorders>
              <w:top w:val="single" w:color="000000" w:sz="4" w:space="0"/>
              <w:left w:val="nil"/>
              <w:bottom w:val="single" w:color="000000" w:sz="4" w:space="0"/>
              <w:right w:val="single" w:color="000000" w:sz="4" w:space="0"/>
            </w:tcBorders>
            <w:noWrap w:val="0"/>
            <w:vAlign w:val="center"/>
          </w:tcPr>
          <w:p w14:paraId="71225C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水稻、黄烟、花生</w:t>
            </w:r>
          </w:p>
        </w:tc>
      </w:tr>
      <w:tr w14:paraId="68DB251E">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744293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元甫</w:t>
            </w:r>
          </w:p>
        </w:tc>
        <w:tc>
          <w:tcPr>
            <w:tcW w:w="1080" w:type="dxa"/>
            <w:tcBorders>
              <w:top w:val="single" w:color="000000" w:sz="4" w:space="0"/>
              <w:left w:val="nil"/>
              <w:bottom w:val="single" w:color="000000" w:sz="4" w:space="0"/>
              <w:right w:val="single" w:color="000000" w:sz="4" w:space="0"/>
            </w:tcBorders>
            <w:noWrap w:val="0"/>
            <w:vAlign w:val="center"/>
          </w:tcPr>
          <w:p w14:paraId="434941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960" w:type="dxa"/>
            <w:tcBorders>
              <w:top w:val="single" w:color="000000" w:sz="4" w:space="0"/>
              <w:left w:val="nil"/>
              <w:bottom w:val="single" w:color="000000" w:sz="4" w:space="0"/>
              <w:right w:val="single" w:color="000000" w:sz="4" w:space="0"/>
            </w:tcBorders>
            <w:noWrap w:val="0"/>
            <w:vAlign w:val="center"/>
          </w:tcPr>
          <w:p w14:paraId="3C5845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368</w:t>
            </w:r>
          </w:p>
        </w:tc>
        <w:tc>
          <w:tcPr>
            <w:tcW w:w="930" w:type="dxa"/>
            <w:tcBorders>
              <w:top w:val="single" w:color="000000" w:sz="4" w:space="0"/>
              <w:left w:val="nil"/>
              <w:bottom w:val="single" w:color="000000" w:sz="4" w:space="0"/>
              <w:right w:val="single" w:color="000000" w:sz="4" w:space="0"/>
            </w:tcBorders>
            <w:noWrap w:val="0"/>
            <w:vAlign w:val="center"/>
          </w:tcPr>
          <w:p w14:paraId="46D708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1487</w:t>
            </w:r>
          </w:p>
        </w:tc>
        <w:tc>
          <w:tcPr>
            <w:tcW w:w="1035" w:type="dxa"/>
            <w:tcBorders>
              <w:top w:val="single" w:color="000000" w:sz="4" w:space="0"/>
              <w:left w:val="nil"/>
              <w:bottom w:val="single" w:color="000000" w:sz="4" w:space="0"/>
              <w:right w:val="single" w:color="000000" w:sz="4" w:space="0"/>
            </w:tcBorders>
            <w:noWrap w:val="0"/>
            <w:vAlign w:val="center"/>
          </w:tcPr>
          <w:p w14:paraId="1C2F67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15037</w:t>
            </w:r>
          </w:p>
        </w:tc>
        <w:tc>
          <w:tcPr>
            <w:tcW w:w="1125" w:type="dxa"/>
            <w:tcBorders>
              <w:top w:val="single" w:color="000000" w:sz="4" w:space="0"/>
              <w:left w:val="nil"/>
              <w:bottom w:val="single" w:color="000000" w:sz="4" w:space="0"/>
              <w:right w:val="single" w:color="000000" w:sz="4" w:space="0"/>
            </w:tcBorders>
            <w:noWrap w:val="0"/>
            <w:vAlign w:val="center"/>
          </w:tcPr>
          <w:p w14:paraId="64D28B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2116</w:t>
            </w:r>
          </w:p>
        </w:tc>
        <w:tc>
          <w:tcPr>
            <w:tcW w:w="1095" w:type="dxa"/>
            <w:tcBorders>
              <w:top w:val="single" w:color="000000" w:sz="4" w:space="0"/>
              <w:left w:val="nil"/>
              <w:bottom w:val="single" w:color="000000" w:sz="4" w:space="0"/>
              <w:right w:val="single" w:color="000000" w:sz="4" w:space="0"/>
            </w:tcBorders>
            <w:noWrap w:val="0"/>
            <w:vAlign w:val="center"/>
          </w:tcPr>
          <w:p w14:paraId="61B20E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12200</w:t>
            </w:r>
          </w:p>
        </w:tc>
        <w:tc>
          <w:tcPr>
            <w:tcW w:w="1935" w:type="dxa"/>
            <w:tcBorders>
              <w:top w:val="single" w:color="000000" w:sz="4" w:space="0"/>
              <w:left w:val="nil"/>
              <w:bottom w:val="single" w:color="000000" w:sz="4" w:space="0"/>
              <w:right w:val="single" w:color="000000" w:sz="4" w:space="0"/>
            </w:tcBorders>
            <w:noWrap w:val="0"/>
            <w:vAlign w:val="center"/>
          </w:tcPr>
          <w:p w14:paraId="158CAB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1313</w:t>
            </w:r>
          </w:p>
        </w:tc>
        <w:tc>
          <w:tcPr>
            <w:tcW w:w="2035" w:type="dxa"/>
            <w:tcBorders>
              <w:top w:val="single" w:color="000000" w:sz="4" w:space="0"/>
              <w:left w:val="nil"/>
              <w:bottom w:val="single" w:color="000000" w:sz="4" w:space="0"/>
              <w:right w:val="single" w:color="000000" w:sz="4" w:space="0"/>
            </w:tcBorders>
            <w:noWrap w:val="0"/>
            <w:vAlign w:val="center"/>
          </w:tcPr>
          <w:p w14:paraId="2B5333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9270</w:t>
            </w:r>
          </w:p>
        </w:tc>
        <w:tc>
          <w:tcPr>
            <w:tcW w:w="3035" w:type="dxa"/>
            <w:tcBorders>
              <w:top w:val="single" w:color="000000" w:sz="4" w:space="0"/>
              <w:left w:val="nil"/>
              <w:bottom w:val="single" w:color="000000" w:sz="4" w:space="0"/>
              <w:right w:val="single" w:color="000000" w:sz="4" w:space="0"/>
            </w:tcBorders>
            <w:noWrap w:val="0"/>
            <w:vAlign w:val="center"/>
          </w:tcPr>
          <w:p w14:paraId="533876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水稻、黄烟、花生</w:t>
            </w:r>
          </w:p>
        </w:tc>
      </w:tr>
      <w:tr w14:paraId="0484866D">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1076F5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w:t>
            </w:r>
          </w:p>
        </w:tc>
        <w:tc>
          <w:tcPr>
            <w:tcW w:w="1080" w:type="dxa"/>
            <w:tcBorders>
              <w:top w:val="single" w:color="000000" w:sz="4" w:space="0"/>
              <w:left w:val="nil"/>
              <w:bottom w:val="single" w:color="000000" w:sz="4" w:space="0"/>
              <w:right w:val="single" w:color="000000" w:sz="4" w:space="0"/>
            </w:tcBorders>
            <w:noWrap w:val="0"/>
            <w:vAlign w:val="center"/>
          </w:tcPr>
          <w:p w14:paraId="38EF6A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960" w:type="dxa"/>
            <w:tcBorders>
              <w:top w:val="single" w:color="000000" w:sz="4" w:space="0"/>
              <w:left w:val="nil"/>
              <w:bottom w:val="single" w:color="000000" w:sz="4" w:space="0"/>
              <w:right w:val="single" w:color="000000" w:sz="4" w:space="0"/>
            </w:tcBorders>
            <w:noWrap w:val="0"/>
            <w:vAlign w:val="center"/>
          </w:tcPr>
          <w:p w14:paraId="398E76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319</w:t>
            </w:r>
          </w:p>
        </w:tc>
        <w:tc>
          <w:tcPr>
            <w:tcW w:w="930" w:type="dxa"/>
            <w:tcBorders>
              <w:top w:val="single" w:color="000000" w:sz="4" w:space="0"/>
              <w:left w:val="nil"/>
              <w:bottom w:val="single" w:color="000000" w:sz="4" w:space="0"/>
              <w:right w:val="single" w:color="000000" w:sz="4" w:space="0"/>
            </w:tcBorders>
            <w:noWrap w:val="0"/>
            <w:vAlign w:val="center"/>
          </w:tcPr>
          <w:p w14:paraId="3B7F81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1498</w:t>
            </w:r>
          </w:p>
        </w:tc>
        <w:tc>
          <w:tcPr>
            <w:tcW w:w="1035" w:type="dxa"/>
            <w:tcBorders>
              <w:top w:val="single" w:color="000000" w:sz="4" w:space="0"/>
              <w:left w:val="nil"/>
              <w:bottom w:val="single" w:color="000000" w:sz="4" w:space="0"/>
              <w:right w:val="single" w:color="000000" w:sz="4" w:space="0"/>
            </w:tcBorders>
            <w:noWrap w:val="0"/>
            <w:vAlign w:val="center"/>
          </w:tcPr>
          <w:p w14:paraId="0A9799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34510</w:t>
            </w:r>
          </w:p>
        </w:tc>
        <w:tc>
          <w:tcPr>
            <w:tcW w:w="1125" w:type="dxa"/>
            <w:tcBorders>
              <w:top w:val="single" w:color="000000" w:sz="4" w:space="0"/>
              <w:left w:val="nil"/>
              <w:bottom w:val="single" w:color="000000" w:sz="4" w:space="0"/>
              <w:right w:val="single" w:color="000000" w:sz="4" w:space="0"/>
            </w:tcBorders>
            <w:noWrap w:val="0"/>
            <w:vAlign w:val="center"/>
          </w:tcPr>
          <w:p w14:paraId="30C1A7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1984</w:t>
            </w:r>
          </w:p>
        </w:tc>
        <w:tc>
          <w:tcPr>
            <w:tcW w:w="1095" w:type="dxa"/>
            <w:tcBorders>
              <w:top w:val="single" w:color="000000" w:sz="4" w:space="0"/>
              <w:left w:val="nil"/>
              <w:bottom w:val="single" w:color="000000" w:sz="4" w:space="0"/>
              <w:right w:val="single" w:color="000000" w:sz="4" w:space="0"/>
            </w:tcBorders>
            <w:noWrap w:val="0"/>
            <w:vAlign w:val="center"/>
          </w:tcPr>
          <w:p w14:paraId="5F92D4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32100</w:t>
            </w:r>
          </w:p>
        </w:tc>
        <w:tc>
          <w:tcPr>
            <w:tcW w:w="1935" w:type="dxa"/>
            <w:tcBorders>
              <w:top w:val="single" w:color="000000" w:sz="4" w:space="0"/>
              <w:left w:val="nil"/>
              <w:bottom w:val="single" w:color="000000" w:sz="4" w:space="0"/>
              <w:right w:val="single" w:color="000000" w:sz="4" w:space="0"/>
            </w:tcBorders>
            <w:noWrap w:val="0"/>
            <w:vAlign w:val="center"/>
          </w:tcPr>
          <w:p w14:paraId="5A4468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1356</w:t>
            </w:r>
          </w:p>
        </w:tc>
        <w:tc>
          <w:tcPr>
            <w:tcW w:w="2035" w:type="dxa"/>
            <w:tcBorders>
              <w:top w:val="single" w:color="000000" w:sz="4" w:space="0"/>
              <w:left w:val="nil"/>
              <w:bottom w:val="single" w:color="000000" w:sz="4" w:space="0"/>
              <w:right w:val="single" w:color="000000" w:sz="4" w:space="0"/>
            </w:tcBorders>
            <w:noWrap w:val="0"/>
            <w:vAlign w:val="center"/>
          </w:tcPr>
          <w:p w14:paraId="187276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9277</w:t>
            </w:r>
          </w:p>
        </w:tc>
        <w:tc>
          <w:tcPr>
            <w:tcW w:w="3035" w:type="dxa"/>
            <w:tcBorders>
              <w:top w:val="single" w:color="000000" w:sz="4" w:space="0"/>
              <w:left w:val="nil"/>
              <w:bottom w:val="single" w:color="000000" w:sz="4" w:space="0"/>
              <w:right w:val="single" w:color="000000" w:sz="4" w:space="0"/>
            </w:tcBorders>
            <w:noWrap w:val="0"/>
            <w:vAlign w:val="center"/>
          </w:tcPr>
          <w:p w14:paraId="5CF661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水稻、花生、竹木、果树</w:t>
            </w:r>
          </w:p>
        </w:tc>
      </w:tr>
      <w:tr w14:paraId="0AD297D3">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61FC53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鱼仙</w:t>
            </w:r>
          </w:p>
        </w:tc>
        <w:tc>
          <w:tcPr>
            <w:tcW w:w="1080" w:type="dxa"/>
            <w:tcBorders>
              <w:top w:val="single" w:color="000000" w:sz="4" w:space="0"/>
              <w:left w:val="nil"/>
              <w:bottom w:val="single" w:color="000000" w:sz="4" w:space="0"/>
              <w:right w:val="single" w:color="000000" w:sz="4" w:space="0"/>
            </w:tcBorders>
            <w:noWrap w:val="0"/>
            <w:vAlign w:val="center"/>
          </w:tcPr>
          <w:p w14:paraId="7FFB64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960" w:type="dxa"/>
            <w:tcBorders>
              <w:top w:val="single" w:color="000000" w:sz="4" w:space="0"/>
              <w:left w:val="nil"/>
              <w:bottom w:val="single" w:color="000000" w:sz="4" w:space="0"/>
              <w:right w:val="single" w:color="000000" w:sz="4" w:space="0"/>
            </w:tcBorders>
            <w:noWrap w:val="0"/>
            <w:vAlign w:val="center"/>
          </w:tcPr>
          <w:p w14:paraId="336825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310</w:t>
            </w:r>
          </w:p>
        </w:tc>
        <w:tc>
          <w:tcPr>
            <w:tcW w:w="930" w:type="dxa"/>
            <w:tcBorders>
              <w:top w:val="single" w:color="000000" w:sz="4" w:space="0"/>
              <w:left w:val="nil"/>
              <w:bottom w:val="single" w:color="000000" w:sz="4" w:space="0"/>
              <w:right w:val="single" w:color="000000" w:sz="4" w:space="0"/>
            </w:tcBorders>
            <w:noWrap w:val="0"/>
            <w:vAlign w:val="center"/>
          </w:tcPr>
          <w:p w14:paraId="13C8F8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1251</w:t>
            </w:r>
          </w:p>
        </w:tc>
        <w:tc>
          <w:tcPr>
            <w:tcW w:w="1035" w:type="dxa"/>
            <w:tcBorders>
              <w:top w:val="single" w:color="000000" w:sz="4" w:space="0"/>
              <w:left w:val="nil"/>
              <w:bottom w:val="single" w:color="000000" w:sz="4" w:space="0"/>
              <w:right w:val="single" w:color="000000" w:sz="4" w:space="0"/>
            </w:tcBorders>
            <w:noWrap w:val="0"/>
            <w:vAlign w:val="center"/>
          </w:tcPr>
          <w:p w14:paraId="567B92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27573</w:t>
            </w:r>
          </w:p>
        </w:tc>
        <w:tc>
          <w:tcPr>
            <w:tcW w:w="1125" w:type="dxa"/>
            <w:tcBorders>
              <w:top w:val="single" w:color="000000" w:sz="4" w:space="0"/>
              <w:left w:val="nil"/>
              <w:bottom w:val="single" w:color="000000" w:sz="4" w:space="0"/>
              <w:right w:val="single" w:color="000000" w:sz="4" w:space="0"/>
            </w:tcBorders>
            <w:noWrap w:val="0"/>
            <w:vAlign w:val="center"/>
          </w:tcPr>
          <w:p w14:paraId="666D16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1100</w:t>
            </w:r>
          </w:p>
        </w:tc>
        <w:tc>
          <w:tcPr>
            <w:tcW w:w="1095" w:type="dxa"/>
            <w:tcBorders>
              <w:top w:val="single" w:color="000000" w:sz="4" w:space="0"/>
              <w:left w:val="nil"/>
              <w:bottom w:val="single" w:color="000000" w:sz="4" w:space="0"/>
              <w:right w:val="single" w:color="000000" w:sz="4" w:space="0"/>
            </w:tcBorders>
            <w:noWrap w:val="0"/>
            <w:vAlign w:val="center"/>
          </w:tcPr>
          <w:p w14:paraId="69198B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26200</w:t>
            </w:r>
          </w:p>
        </w:tc>
        <w:tc>
          <w:tcPr>
            <w:tcW w:w="1935" w:type="dxa"/>
            <w:tcBorders>
              <w:top w:val="single" w:color="000000" w:sz="4" w:space="0"/>
              <w:left w:val="nil"/>
              <w:bottom w:val="single" w:color="000000" w:sz="4" w:space="0"/>
              <w:right w:val="single" w:color="000000" w:sz="4" w:space="0"/>
            </w:tcBorders>
            <w:noWrap w:val="0"/>
            <w:vAlign w:val="center"/>
          </w:tcPr>
          <w:p w14:paraId="5AC3A4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1104</w:t>
            </w:r>
          </w:p>
        </w:tc>
        <w:tc>
          <w:tcPr>
            <w:tcW w:w="2035" w:type="dxa"/>
            <w:tcBorders>
              <w:top w:val="single" w:color="000000" w:sz="4" w:space="0"/>
              <w:left w:val="nil"/>
              <w:bottom w:val="single" w:color="000000" w:sz="4" w:space="0"/>
              <w:right w:val="single" w:color="000000" w:sz="4" w:space="0"/>
            </w:tcBorders>
            <w:noWrap w:val="0"/>
            <w:vAlign w:val="center"/>
          </w:tcPr>
          <w:p w14:paraId="553996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9269</w:t>
            </w:r>
          </w:p>
        </w:tc>
        <w:tc>
          <w:tcPr>
            <w:tcW w:w="3035" w:type="dxa"/>
            <w:tcBorders>
              <w:top w:val="single" w:color="000000" w:sz="4" w:space="0"/>
              <w:left w:val="nil"/>
              <w:bottom w:val="single" w:color="000000" w:sz="4" w:space="0"/>
              <w:right w:val="single" w:color="000000" w:sz="4" w:space="0"/>
            </w:tcBorders>
            <w:noWrap w:val="0"/>
            <w:vAlign w:val="center"/>
          </w:tcPr>
          <w:p w14:paraId="11E38B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水稻、花生、竹木、果树</w:t>
            </w:r>
          </w:p>
        </w:tc>
      </w:tr>
      <w:tr w14:paraId="3D1CF05A">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435409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大汉</w:t>
            </w:r>
          </w:p>
        </w:tc>
        <w:tc>
          <w:tcPr>
            <w:tcW w:w="1080" w:type="dxa"/>
            <w:tcBorders>
              <w:top w:val="single" w:color="000000" w:sz="4" w:space="0"/>
              <w:left w:val="nil"/>
              <w:bottom w:val="single" w:color="000000" w:sz="4" w:space="0"/>
              <w:right w:val="single" w:color="000000" w:sz="4" w:space="0"/>
            </w:tcBorders>
            <w:noWrap w:val="0"/>
            <w:vAlign w:val="center"/>
          </w:tcPr>
          <w:p w14:paraId="3B1C2B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c>
          <w:tcPr>
            <w:tcW w:w="960" w:type="dxa"/>
            <w:tcBorders>
              <w:top w:val="single" w:color="000000" w:sz="4" w:space="0"/>
              <w:left w:val="nil"/>
              <w:bottom w:val="single" w:color="000000" w:sz="4" w:space="0"/>
              <w:right w:val="single" w:color="000000" w:sz="4" w:space="0"/>
            </w:tcBorders>
            <w:noWrap w:val="0"/>
            <w:vAlign w:val="center"/>
          </w:tcPr>
          <w:p w14:paraId="4D6D0C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164</w:t>
            </w:r>
          </w:p>
        </w:tc>
        <w:tc>
          <w:tcPr>
            <w:tcW w:w="930" w:type="dxa"/>
            <w:tcBorders>
              <w:top w:val="single" w:color="000000" w:sz="4" w:space="0"/>
              <w:left w:val="nil"/>
              <w:bottom w:val="single" w:color="000000" w:sz="4" w:space="0"/>
              <w:right w:val="single" w:color="000000" w:sz="4" w:space="0"/>
            </w:tcBorders>
            <w:noWrap w:val="0"/>
            <w:vAlign w:val="center"/>
          </w:tcPr>
          <w:p w14:paraId="3D3860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738</w:t>
            </w:r>
          </w:p>
        </w:tc>
        <w:tc>
          <w:tcPr>
            <w:tcW w:w="1035" w:type="dxa"/>
            <w:tcBorders>
              <w:top w:val="single" w:color="000000" w:sz="4" w:space="0"/>
              <w:left w:val="nil"/>
              <w:bottom w:val="single" w:color="000000" w:sz="4" w:space="0"/>
              <w:right w:val="single" w:color="000000" w:sz="4" w:space="0"/>
            </w:tcBorders>
            <w:noWrap w:val="0"/>
            <w:vAlign w:val="center"/>
          </w:tcPr>
          <w:p w14:paraId="02A35E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25423</w:t>
            </w:r>
          </w:p>
        </w:tc>
        <w:tc>
          <w:tcPr>
            <w:tcW w:w="1125" w:type="dxa"/>
            <w:tcBorders>
              <w:top w:val="single" w:color="000000" w:sz="4" w:space="0"/>
              <w:left w:val="nil"/>
              <w:bottom w:val="single" w:color="000000" w:sz="4" w:space="0"/>
              <w:right w:val="single" w:color="000000" w:sz="4" w:space="0"/>
            </w:tcBorders>
            <w:noWrap w:val="0"/>
            <w:vAlign w:val="center"/>
          </w:tcPr>
          <w:p w14:paraId="6F7F60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1010</w:t>
            </w:r>
          </w:p>
        </w:tc>
        <w:tc>
          <w:tcPr>
            <w:tcW w:w="1095" w:type="dxa"/>
            <w:tcBorders>
              <w:top w:val="single" w:color="000000" w:sz="4" w:space="0"/>
              <w:left w:val="nil"/>
              <w:bottom w:val="single" w:color="000000" w:sz="4" w:space="0"/>
              <w:right w:val="single" w:color="000000" w:sz="4" w:space="0"/>
            </w:tcBorders>
            <w:noWrap w:val="0"/>
            <w:vAlign w:val="center"/>
          </w:tcPr>
          <w:p w14:paraId="79C40B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24300</w:t>
            </w:r>
          </w:p>
        </w:tc>
        <w:tc>
          <w:tcPr>
            <w:tcW w:w="1935" w:type="dxa"/>
            <w:tcBorders>
              <w:top w:val="single" w:color="000000" w:sz="4" w:space="0"/>
              <w:left w:val="nil"/>
              <w:bottom w:val="single" w:color="000000" w:sz="4" w:space="0"/>
              <w:right w:val="single" w:color="000000" w:sz="4" w:space="0"/>
            </w:tcBorders>
            <w:noWrap w:val="0"/>
            <w:vAlign w:val="center"/>
          </w:tcPr>
          <w:p w14:paraId="5B5613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820</w:t>
            </w:r>
          </w:p>
        </w:tc>
        <w:tc>
          <w:tcPr>
            <w:tcW w:w="2035" w:type="dxa"/>
            <w:tcBorders>
              <w:top w:val="single" w:color="000000" w:sz="4" w:space="0"/>
              <w:left w:val="nil"/>
              <w:bottom w:val="single" w:color="000000" w:sz="4" w:space="0"/>
              <w:right w:val="single" w:color="000000" w:sz="4" w:space="0"/>
            </w:tcBorders>
            <w:noWrap w:val="0"/>
            <w:vAlign w:val="center"/>
          </w:tcPr>
          <w:p w14:paraId="3AC53A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9259</w:t>
            </w:r>
          </w:p>
        </w:tc>
        <w:tc>
          <w:tcPr>
            <w:tcW w:w="3035" w:type="dxa"/>
            <w:tcBorders>
              <w:top w:val="single" w:color="000000" w:sz="4" w:space="0"/>
              <w:left w:val="nil"/>
              <w:bottom w:val="single" w:color="000000" w:sz="4" w:space="0"/>
              <w:right w:val="single" w:color="000000" w:sz="4" w:space="0"/>
            </w:tcBorders>
            <w:noWrap w:val="0"/>
            <w:vAlign w:val="center"/>
          </w:tcPr>
          <w:p w14:paraId="28A1C0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水稻、花生、竹木、果树</w:t>
            </w:r>
          </w:p>
        </w:tc>
      </w:tr>
      <w:tr w14:paraId="3E97CDB6">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1E7ED0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南甫</w:t>
            </w:r>
          </w:p>
        </w:tc>
        <w:tc>
          <w:tcPr>
            <w:tcW w:w="1080" w:type="dxa"/>
            <w:tcBorders>
              <w:top w:val="single" w:color="000000" w:sz="4" w:space="0"/>
              <w:left w:val="nil"/>
              <w:bottom w:val="single" w:color="000000" w:sz="4" w:space="0"/>
              <w:right w:val="single" w:color="000000" w:sz="4" w:space="0"/>
            </w:tcBorders>
            <w:noWrap w:val="0"/>
            <w:vAlign w:val="center"/>
          </w:tcPr>
          <w:p w14:paraId="58B322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960" w:type="dxa"/>
            <w:tcBorders>
              <w:top w:val="single" w:color="000000" w:sz="4" w:space="0"/>
              <w:left w:val="nil"/>
              <w:bottom w:val="single" w:color="000000" w:sz="4" w:space="0"/>
              <w:right w:val="single" w:color="000000" w:sz="4" w:space="0"/>
            </w:tcBorders>
            <w:noWrap w:val="0"/>
            <w:vAlign w:val="center"/>
          </w:tcPr>
          <w:p w14:paraId="4253D4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286</w:t>
            </w:r>
          </w:p>
        </w:tc>
        <w:tc>
          <w:tcPr>
            <w:tcW w:w="930" w:type="dxa"/>
            <w:tcBorders>
              <w:top w:val="single" w:color="000000" w:sz="4" w:space="0"/>
              <w:left w:val="nil"/>
              <w:bottom w:val="single" w:color="000000" w:sz="4" w:space="0"/>
              <w:right w:val="single" w:color="000000" w:sz="4" w:space="0"/>
            </w:tcBorders>
            <w:noWrap w:val="0"/>
            <w:vAlign w:val="center"/>
          </w:tcPr>
          <w:p w14:paraId="01CF62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1228</w:t>
            </w:r>
          </w:p>
        </w:tc>
        <w:tc>
          <w:tcPr>
            <w:tcW w:w="1035" w:type="dxa"/>
            <w:tcBorders>
              <w:top w:val="single" w:color="000000" w:sz="4" w:space="0"/>
              <w:left w:val="nil"/>
              <w:bottom w:val="single" w:color="000000" w:sz="4" w:space="0"/>
              <w:right w:val="single" w:color="000000" w:sz="4" w:space="0"/>
            </w:tcBorders>
            <w:noWrap w:val="0"/>
            <w:vAlign w:val="center"/>
          </w:tcPr>
          <w:p w14:paraId="31B435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6160</w:t>
            </w:r>
          </w:p>
        </w:tc>
        <w:tc>
          <w:tcPr>
            <w:tcW w:w="1125" w:type="dxa"/>
            <w:tcBorders>
              <w:top w:val="single" w:color="000000" w:sz="4" w:space="0"/>
              <w:left w:val="nil"/>
              <w:bottom w:val="single" w:color="000000" w:sz="4" w:space="0"/>
              <w:right w:val="single" w:color="000000" w:sz="4" w:space="0"/>
            </w:tcBorders>
            <w:noWrap w:val="0"/>
            <w:vAlign w:val="center"/>
          </w:tcPr>
          <w:p w14:paraId="1E1110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1460</w:t>
            </w:r>
          </w:p>
        </w:tc>
        <w:tc>
          <w:tcPr>
            <w:tcW w:w="1095" w:type="dxa"/>
            <w:tcBorders>
              <w:top w:val="single" w:color="000000" w:sz="4" w:space="0"/>
              <w:left w:val="nil"/>
              <w:bottom w:val="single" w:color="000000" w:sz="4" w:space="0"/>
              <w:right w:val="single" w:color="000000" w:sz="4" w:space="0"/>
            </w:tcBorders>
            <w:noWrap w:val="0"/>
            <w:vAlign w:val="center"/>
          </w:tcPr>
          <w:p w14:paraId="60B40C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4600</w:t>
            </w:r>
          </w:p>
        </w:tc>
        <w:tc>
          <w:tcPr>
            <w:tcW w:w="1935" w:type="dxa"/>
            <w:tcBorders>
              <w:top w:val="single" w:color="000000" w:sz="4" w:space="0"/>
              <w:left w:val="nil"/>
              <w:bottom w:val="single" w:color="000000" w:sz="4" w:space="0"/>
              <w:right w:val="single" w:color="000000" w:sz="4" w:space="0"/>
            </w:tcBorders>
            <w:noWrap w:val="0"/>
            <w:vAlign w:val="center"/>
          </w:tcPr>
          <w:p w14:paraId="0B9B97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994</w:t>
            </w:r>
          </w:p>
        </w:tc>
        <w:tc>
          <w:tcPr>
            <w:tcW w:w="2035" w:type="dxa"/>
            <w:tcBorders>
              <w:top w:val="single" w:color="000000" w:sz="4" w:space="0"/>
              <w:left w:val="nil"/>
              <w:bottom w:val="single" w:color="000000" w:sz="4" w:space="0"/>
              <w:right w:val="single" w:color="000000" w:sz="4" w:space="0"/>
            </w:tcBorders>
            <w:noWrap w:val="0"/>
            <w:vAlign w:val="center"/>
          </w:tcPr>
          <w:p w14:paraId="67B876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9254</w:t>
            </w:r>
          </w:p>
        </w:tc>
        <w:tc>
          <w:tcPr>
            <w:tcW w:w="3035" w:type="dxa"/>
            <w:tcBorders>
              <w:top w:val="single" w:color="000000" w:sz="4" w:space="0"/>
              <w:left w:val="nil"/>
              <w:bottom w:val="single" w:color="000000" w:sz="4" w:space="0"/>
              <w:right w:val="single" w:color="000000" w:sz="4" w:space="0"/>
            </w:tcBorders>
            <w:noWrap w:val="0"/>
            <w:vAlign w:val="center"/>
          </w:tcPr>
          <w:p w14:paraId="35AEDB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水稻、花生、竹木、果树</w:t>
            </w:r>
          </w:p>
        </w:tc>
      </w:tr>
      <w:tr w14:paraId="67843033">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2A30E3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武岭</w:t>
            </w:r>
          </w:p>
        </w:tc>
        <w:tc>
          <w:tcPr>
            <w:tcW w:w="1080" w:type="dxa"/>
            <w:tcBorders>
              <w:top w:val="single" w:color="000000" w:sz="4" w:space="0"/>
              <w:left w:val="nil"/>
              <w:bottom w:val="single" w:color="000000" w:sz="4" w:space="0"/>
              <w:right w:val="single" w:color="000000" w:sz="4" w:space="0"/>
            </w:tcBorders>
            <w:noWrap w:val="0"/>
            <w:vAlign w:val="center"/>
          </w:tcPr>
          <w:p w14:paraId="63F6F1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960" w:type="dxa"/>
            <w:tcBorders>
              <w:top w:val="single" w:color="000000" w:sz="4" w:space="0"/>
              <w:left w:val="nil"/>
              <w:bottom w:val="single" w:color="000000" w:sz="4" w:space="0"/>
              <w:right w:val="single" w:color="000000" w:sz="4" w:space="0"/>
            </w:tcBorders>
            <w:noWrap w:val="0"/>
            <w:vAlign w:val="center"/>
          </w:tcPr>
          <w:p w14:paraId="4F60F7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361</w:t>
            </w:r>
          </w:p>
        </w:tc>
        <w:tc>
          <w:tcPr>
            <w:tcW w:w="930" w:type="dxa"/>
            <w:tcBorders>
              <w:top w:val="single" w:color="000000" w:sz="4" w:space="0"/>
              <w:left w:val="nil"/>
              <w:bottom w:val="single" w:color="000000" w:sz="4" w:space="0"/>
              <w:right w:val="single" w:color="000000" w:sz="4" w:space="0"/>
            </w:tcBorders>
            <w:noWrap w:val="0"/>
            <w:vAlign w:val="center"/>
          </w:tcPr>
          <w:p w14:paraId="56FA21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1367</w:t>
            </w:r>
          </w:p>
        </w:tc>
        <w:tc>
          <w:tcPr>
            <w:tcW w:w="1035" w:type="dxa"/>
            <w:tcBorders>
              <w:top w:val="single" w:color="000000" w:sz="4" w:space="0"/>
              <w:left w:val="nil"/>
              <w:bottom w:val="single" w:color="000000" w:sz="4" w:space="0"/>
              <w:right w:val="single" w:color="000000" w:sz="4" w:space="0"/>
            </w:tcBorders>
            <w:noWrap w:val="0"/>
            <w:vAlign w:val="center"/>
          </w:tcPr>
          <w:p w14:paraId="00609F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27364</w:t>
            </w:r>
          </w:p>
        </w:tc>
        <w:tc>
          <w:tcPr>
            <w:tcW w:w="1125" w:type="dxa"/>
            <w:tcBorders>
              <w:top w:val="single" w:color="000000" w:sz="4" w:space="0"/>
              <w:left w:val="nil"/>
              <w:bottom w:val="single" w:color="000000" w:sz="4" w:space="0"/>
              <w:right w:val="single" w:color="000000" w:sz="4" w:space="0"/>
            </w:tcBorders>
            <w:noWrap w:val="0"/>
            <w:vAlign w:val="center"/>
          </w:tcPr>
          <w:p w14:paraId="7A9125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1589</w:t>
            </w:r>
          </w:p>
        </w:tc>
        <w:tc>
          <w:tcPr>
            <w:tcW w:w="1095" w:type="dxa"/>
            <w:tcBorders>
              <w:top w:val="single" w:color="000000" w:sz="4" w:space="0"/>
              <w:left w:val="nil"/>
              <w:bottom w:val="single" w:color="000000" w:sz="4" w:space="0"/>
              <w:right w:val="single" w:color="000000" w:sz="4" w:space="0"/>
            </w:tcBorders>
            <w:noWrap w:val="0"/>
            <w:vAlign w:val="center"/>
          </w:tcPr>
          <w:p w14:paraId="7A8273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25500</w:t>
            </w:r>
          </w:p>
        </w:tc>
        <w:tc>
          <w:tcPr>
            <w:tcW w:w="1935" w:type="dxa"/>
            <w:tcBorders>
              <w:top w:val="single" w:color="000000" w:sz="4" w:space="0"/>
              <w:left w:val="nil"/>
              <w:bottom w:val="single" w:color="000000" w:sz="4" w:space="0"/>
              <w:right w:val="single" w:color="000000" w:sz="4" w:space="0"/>
            </w:tcBorders>
            <w:noWrap w:val="0"/>
            <w:vAlign w:val="center"/>
          </w:tcPr>
          <w:p w14:paraId="3FEC55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968</w:t>
            </w:r>
          </w:p>
        </w:tc>
        <w:tc>
          <w:tcPr>
            <w:tcW w:w="2035" w:type="dxa"/>
            <w:tcBorders>
              <w:top w:val="single" w:color="000000" w:sz="4" w:space="0"/>
              <w:left w:val="nil"/>
              <w:bottom w:val="single" w:color="000000" w:sz="4" w:space="0"/>
              <w:right w:val="single" w:color="000000" w:sz="4" w:space="0"/>
            </w:tcBorders>
            <w:noWrap w:val="0"/>
            <w:vAlign w:val="center"/>
          </w:tcPr>
          <w:p w14:paraId="2A264E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9269</w:t>
            </w:r>
          </w:p>
        </w:tc>
        <w:tc>
          <w:tcPr>
            <w:tcW w:w="3035" w:type="dxa"/>
            <w:tcBorders>
              <w:top w:val="single" w:color="000000" w:sz="4" w:space="0"/>
              <w:left w:val="nil"/>
              <w:bottom w:val="single" w:color="000000" w:sz="4" w:space="0"/>
              <w:right w:val="single" w:color="000000" w:sz="4" w:space="0"/>
            </w:tcBorders>
            <w:noWrap w:val="0"/>
            <w:vAlign w:val="center"/>
          </w:tcPr>
          <w:p w14:paraId="78E5E8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水稻、花生、竹木、蓝莓</w:t>
            </w:r>
          </w:p>
        </w:tc>
      </w:tr>
      <w:tr w14:paraId="03F03494">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21CFE5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小竹</w:t>
            </w:r>
          </w:p>
        </w:tc>
        <w:tc>
          <w:tcPr>
            <w:tcW w:w="1080" w:type="dxa"/>
            <w:tcBorders>
              <w:top w:val="single" w:color="000000" w:sz="4" w:space="0"/>
              <w:left w:val="nil"/>
              <w:bottom w:val="single" w:color="000000" w:sz="4" w:space="0"/>
              <w:right w:val="single" w:color="000000" w:sz="4" w:space="0"/>
            </w:tcBorders>
            <w:noWrap w:val="0"/>
            <w:vAlign w:val="center"/>
          </w:tcPr>
          <w:p w14:paraId="65CA0C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960" w:type="dxa"/>
            <w:tcBorders>
              <w:top w:val="single" w:color="000000" w:sz="4" w:space="0"/>
              <w:left w:val="nil"/>
              <w:bottom w:val="single" w:color="000000" w:sz="4" w:space="0"/>
              <w:right w:val="single" w:color="000000" w:sz="4" w:space="0"/>
            </w:tcBorders>
            <w:noWrap w:val="0"/>
            <w:vAlign w:val="center"/>
          </w:tcPr>
          <w:p w14:paraId="0CA0BE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254</w:t>
            </w:r>
          </w:p>
        </w:tc>
        <w:tc>
          <w:tcPr>
            <w:tcW w:w="930" w:type="dxa"/>
            <w:tcBorders>
              <w:top w:val="single" w:color="000000" w:sz="4" w:space="0"/>
              <w:left w:val="nil"/>
              <w:bottom w:val="single" w:color="000000" w:sz="4" w:space="0"/>
              <w:right w:val="single" w:color="000000" w:sz="4" w:space="0"/>
            </w:tcBorders>
            <w:noWrap w:val="0"/>
            <w:vAlign w:val="center"/>
          </w:tcPr>
          <w:p w14:paraId="24387D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1128</w:t>
            </w:r>
          </w:p>
        </w:tc>
        <w:tc>
          <w:tcPr>
            <w:tcW w:w="1035" w:type="dxa"/>
            <w:tcBorders>
              <w:top w:val="single" w:color="000000" w:sz="4" w:space="0"/>
              <w:left w:val="nil"/>
              <w:bottom w:val="single" w:color="000000" w:sz="4" w:space="0"/>
              <w:right w:val="single" w:color="000000" w:sz="4" w:space="0"/>
            </w:tcBorders>
            <w:noWrap w:val="0"/>
            <w:vAlign w:val="center"/>
          </w:tcPr>
          <w:p w14:paraId="53184C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25702</w:t>
            </w:r>
          </w:p>
        </w:tc>
        <w:tc>
          <w:tcPr>
            <w:tcW w:w="1125" w:type="dxa"/>
            <w:tcBorders>
              <w:top w:val="single" w:color="000000" w:sz="4" w:space="0"/>
              <w:left w:val="nil"/>
              <w:bottom w:val="single" w:color="000000" w:sz="4" w:space="0"/>
              <w:right w:val="single" w:color="000000" w:sz="4" w:space="0"/>
            </w:tcBorders>
            <w:noWrap w:val="0"/>
            <w:vAlign w:val="center"/>
          </w:tcPr>
          <w:p w14:paraId="18293A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1412</w:t>
            </w:r>
          </w:p>
        </w:tc>
        <w:tc>
          <w:tcPr>
            <w:tcW w:w="1095" w:type="dxa"/>
            <w:tcBorders>
              <w:top w:val="single" w:color="000000" w:sz="4" w:space="0"/>
              <w:left w:val="nil"/>
              <w:bottom w:val="single" w:color="000000" w:sz="4" w:space="0"/>
              <w:right w:val="single" w:color="000000" w:sz="4" w:space="0"/>
            </w:tcBorders>
            <w:noWrap w:val="0"/>
            <w:vAlign w:val="center"/>
          </w:tcPr>
          <w:p w14:paraId="3FB589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24200</w:t>
            </w:r>
          </w:p>
        </w:tc>
        <w:tc>
          <w:tcPr>
            <w:tcW w:w="1935" w:type="dxa"/>
            <w:tcBorders>
              <w:top w:val="single" w:color="000000" w:sz="4" w:space="0"/>
              <w:left w:val="nil"/>
              <w:bottom w:val="single" w:color="000000" w:sz="4" w:space="0"/>
              <w:right w:val="single" w:color="000000" w:sz="4" w:space="0"/>
            </w:tcBorders>
            <w:noWrap w:val="0"/>
            <w:vAlign w:val="center"/>
          </w:tcPr>
          <w:p w14:paraId="061896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907</w:t>
            </w:r>
          </w:p>
        </w:tc>
        <w:tc>
          <w:tcPr>
            <w:tcW w:w="2035" w:type="dxa"/>
            <w:tcBorders>
              <w:top w:val="single" w:color="000000" w:sz="4" w:space="0"/>
              <w:left w:val="nil"/>
              <w:bottom w:val="single" w:color="000000" w:sz="4" w:space="0"/>
              <w:right w:val="single" w:color="000000" w:sz="4" w:space="0"/>
            </w:tcBorders>
            <w:noWrap w:val="0"/>
            <w:vAlign w:val="center"/>
          </w:tcPr>
          <w:p w14:paraId="6AAD8F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9278</w:t>
            </w:r>
          </w:p>
        </w:tc>
        <w:tc>
          <w:tcPr>
            <w:tcW w:w="3035" w:type="dxa"/>
            <w:tcBorders>
              <w:top w:val="single" w:color="000000" w:sz="4" w:space="0"/>
              <w:left w:val="nil"/>
              <w:bottom w:val="single" w:color="000000" w:sz="4" w:space="0"/>
              <w:right w:val="single" w:color="000000" w:sz="4" w:space="0"/>
            </w:tcBorders>
            <w:noWrap w:val="0"/>
            <w:vAlign w:val="center"/>
          </w:tcPr>
          <w:p w14:paraId="3EF81F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水稻、黄烟、竹木、果树</w:t>
            </w:r>
          </w:p>
        </w:tc>
      </w:tr>
      <w:tr w14:paraId="28F7B35A">
        <w:tblPrEx>
          <w:tblCellMar>
            <w:top w:w="0" w:type="dxa"/>
            <w:left w:w="108" w:type="dxa"/>
            <w:bottom w:w="0" w:type="dxa"/>
            <w:right w:w="108" w:type="dxa"/>
          </w:tblCellMar>
        </w:tblPrEx>
        <w:trPr>
          <w:trHeight w:val="624" w:hRule="atLeast"/>
          <w:jc w:val="center"/>
        </w:trPr>
        <w:tc>
          <w:tcPr>
            <w:tcW w:w="1111" w:type="dxa"/>
            <w:tcBorders>
              <w:top w:val="single" w:color="000000" w:sz="4" w:space="0"/>
              <w:left w:val="single" w:color="000000" w:sz="4" w:space="0"/>
              <w:bottom w:val="single" w:color="000000" w:sz="4" w:space="0"/>
              <w:right w:val="single" w:color="000000" w:sz="4" w:space="0"/>
            </w:tcBorders>
            <w:noWrap w:val="0"/>
            <w:vAlign w:val="center"/>
          </w:tcPr>
          <w:p w14:paraId="6DB8FA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居委会</w:t>
            </w:r>
          </w:p>
        </w:tc>
        <w:tc>
          <w:tcPr>
            <w:tcW w:w="1080" w:type="dxa"/>
            <w:tcBorders>
              <w:top w:val="single" w:color="000000" w:sz="4" w:space="0"/>
              <w:left w:val="nil"/>
              <w:bottom w:val="single" w:color="000000" w:sz="4" w:space="0"/>
              <w:right w:val="single" w:color="000000" w:sz="4" w:space="0"/>
            </w:tcBorders>
            <w:noWrap w:val="0"/>
            <w:vAlign w:val="center"/>
          </w:tcPr>
          <w:p w14:paraId="4D981E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960" w:type="dxa"/>
            <w:tcBorders>
              <w:top w:val="single" w:color="000000" w:sz="4" w:space="0"/>
              <w:left w:val="nil"/>
              <w:bottom w:val="single" w:color="000000" w:sz="4" w:space="0"/>
              <w:right w:val="single" w:color="000000" w:sz="4" w:space="0"/>
            </w:tcBorders>
            <w:noWrap w:val="0"/>
            <w:vAlign w:val="center"/>
          </w:tcPr>
          <w:p w14:paraId="2CB2FC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226</w:t>
            </w:r>
          </w:p>
        </w:tc>
        <w:tc>
          <w:tcPr>
            <w:tcW w:w="930" w:type="dxa"/>
            <w:tcBorders>
              <w:top w:val="single" w:color="000000" w:sz="4" w:space="0"/>
              <w:left w:val="nil"/>
              <w:bottom w:val="single" w:color="000000" w:sz="4" w:space="0"/>
              <w:right w:val="single" w:color="000000" w:sz="4" w:space="0"/>
            </w:tcBorders>
            <w:noWrap w:val="0"/>
            <w:vAlign w:val="center"/>
          </w:tcPr>
          <w:p w14:paraId="333BFE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798</w:t>
            </w:r>
          </w:p>
        </w:tc>
        <w:tc>
          <w:tcPr>
            <w:tcW w:w="1035" w:type="dxa"/>
            <w:tcBorders>
              <w:top w:val="single" w:color="000000" w:sz="4" w:space="0"/>
              <w:left w:val="nil"/>
              <w:bottom w:val="single" w:color="000000" w:sz="4" w:space="0"/>
              <w:right w:val="single" w:color="000000" w:sz="4" w:space="0"/>
            </w:tcBorders>
            <w:noWrap w:val="0"/>
            <w:vAlign w:val="center"/>
          </w:tcPr>
          <w:p w14:paraId="51A58C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25" w:type="dxa"/>
            <w:tcBorders>
              <w:top w:val="single" w:color="000000" w:sz="4" w:space="0"/>
              <w:left w:val="nil"/>
              <w:bottom w:val="single" w:color="000000" w:sz="4" w:space="0"/>
              <w:right w:val="single" w:color="000000" w:sz="4" w:space="0"/>
            </w:tcBorders>
            <w:noWrap w:val="0"/>
            <w:vAlign w:val="center"/>
          </w:tcPr>
          <w:p w14:paraId="401610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095" w:type="dxa"/>
            <w:tcBorders>
              <w:top w:val="single" w:color="000000" w:sz="4" w:space="0"/>
              <w:left w:val="nil"/>
              <w:bottom w:val="single" w:color="000000" w:sz="4" w:space="0"/>
              <w:right w:val="single" w:color="000000" w:sz="4" w:space="0"/>
            </w:tcBorders>
            <w:noWrap w:val="0"/>
            <w:vAlign w:val="center"/>
          </w:tcPr>
          <w:p w14:paraId="221304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935" w:type="dxa"/>
            <w:tcBorders>
              <w:top w:val="single" w:color="000000" w:sz="4" w:space="0"/>
              <w:left w:val="nil"/>
              <w:bottom w:val="single" w:color="000000" w:sz="4" w:space="0"/>
              <w:right w:val="single" w:color="000000" w:sz="4" w:space="0"/>
            </w:tcBorders>
            <w:noWrap w:val="0"/>
            <w:vAlign w:val="center"/>
          </w:tcPr>
          <w:p w14:paraId="312919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2035" w:type="dxa"/>
            <w:tcBorders>
              <w:top w:val="single" w:color="000000" w:sz="4" w:space="0"/>
              <w:left w:val="nil"/>
              <w:bottom w:val="single" w:color="000000" w:sz="4" w:space="0"/>
              <w:right w:val="single" w:color="000000" w:sz="4" w:space="0"/>
            </w:tcBorders>
            <w:noWrap w:val="0"/>
            <w:vAlign w:val="center"/>
          </w:tcPr>
          <w:p w14:paraId="62EFC3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3035" w:type="dxa"/>
            <w:tcBorders>
              <w:top w:val="single" w:color="000000" w:sz="4" w:space="0"/>
              <w:left w:val="nil"/>
              <w:bottom w:val="single" w:color="000000" w:sz="4" w:space="0"/>
              <w:right w:val="single" w:color="000000" w:sz="4" w:space="0"/>
            </w:tcBorders>
            <w:noWrap w:val="0"/>
            <w:vAlign w:val="center"/>
          </w:tcPr>
          <w:p w14:paraId="155DF9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bl>
    <w:p w14:paraId="20587587">
      <w:pPr>
        <w:jc w:val="right"/>
        <w:rPr>
          <w:rFonts w:hint="eastAsia" w:hAnsi="宋体" w:eastAsia="宋体" w:cs="宋体"/>
          <w:highlight w:val="none"/>
          <w:lang w:eastAsia="zh-CN"/>
        </w:rPr>
      </w:pPr>
      <w:r>
        <w:rPr>
          <w:rFonts w:hint="eastAsia" w:hAnsi="宋体" w:cs="宋体"/>
          <w:highlight w:val="none"/>
        </w:rPr>
        <w:t>（李俊）</w:t>
      </w:r>
    </w:p>
    <w:p w14:paraId="74180D4C">
      <w:pPr>
        <w:rPr>
          <w:rFonts w:hint="eastAsia" w:hAnsi="宋体" w:eastAsia="宋体" w:cs="宋体"/>
          <w:highlight w:val="none"/>
          <w:lang w:eastAsia="zh-CN"/>
        </w:rPr>
      </w:pPr>
      <w:r>
        <w:rPr>
          <w:rFonts w:hint="eastAsia" w:hAnsi="宋体" w:cs="宋体"/>
          <w:highlight w:val="none"/>
        </w:rPr>
        <w:t>附：2015年江头镇领导班子成员名单</w:t>
      </w:r>
    </w:p>
    <w:p w14:paraId="1A1BBBB8">
      <w:pPr>
        <w:rPr>
          <w:rFonts w:hint="eastAsia" w:hAnsi="宋体" w:eastAsia="宋体" w:cs="宋体"/>
          <w:highlight w:val="none"/>
          <w:lang w:eastAsia="zh-CN"/>
        </w:rPr>
      </w:pPr>
      <w:r>
        <w:rPr>
          <w:rFonts w:hint="eastAsia" w:hAnsi="宋体" w:cs="宋体"/>
          <w:highlight w:val="none"/>
        </w:rPr>
        <w:t>党委书记、人大主席：陈华林（1月任）</w:t>
      </w:r>
    </w:p>
    <w:p w14:paraId="159D7064">
      <w:pPr>
        <w:rPr>
          <w:rFonts w:hint="eastAsia" w:hAnsi="宋体" w:eastAsia="宋体" w:cs="宋体"/>
          <w:highlight w:val="none"/>
          <w:lang w:eastAsia="zh-CN"/>
        </w:rPr>
      </w:pPr>
      <w:r>
        <w:rPr>
          <w:rFonts w:hint="eastAsia" w:hAnsi="宋体" w:cs="宋体"/>
          <w:highlight w:val="none"/>
        </w:rPr>
        <w:t>党委副书记、镇长：钟爱莲（1月任）</w:t>
      </w:r>
    </w:p>
    <w:p w14:paraId="1414E08E">
      <w:pPr>
        <w:rPr>
          <w:rFonts w:hint="eastAsia" w:hAnsi="宋体" w:eastAsia="宋体" w:cs="宋体"/>
          <w:highlight w:val="none"/>
          <w:lang w:eastAsia="zh-CN"/>
        </w:rPr>
      </w:pPr>
      <w:r>
        <w:rPr>
          <w:rFonts w:hint="eastAsia" w:hAnsi="宋体" w:cs="宋体"/>
          <w:highlight w:val="none"/>
        </w:rPr>
        <w:t>党委副书记：陶景晖（4月任）</w:t>
      </w:r>
    </w:p>
    <w:p w14:paraId="1756ED66">
      <w:pPr>
        <w:rPr>
          <w:rFonts w:hint="eastAsia" w:hAnsi="宋体" w:eastAsia="宋体" w:cs="宋体"/>
          <w:highlight w:val="none"/>
          <w:lang w:eastAsia="zh-CN"/>
        </w:rPr>
      </w:pPr>
      <w:r>
        <w:rPr>
          <w:rFonts w:hint="eastAsia" w:hAnsi="宋体" w:cs="宋体"/>
          <w:highlight w:val="none"/>
        </w:rPr>
        <w:t>党委委员、纪委书记：王丽平</w:t>
      </w:r>
    </w:p>
    <w:p w14:paraId="63A5C410">
      <w:pPr>
        <w:rPr>
          <w:rFonts w:hint="eastAsia" w:hAnsi="宋体" w:eastAsia="宋体" w:cs="宋体"/>
          <w:highlight w:val="none"/>
          <w:lang w:eastAsia="zh-CN"/>
        </w:rPr>
      </w:pPr>
      <w:r>
        <w:rPr>
          <w:rFonts w:hint="eastAsia" w:hAnsi="宋体" w:cs="宋体"/>
          <w:highlight w:val="none"/>
        </w:rPr>
        <w:t>党委组织委员：钟兴华</w:t>
      </w:r>
    </w:p>
    <w:p w14:paraId="27652D8D">
      <w:pPr>
        <w:rPr>
          <w:rFonts w:hint="eastAsia" w:hAnsi="宋体" w:eastAsia="宋体" w:cs="宋体"/>
          <w:highlight w:val="none"/>
          <w:lang w:eastAsia="zh-CN"/>
        </w:rPr>
      </w:pPr>
      <w:r>
        <w:rPr>
          <w:rFonts w:hint="eastAsia" w:hAnsi="宋体" w:cs="宋体"/>
          <w:highlight w:val="none"/>
        </w:rPr>
        <w:t>人大副主席：蔡盛芳</w:t>
      </w:r>
    </w:p>
    <w:p w14:paraId="044F5ECA">
      <w:pPr>
        <w:rPr>
          <w:rFonts w:hint="eastAsia" w:hAnsi="宋体" w:eastAsia="宋体" w:cs="宋体"/>
          <w:highlight w:val="none"/>
          <w:lang w:eastAsia="zh-CN"/>
        </w:rPr>
      </w:pPr>
      <w:r>
        <w:rPr>
          <w:rFonts w:hint="eastAsia" w:hAnsi="宋体" w:cs="宋体"/>
          <w:highlight w:val="none"/>
        </w:rPr>
        <w:t>党委委员、武装部长：谭章洪</w:t>
      </w:r>
    </w:p>
    <w:p w14:paraId="4FDFCAC8">
      <w:pPr>
        <w:rPr>
          <w:rFonts w:hint="eastAsia" w:hAnsi="宋体" w:eastAsia="宋体" w:cs="宋体"/>
          <w:highlight w:val="none"/>
          <w:lang w:eastAsia="zh-CN"/>
        </w:rPr>
      </w:pPr>
      <w:r>
        <w:rPr>
          <w:rFonts w:hint="eastAsia" w:hAnsi="宋体" w:cs="宋体"/>
          <w:highlight w:val="none"/>
        </w:rPr>
        <w:t>党委委员、综治办专职副主任：王竹生</w:t>
      </w:r>
    </w:p>
    <w:p w14:paraId="71191BB9">
      <w:pPr>
        <w:rPr>
          <w:rFonts w:hint="eastAsia" w:hAnsi="宋体" w:eastAsia="宋体" w:cs="宋体"/>
          <w:highlight w:val="none"/>
          <w:lang w:eastAsia="zh-CN"/>
        </w:rPr>
      </w:pPr>
      <w:r>
        <w:rPr>
          <w:rFonts w:hint="eastAsia" w:hAnsi="宋体" w:cs="宋体"/>
          <w:highlight w:val="none"/>
        </w:rPr>
        <w:t>副镇长：刘仙华陶景晖（任至4月）</w:t>
      </w:r>
    </w:p>
    <w:p w14:paraId="3779BF43">
      <w:pPr>
        <w:pStyle w:val="3"/>
        <w:bidi w:val="0"/>
        <w:rPr>
          <w:rFonts w:hint="eastAsia" w:eastAsia="宋体"/>
          <w:highlight w:val="none"/>
          <w:lang w:eastAsia="zh-CN"/>
        </w:rPr>
      </w:pPr>
      <w:r>
        <w:rPr>
          <w:rFonts w:hint="eastAsia"/>
          <w:highlight w:val="none"/>
        </w:rPr>
        <w:t>珠玑镇</w:t>
      </w:r>
    </w:p>
    <w:p w14:paraId="66C9B866">
      <w:pPr>
        <w:pStyle w:val="4"/>
        <w:bidi w:val="0"/>
        <w:rPr>
          <w:rFonts w:hint="eastAsia"/>
          <w:highlight w:val="none"/>
        </w:rPr>
      </w:pPr>
      <w:r>
        <w:rPr>
          <w:rFonts w:hint="eastAsia"/>
          <w:highlight w:val="none"/>
        </w:rPr>
        <w:t>【概况】</w:t>
      </w:r>
    </w:p>
    <w:p w14:paraId="6C76D821">
      <w:pPr>
        <w:rPr>
          <w:rFonts w:hint="eastAsia" w:hAnsi="宋体" w:cs="宋体"/>
          <w:highlight w:val="none"/>
        </w:rPr>
      </w:pPr>
      <w:r>
        <w:rPr>
          <w:rFonts w:hint="eastAsia" w:hAnsi="宋体" w:cs="宋体"/>
          <w:highlight w:val="none"/>
        </w:rPr>
        <w:t>珠玑镇位于南雄市北部，距南雄市城区9公里，东接邓坊镇、湖口镇，南邻雄州镇，西连全安镇、帽子峰镇，北与望江西省大余县交界，闻名遐迩的珠玑古巷、梅关古道均在珠玑镇。国道G323线从南至北穿过，韶赣高速公路在珠玑设置出口。全镇辖区面积222.5平方公里，山林面积14003.3公顷，耕地面积24705公顷，辖22个村委会、1个居委会，256个村小组，14239户，总人口46932人。2015年，全镇实现生产总值7.94亿元，政府财政总收入2667万元，农民人均纯收入11370元。</w:t>
      </w:r>
    </w:p>
    <w:p w14:paraId="267EE1E9">
      <w:pPr>
        <w:pStyle w:val="4"/>
        <w:bidi w:val="0"/>
        <w:rPr>
          <w:rFonts w:hint="eastAsia"/>
          <w:highlight w:val="none"/>
        </w:rPr>
      </w:pPr>
      <w:r>
        <w:rPr>
          <w:rFonts w:hint="eastAsia"/>
          <w:highlight w:val="none"/>
        </w:rPr>
        <w:t>【农村农业】</w:t>
      </w:r>
    </w:p>
    <w:p w14:paraId="1A15CB70">
      <w:pPr>
        <w:rPr>
          <w:rFonts w:hint="eastAsia" w:hAnsi="宋体" w:cs="宋体"/>
          <w:highlight w:val="none"/>
        </w:rPr>
      </w:pPr>
      <w:r>
        <w:rPr>
          <w:rFonts w:hint="eastAsia" w:hAnsi="宋体" w:cs="宋体"/>
          <w:highlight w:val="none"/>
        </w:rPr>
        <w:t>2015年种植黄烟面积6100亩，交售黄烟890吨，完成99.6%烟叶收购任务；落实惠农支农资金，落实良种粮补贴面积37153.53亩、花生补贴10500亩，发放各类补贴252万元。加强农业设施建设，完成对南山河20.2公里“两清”工作，完成11个村13251.79亩高标准基本农田建设；2015年发展和培育专业合作社5个；完成土地确权试点工作，完成里仁村、古田村土地确权面积5090.2亩。</w:t>
      </w:r>
    </w:p>
    <w:p w14:paraId="5422DAB6">
      <w:pPr>
        <w:pStyle w:val="4"/>
        <w:bidi w:val="0"/>
        <w:rPr>
          <w:rFonts w:hint="eastAsia"/>
          <w:highlight w:val="none"/>
        </w:rPr>
      </w:pPr>
      <w:r>
        <w:rPr>
          <w:rFonts w:hint="eastAsia"/>
          <w:highlight w:val="none"/>
        </w:rPr>
        <w:t>【重点项目】</w:t>
      </w:r>
    </w:p>
    <w:p w14:paraId="5869DE14">
      <w:pPr>
        <w:rPr>
          <w:rFonts w:hint="eastAsia" w:hAnsi="宋体" w:cs="宋体"/>
          <w:highlight w:val="none"/>
        </w:rPr>
      </w:pPr>
      <w:r>
        <w:rPr>
          <w:rFonts w:hint="eastAsia" w:hAnsi="宋体" w:cs="宋体"/>
          <w:highlight w:val="none"/>
        </w:rPr>
        <w:t>全国建制镇示范试点项目成效初现，项目总投资约6000万元，设施10个项目。其中投资105万元珠玑1号供水管网配套工程即将完工，新城区基础管网得到拓展；投资490万元主街道立面正式启动；投资496万元古巷大道柏油路面铺设工程全面完成，镇区主街道更宽敞、更顺畅、更规范、更有序；投资280万元聪辈村美丽乡村工程正在实施。</w:t>
      </w:r>
    </w:p>
    <w:p w14:paraId="41C999DD">
      <w:pPr>
        <w:pStyle w:val="4"/>
        <w:bidi w:val="0"/>
        <w:rPr>
          <w:rFonts w:hint="eastAsia"/>
          <w:highlight w:val="none"/>
        </w:rPr>
      </w:pPr>
      <w:r>
        <w:rPr>
          <w:rFonts w:hint="eastAsia"/>
          <w:highlight w:val="none"/>
        </w:rPr>
        <w:t>【环境卫生】</w:t>
      </w:r>
    </w:p>
    <w:p w14:paraId="0A972DE6">
      <w:pPr>
        <w:rPr>
          <w:rFonts w:hint="eastAsia" w:hAnsi="宋体" w:cs="宋体"/>
          <w:highlight w:val="none"/>
        </w:rPr>
      </w:pPr>
      <w:r>
        <w:rPr>
          <w:rFonts w:hint="eastAsia" w:hAnsi="宋体" w:cs="宋体"/>
          <w:highlight w:val="none"/>
        </w:rPr>
        <w:t>广泛宣传发动群众，投入6万元专门印制带有宣传环境口号的环保袋4.6万只，新建垃圾池26个，新购置桶式垃圾桶100只和环保车6辆，聘请环卫工人12人，收取镇、村环境卫生费8万元。2015年环境卫生整治4次，3200人次对街区卫生保洁，现基本建成城乡垃圾收运系统，保证垃圾日产日清。完成BOT模式处理污水处理厂建设并正式运营，并投入40多万元接通至处理厂污水管线。</w:t>
      </w:r>
    </w:p>
    <w:p w14:paraId="52576245">
      <w:pPr>
        <w:pStyle w:val="4"/>
        <w:bidi w:val="0"/>
        <w:rPr>
          <w:rFonts w:hint="eastAsia"/>
          <w:highlight w:val="none"/>
        </w:rPr>
      </w:pPr>
      <w:r>
        <w:rPr>
          <w:rFonts w:hint="eastAsia"/>
          <w:highlight w:val="none"/>
        </w:rPr>
        <w:t>【新农村建设】</w:t>
      </w:r>
    </w:p>
    <w:p w14:paraId="5DD1B6FE">
      <w:pPr>
        <w:rPr>
          <w:rFonts w:hint="eastAsia" w:hAnsi="宋体" w:cs="宋体"/>
          <w:highlight w:val="none"/>
        </w:rPr>
      </w:pPr>
      <w:r>
        <w:rPr>
          <w:rFonts w:hint="eastAsia" w:hAnsi="宋体" w:cs="宋体"/>
          <w:highlight w:val="none"/>
        </w:rPr>
        <w:t>2015年“省级新农村建设示范片”项目落户珠玑，项目资金高达1亿元，将重点打造聪辈、里仁、石塘、里东、灵潭5个主体村新农村建设。珠玑商贸城（珠玑1号一期）主体建筑、配套设施基本完成，商品住宅房热销。农村公路进一步完善，完成大湾村、月光坪等农村公路项目建设5.25公里。争取资金60万元实施祇芫、灵潭、泰源等村安全饮水工程，解决3200人饮水困难问题。投入21万元改建成新梅岭市场，梅岭新农村100多户安置房建设即将完工。</w:t>
      </w:r>
    </w:p>
    <w:p w14:paraId="40A3066A">
      <w:pPr>
        <w:pStyle w:val="4"/>
        <w:bidi w:val="0"/>
        <w:rPr>
          <w:rFonts w:hint="eastAsia"/>
          <w:highlight w:val="none"/>
        </w:rPr>
      </w:pPr>
      <w:r>
        <w:rPr>
          <w:rFonts w:hint="eastAsia"/>
          <w:highlight w:val="none"/>
        </w:rPr>
        <w:t>【旅游发展】</w:t>
      </w:r>
    </w:p>
    <w:p w14:paraId="75A4B715">
      <w:pPr>
        <w:rPr>
          <w:rFonts w:hint="eastAsia" w:hAnsi="宋体" w:cs="宋体"/>
          <w:highlight w:val="none"/>
        </w:rPr>
      </w:pPr>
      <w:r>
        <w:rPr>
          <w:rFonts w:hint="eastAsia" w:hAnsi="宋体" w:cs="宋体"/>
          <w:highlight w:val="none"/>
        </w:rPr>
        <w:t>珠玑古巷客服中心竣工启用。成立珠玑综合执法大队充实景区管理，整治乱挂姓氏牌、乱摆乱卖、乱收停车费等行为，规范古巷大道秩序。推进三佳村生态农业园蒙古包特色住宿区建设。进一步完善旅游服务功能，盘活原梅岭镇政府固定资产，引进醉美农家乐，乡情假日酒店入驻珠玑新城区。加快智慧景区建设，完成珠玑古巷北片区土地平整工作，为建设新姓氏宗祠和“百姓堂”奠定基础。2015年全镇接待游客达52.6万人次，同比增长23%。</w:t>
      </w:r>
    </w:p>
    <w:p w14:paraId="1C0612AD">
      <w:pPr>
        <w:pStyle w:val="4"/>
        <w:bidi w:val="0"/>
        <w:rPr>
          <w:rFonts w:hint="eastAsia"/>
          <w:highlight w:val="none"/>
        </w:rPr>
      </w:pPr>
      <w:r>
        <w:rPr>
          <w:rFonts w:hint="eastAsia"/>
          <w:highlight w:val="none"/>
        </w:rPr>
        <w:t>【民生工程】</w:t>
      </w:r>
    </w:p>
    <w:p w14:paraId="215C05FA">
      <w:pPr>
        <w:rPr>
          <w:rFonts w:hint="eastAsia" w:hAnsi="宋体" w:cs="宋体"/>
          <w:highlight w:val="none"/>
        </w:rPr>
      </w:pPr>
      <w:r>
        <w:rPr>
          <w:rFonts w:hint="eastAsia" w:hAnsi="宋体" w:cs="宋体"/>
          <w:highlight w:val="none"/>
        </w:rPr>
        <w:t>镇村亮点工作高效完成，完善珠玑文化广场基础设施建设，完善沙水湖公园亮化工程，安装塘东段湖珠路路灯，协办林氏姓氏文化旅游节，打造罗田村标兵党组织，发展金友企业有机农业，完成三佳村生态园升级改造，创办裕丰农业示范基地，建成老人活动中心，种好乌泥水库生态示范林，完成创建里仁文明法治新村。充分用活“一事一议”和“十个一”路灯奖补政策，大力实施路灯安装、新建文体广场、硬化道路等项目。2015年全镇新安装路灯1535盏，实现镇区亮化全覆盖。</w:t>
      </w:r>
    </w:p>
    <w:p w14:paraId="66B11526">
      <w:pPr>
        <w:pStyle w:val="4"/>
        <w:bidi w:val="0"/>
        <w:rPr>
          <w:rFonts w:hint="eastAsia"/>
          <w:highlight w:val="none"/>
        </w:rPr>
      </w:pPr>
      <w:r>
        <w:rPr>
          <w:rFonts w:hint="eastAsia"/>
          <w:highlight w:val="none"/>
        </w:rPr>
        <w:t>【民生保障】</w:t>
      </w:r>
    </w:p>
    <w:p w14:paraId="27C0ADA1">
      <w:pPr>
        <w:rPr>
          <w:rFonts w:hint="eastAsia" w:hAnsi="宋体" w:cs="宋体"/>
          <w:highlight w:val="none"/>
        </w:rPr>
      </w:pPr>
      <w:r>
        <w:rPr>
          <w:rFonts w:hint="eastAsia" w:hAnsi="宋体" w:cs="宋体"/>
          <w:highlight w:val="none"/>
        </w:rPr>
        <w:t>扶贫“双到”成果丰硕，2015年落实帮扶资金1832万元，围绕改善贫困村生产、生活条件，开展完善基础设施建设、危旧房改造、医疗救助保险等一大批工作，实现有劳动力贫困户100%脱贫，无劳动力贫困户生活有保障；社会保障水平不断提高，为129名五保老人、408户750人低保对象发放五保金或最低生活保障金，城乡低保实现应保尽保、动态管理。发放困难群众救助金326.14万元，医疗救助58宗。全镇10206人参加城乡居民养老保险，城乡医保参保36864人，参保率99.3%。</w:t>
      </w:r>
    </w:p>
    <w:p w14:paraId="0714498B">
      <w:pPr>
        <w:pStyle w:val="4"/>
        <w:bidi w:val="0"/>
        <w:rPr>
          <w:rFonts w:hint="eastAsia"/>
          <w:highlight w:val="none"/>
        </w:rPr>
      </w:pPr>
      <w:r>
        <w:rPr>
          <w:rFonts w:hint="eastAsia"/>
          <w:highlight w:val="none"/>
        </w:rPr>
        <w:t>【社会治理】</w:t>
      </w:r>
    </w:p>
    <w:p w14:paraId="24F0873E">
      <w:pPr>
        <w:rPr>
          <w:rFonts w:hint="eastAsia" w:hAnsi="宋体" w:cs="宋体"/>
          <w:highlight w:val="none"/>
        </w:rPr>
      </w:pPr>
      <w:r>
        <w:rPr>
          <w:rFonts w:hint="eastAsia" w:hAnsi="宋体" w:cs="宋体"/>
          <w:highlight w:val="none"/>
        </w:rPr>
        <w:t>扎实开展基层治理工作，重点解决农村土地“三乱”、公共服务平台、农村集体“三资”等基层问题。推进“六五”普法和“一村一律师法律顾问”工作，干部群众</w:t>
      </w:r>
      <w:r>
        <w:rPr>
          <w:rFonts w:hint="eastAsia" w:cs="宋体"/>
          <w:highlight w:val="none"/>
          <w:lang w:eastAsia="zh-CN"/>
        </w:rPr>
        <w:t>法治意识</w:t>
      </w:r>
      <w:r>
        <w:rPr>
          <w:rFonts w:hint="eastAsia" w:hAnsi="宋体" w:cs="宋体"/>
          <w:highlight w:val="none"/>
        </w:rPr>
        <w:t>全面提高。进一步完善社会治安综合治理体系，成功调解民间纠纷70宗。</w:t>
      </w:r>
    </w:p>
    <w:p w14:paraId="3C3F3589">
      <w:pPr>
        <w:pStyle w:val="4"/>
        <w:bidi w:val="0"/>
        <w:rPr>
          <w:rFonts w:hint="eastAsia"/>
          <w:highlight w:val="none"/>
        </w:rPr>
      </w:pPr>
      <w:r>
        <w:rPr>
          <w:rFonts w:hint="eastAsia"/>
          <w:highlight w:val="none"/>
        </w:rPr>
        <w:t>【文教体卫】</w:t>
      </w:r>
    </w:p>
    <w:p w14:paraId="5C56CAB1">
      <w:pPr>
        <w:rPr>
          <w:rFonts w:hint="eastAsia" w:hAnsi="宋体" w:cs="宋体"/>
          <w:highlight w:val="none"/>
        </w:rPr>
      </w:pPr>
      <w:r>
        <w:rPr>
          <w:rFonts w:hint="eastAsia" w:hAnsi="宋体" w:cs="宋体"/>
          <w:highlight w:val="none"/>
        </w:rPr>
        <w:t>2015年，珠玑镇获得“全国文明村镇”荣誉称号，推进中小学素质教育，被评为市教育先进单位。逐步优化医疗卫生条件，卫生院配置专门救护车，医疗服务体系进一步完善。珠玑镇聪辈村、角湾村、里仁村、罗田村、塘东村、下坋村、中站村7个村被评为韶关市卫生村。计生工作有序开展。</w:t>
      </w:r>
    </w:p>
    <w:p w14:paraId="7CEDA0D9">
      <w:pPr>
        <w:pStyle w:val="4"/>
        <w:bidi w:val="0"/>
        <w:rPr>
          <w:rFonts w:hint="eastAsia"/>
          <w:highlight w:val="none"/>
        </w:rPr>
      </w:pPr>
      <w:r>
        <w:rPr>
          <w:rFonts w:hint="eastAsia"/>
          <w:highlight w:val="none"/>
        </w:rPr>
        <w:t>【各村（居）委会基本情况】</w:t>
      </w:r>
    </w:p>
    <w:p w14:paraId="1880E3BB">
      <w:pPr>
        <w:rPr>
          <w:rFonts w:hint="eastAsia" w:hAnsi="宋体" w:cs="宋体"/>
          <w:highlight w:val="none"/>
        </w:rPr>
      </w:pPr>
      <w:r>
        <w:rPr>
          <w:rFonts w:hint="eastAsia" w:hAnsi="宋体" w:cs="宋体"/>
          <w:b/>
          <w:highlight w:val="none"/>
        </w:rPr>
        <w:t>长迳村委会</w:t>
      </w:r>
      <w:r>
        <w:rPr>
          <w:rFonts w:hint="eastAsia" w:hAnsi="宋体" w:cs="宋体"/>
          <w:b/>
          <w:highlight w:val="none"/>
          <w:lang w:val="en-US" w:eastAsia="zh-CN"/>
        </w:rPr>
        <w:t xml:space="preserve">  </w:t>
      </w:r>
      <w:r>
        <w:rPr>
          <w:rFonts w:hint="eastAsia" w:hAnsi="宋体" w:cs="宋体"/>
          <w:highlight w:val="none"/>
        </w:rPr>
        <w:t>辖10个村民小组，682户，2341人，耕地面积1848亩。2014年，集体经济收入17万元，农村人均纯收11635元。</w:t>
      </w:r>
    </w:p>
    <w:p w14:paraId="16CA4F1C">
      <w:pPr>
        <w:rPr>
          <w:rFonts w:hint="eastAsia" w:hAnsi="宋体" w:cs="宋体"/>
          <w:highlight w:val="none"/>
        </w:rPr>
      </w:pPr>
      <w:r>
        <w:rPr>
          <w:rFonts w:hint="eastAsia" w:hAnsi="宋体" w:cs="宋体"/>
          <w:b/>
          <w:highlight w:val="none"/>
        </w:rPr>
        <w:t>新村村委会</w:t>
      </w:r>
      <w:r>
        <w:rPr>
          <w:rFonts w:hint="eastAsia" w:hAnsi="宋体" w:cs="宋体"/>
          <w:b/>
          <w:highlight w:val="none"/>
          <w:lang w:val="en-US" w:eastAsia="zh-CN"/>
        </w:rPr>
        <w:t xml:space="preserve">  </w:t>
      </w:r>
      <w:r>
        <w:rPr>
          <w:rFonts w:hint="eastAsia" w:hAnsi="宋体" w:cs="宋体"/>
          <w:highlight w:val="none"/>
        </w:rPr>
        <w:t>辖7个村民小组，248户，917人，耕地面积458亩。2014年，集体经济收入18万元，农村人均纯收11259元。</w:t>
      </w:r>
    </w:p>
    <w:p w14:paraId="004A99C6">
      <w:pPr>
        <w:rPr>
          <w:rFonts w:hint="eastAsia" w:hAnsi="宋体" w:cs="宋体"/>
          <w:highlight w:val="none"/>
        </w:rPr>
      </w:pPr>
      <w:r>
        <w:rPr>
          <w:rFonts w:hint="eastAsia" w:hAnsi="宋体" w:cs="宋体"/>
          <w:b/>
          <w:highlight w:val="none"/>
        </w:rPr>
        <w:t>古田村委会</w:t>
      </w:r>
      <w:r>
        <w:rPr>
          <w:rFonts w:hint="eastAsia" w:hAnsi="宋体" w:cs="宋体"/>
          <w:b/>
          <w:highlight w:val="none"/>
          <w:lang w:val="en-US" w:eastAsia="zh-CN"/>
        </w:rPr>
        <w:t xml:space="preserve">  </w:t>
      </w:r>
      <w:r>
        <w:rPr>
          <w:rFonts w:hint="eastAsia" w:hAnsi="宋体" w:cs="宋体"/>
          <w:highlight w:val="none"/>
        </w:rPr>
        <w:t>辖17个村民小组，647户，2231人，耕地面积2814亩。2014年，集体经济收入31万元，农村人均纯收入11660元。</w:t>
      </w:r>
    </w:p>
    <w:p w14:paraId="6076EE8A">
      <w:pPr>
        <w:rPr>
          <w:rFonts w:hint="eastAsia" w:hAnsi="宋体" w:cs="宋体"/>
          <w:highlight w:val="none"/>
        </w:rPr>
      </w:pPr>
      <w:r>
        <w:rPr>
          <w:rFonts w:hint="eastAsia" w:hAnsi="宋体" w:cs="宋体"/>
          <w:b/>
          <w:bCs/>
          <w:highlight w:val="none"/>
        </w:rPr>
        <w:t>聪辈</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9个村民小组，371户，1271人，耕地面积972亩。2014年，集体经济收入20万元，农村人均纯收入11793元。</w:t>
      </w:r>
    </w:p>
    <w:p w14:paraId="42C9C1E5">
      <w:pPr>
        <w:rPr>
          <w:rFonts w:hint="eastAsia" w:hAnsi="宋体" w:cs="宋体"/>
          <w:highlight w:val="none"/>
        </w:rPr>
      </w:pPr>
      <w:r>
        <w:rPr>
          <w:rFonts w:hint="eastAsia" w:hAnsi="宋体" w:cs="宋体"/>
          <w:b/>
          <w:bCs/>
          <w:highlight w:val="none"/>
        </w:rPr>
        <w:t>珠玑</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14个村民小组，624户，2013人，耕地面积715亩。2014年，集体经济收入23万元，农村人均纯收入10942元。</w:t>
      </w:r>
    </w:p>
    <w:p w14:paraId="6385CAA5">
      <w:pPr>
        <w:rPr>
          <w:rFonts w:hint="eastAsia" w:hAnsi="宋体" w:cs="宋体"/>
          <w:highlight w:val="none"/>
        </w:rPr>
      </w:pPr>
      <w:r>
        <w:rPr>
          <w:rFonts w:hint="eastAsia" w:hAnsi="宋体" w:cs="宋体"/>
          <w:b/>
          <w:bCs/>
          <w:highlight w:val="none"/>
        </w:rPr>
        <w:t>洋湖村</w:t>
      </w:r>
      <w:r>
        <w:rPr>
          <w:rFonts w:hint="eastAsia" w:hAnsi="宋体" w:cs="宋体"/>
          <w:b/>
          <w:highlight w:val="none"/>
        </w:rPr>
        <w:t>委会辖</w:t>
      </w:r>
      <w:r>
        <w:rPr>
          <w:rFonts w:hint="eastAsia" w:hAnsi="宋体" w:cs="宋体"/>
          <w:b/>
          <w:highlight w:val="none"/>
          <w:lang w:val="en-US" w:eastAsia="zh-CN"/>
        </w:rPr>
        <w:t xml:space="preserve">  </w:t>
      </w:r>
      <w:r>
        <w:rPr>
          <w:rFonts w:hint="eastAsia" w:hAnsi="宋体" w:cs="宋体"/>
          <w:highlight w:val="none"/>
        </w:rPr>
        <w:t>10个村民小组，527户，1749人，耕地面积1162亩。2014年，集体经济收入16万元，农村人均纯收入11220元。</w:t>
      </w:r>
    </w:p>
    <w:p w14:paraId="5BBE481C">
      <w:pPr>
        <w:rPr>
          <w:rFonts w:hint="eastAsia" w:hAnsi="宋体" w:cs="宋体"/>
          <w:highlight w:val="none"/>
        </w:rPr>
      </w:pPr>
      <w:r>
        <w:rPr>
          <w:rFonts w:hint="eastAsia" w:hAnsi="宋体" w:cs="宋体"/>
          <w:b/>
          <w:bCs/>
          <w:highlight w:val="none"/>
        </w:rPr>
        <w:t>叟里</w:t>
      </w:r>
      <w:r>
        <w:rPr>
          <w:rFonts w:hint="eastAsia" w:hAnsi="宋体" w:cs="宋体"/>
          <w:b/>
          <w:highlight w:val="none"/>
        </w:rPr>
        <w:t>元村委会辖</w:t>
      </w:r>
      <w:r>
        <w:rPr>
          <w:rFonts w:hint="eastAsia" w:hAnsi="宋体" w:cs="宋体"/>
          <w:b/>
          <w:highlight w:val="none"/>
          <w:lang w:val="en-US" w:eastAsia="zh-CN"/>
        </w:rPr>
        <w:t xml:space="preserve">  </w:t>
      </w:r>
      <w:r>
        <w:rPr>
          <w:rFonts w:hint="eastAsia" w:hAnsi="宋体" w:cs="宋体"/>
          <w:highlight w:val="none"/>
        </w:rPr>
        <w:t>29个村民小组，715户，2414人，耕地面积2040亩。2014年，集体经济收入42万元，农村人均纯收入10364元。</w:t>
      </w:r>
    </w:p>
    <w:p w14:paraId="1B7AA9B8">
      <w:pPr>
        <w:rPr>
          <w:rFonts w:hint="eastAsia" w:hAnsi="宋体" w:cs="宋体"/>
          <w:highlight w:val="none"/>
        </w:rPr>
      </w:pPr>
      <w:r>
        <w:rPr>
          <w:rFonts w:hint="eastAsia" w:hAnsi="宋体" w:cs="宋体"/>
          <w:b/>
          <w:bCs/>
          <w:highlight w:val="none"/>
        </w:rPr>
        <w:t>上</w:t>
      </w:r>
      <w:r>
        <w:rPr>
          <w:rFonts w:hint="eastAsia" w:hAnsi="宋体" w:cs="宋体"/>
          <w:b/>
          <w:highlight w:val="none"/>
        </w:rPr>
        <w:t>嵩村委会辖</w:t>
      </w:r>
      <w:r>
        <w:rPr>
          <w:rFonts w:hint="eastAsia" w:hAnsi="宋体" w:cs="宋体"/>
          <w:b/>
          <w:highlight w:val="none"/>
          <w:lang w:val="en-US" w:eastAsia="zh-CN"/>
        </w:rPr>
        <w:t xml:space="preserve">  </w:t>
      </w:r>
      <w:r>
        <w:rPr>
          <w:rFonts w:hint="eastAsia" w:hAnsi="宋体" w:cs="宋体"/>
          <w:highlight w:val="none"/>
        </w:rPr>
        <w:t>4个村民小组，121户，397人，耕地面积730亩。2014年，集体经济收入13万元，农村人均纯收入10846元。</w:t>
      </w:r>
    </w:p>
    <w:p w14:paraId="397611A6">
      <w:pPr>
        <w:rPr>
          <w:rFonts w:hint="eastAsia" w:hAnsi="宋体" w:cs="宋体"/>
          <w:highlight w:val="none"/>
        </w:rPr>
      </w:pPr>
      <w:r>
        <w:rPr>
          <w:rFonts w:hint="eastAsia" w:hAnsi="宋体" w:cs="宋体"/>
          <w:b/>
          <w:bCs/>
          <w:highlight w:val="none"/>
        </w:rPr>
        <w:t>里</w:t>
      </w:r>
      <w:r>
        <w:rPr>
          <w:rFonts w:hint="eastAsia" w:hAnsi="宋体" w:cs="宋体"/>
          <w:b/>
          <w:highlight w:val="none"/>
        </w:rPr>
        <w:t>仁村委会辖</w:t>
      </w:r>
      <w:r>
        <w:rPr>
          <w:rFonts w:hint="eastAsia" w:hAnsi="宋体" w:cs="宋体"/>
          <w:b/>
          <w:highlight w:val="none"/>
          <w:lang w:val="en-US" w:eastAsia="zh-CN"/>
        </w:rPr>
        <w:t xml:space="preserve">  </w:t>
      </w:r>
      <w:r>
        <w:rPr>
          <w:rFonts w:hint="eastAsia" w:hAnsi="宋体" w:cs="宋体"/>
          <w:highlight w:val="none"/>
        </w:rPr>
        <w:t>11个村民小组，358户，1320人，耕地面积1182亩。2014年，集体经济收入36万元，农村人均纯收入11991元。</w:t>
      </w:r>
    </w:p>
    <w:p w14:paraId="5CA64B8D">
      <w:pPr>
        <w:rPr>
          <w:rFonts w:hint="eastAsia" w:hAnsi="宋体" w:cs="宋体"/>
          <w:highlight w:val="none"/>
        </w:rPr>
      </w:pPr>
      <w:r>
        <w:rPr>
          <w:rFonts w:hint="eastAsia" w:hAnsi="宋体" w:cs="宋体"/>
          <w:b/>
          <w:bCs/>
          <w:highlight w:val="none"/>
        </w:rPr>
        <w:t>塘东</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12个村民小组，573户，1932人，耕地面积1430亩。2014年，集体经济收入28万元，农村人均纯收入10826元。</w:t>
      </w:r>
    </w:p>
    <w:p w14:paraId="4C3A9B60">
      <w:pPr>
        <w:rPr>
          <w:rFonts w:hint="eastAsia" w:hAnsi="宋体" w:cs="宋体"/>
          <w:highlight w:val="none"/>
        </w:rPr>
      </w:pPr>
      <w:r>
        <w:rPr>
          <w:rFonts w:hint="eastAsia" w:hAnsi="宋体" w:cs="宋体"/>
          <w:b/>
          <w:bCs/>
          <w:highlight w:val="none"/>
        </w:rPr>
        <w:t>石塘</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11个村民小组，436户，1558人，耕地面积1236亩。2014年，集体经济收入59万元，农村人均纯收入11448元。</w:t>
      </w:r>
    </w:p>
    <w:p w14:paraId="38750F4F">
      <w:pPr>
        <w:rPr>
          <w:rFonts w:hint="eastAsia" w:hAnsi="宋体" w:cs="宋体"/>
          <w:highlight w:val="none"/>
        </w:rPr>
      </w:pPr>
      <w:r>
        <w:rPr>
          <w:rFonts w:hint="eastAsia" w:hAnsi="宋体" w:cs="宋体"/>
          <w:b/>
          <w:bCs/>
          <w:highlight w:val="none"/>
        </w:rPr>
        <w:t>里东</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15个村民小组，768户，2716人，耕地面积1452亩。2014年，集体经济收入40万元，农村人均纯收入10437元。</w:t>
      </w:r>
    </w:p>
    <w:p w14:paraId="19F1E283">
      <w:pPr>
        <w:rPr>
          <w:rFonts w:hint="eastAsia" w:hAnsi="宋体" w:cs="宋体"/>
          <w:highlight w:val="none"/>
        </w:rPr>
      </w:pPr>
      <w:r>
        <w:rPr>
          <w:rFonts w:hint="eastAsia" w:hAnsi="宋体" w:cs="宋体"/>
          <w:b/>
          <w:bCs/>
          <w:highlight w:val="none"/>
        </w:rPr>
        <w:t>灵潭村</w:t>
      </w:r>
      <w:r>
        <w:rPr>
          <w:rFonts w:hint="eastAsia" w:hAnsi="宋体" w:cs="宋体"/>
          <w:b/>
          <w:highlight w:val="none"/>
        </w:rPr>
        <w:t>委会辖</w:t>
      </w:r>
      <w:r>
        <w:rPr>
          <w:rFonts w:hint="eastAsia" w:hAnsi="宋体" w:cs="宋体"/>
          <w:b/>
          <w:highlight w:val="none"/>
          <w:lang w:val="en-US" w:eastAsia="zh-CN"/>
        </w:rPr>
        <w:t xml:space="preserve">  </w:t>
      </w:r>
      <w:r>
        <w:rPr>
          <w:rFonts w:hint="eastAsia" w:hAnsi="宋体" w:cs="宋体"/>
          <w:highlight w:val="none"/>
        </w:rPr>
        <w:t>10个村民小组，533户，1972人，耕地面积1221亩。2014年，集体经济收入43万元，农村人均纯收入10432元。</w:t>
      </w:r>
    </w:p>
    <w:p w14:paraId="61A38A4B">
      <w:pPr>
        <w:rPr>
          <w:rFonts w:hint="eastAsia" w:hAnsi="宋体" w:cs="宋体"/>
          <w:highlight w:val="none"/>
        </w:rPr>
      </w:pPr>
      <w:r>
        <w:rPr>
          <w:rFonts w:hint="eastAsia" w:hAnsi="宋体" w:cs="宋体"/>
          <w:b/>
          <w:bCs/>
          <w:highlight w:val="none"/>
        </w:rPr>
        <w:t>下坋</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6个村民小组，312户，1013人，耕地面积764亩。2014年，集体经济收入18万元，农村人均纯收入11640元。</w:t>
      </w:r>
    </w:p>
    <w:p w14:paraId="1AC1BF0C">
      <w:pPr>
        <w:rPr>
          <w:rFonts w:hint="eastAsia" w:hAnsi="宋体" w:cs="宋体"/>
          <w:highlight w:val="none"/>
        </w:rPr>
      </w:pPr>
      <w:r>
        <w:rPr>
          <w:rFonts w:hint="eastAsia" w:hAnsi="宋体" w:cs="宋体"/>
          <w:b/>
          <w:bCs/>
          <w:highlight w:val="none"/>
        </w:rPr>
        <w:t>罗</w:t>
      </w:r>
      <w:r>
        <w:rPr>
          <w:rFonts w:hint="eastAsia" w:hAnsi="宋体" w:cs="宋体"/>
          <w:b/>
          <w:highlight w:val="none"/>
        </w:rPr>
        <w:t>田村委会辖</w:t>
      </w:r>
      <w:r>
        <w:rPr>
          <w:rFonts w:hint="eastAsia" w:hAnsi="宋体" w:cs="宋体"/>
          <w:b/>
          <w:highlight w:val="none"/>
          <w:lang w:val="en-US" w:eastAsia="zh-CN"/>
        </w:rPr>
        <w:t xml:space="preserve">  </w:t>
      </w:r>
      <w:r>
        <w:rPr>
          <w:rFonts w:hint="eastAsia" w:hAnsi="宋体" w:cs="宋体"/>
          <w:highlight w:val="none"/>
        </w:rPr>
        <w:t>5个村民小组，308户，1041人，耕地面积737亩。2014年，集体经济收入64万元，农村人均纯收入11088元。</w:t>
      </w:r>
    </w:p>
    <w:p w14:paraId="2934C199">
      <w:pPr>
        <w:rPr>
          <w:rFonts w:hint="eastAsia" w:hAnsi="宋体" w:cs="宋体"/>
          <w:highlight w:val="none"/>
        </w:rPr>
      </w:pPr>
      <w:r>
        <w:rPr>
          <w:rFonts w:hint="eastAsia" w:hAnsi="宋体" w:cs="宋体"/>
          <w:b/>
          <w:bCs/>
          <w:highlight w:val="none"/>
        </w:rPr>
        <w:t>南山</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6个村民小组，216户，691人，耕地面积679亩。2014年，集体经济收入17万元，农村人均纯收入10713元。</w:t>
      </w:r>
    </w:p>
    <w:p w14:paraId="6EBF3F08">
      <w:pPr>
        <w:rPr>
          <w:rFonts w:hint="eastAsia" w:hAnsi="宋体" w:cs="宋体"/>
          <w:highlight w:val="none"/>
        </w:rPr>
      </w:pPr>
      <w:r>
        <w:rPr>
          <w:rFonts w:hint="eastAsia" w:hAnsi="宋体" w:cs="宋体"/>
          <w:b/>
          <w:bCs/>
          <w:highlight w:val="none"/>
        </w:rPr>
        <w:t>祇芫</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11个村民小组，466户，1601人，耕地面积1520亩。2014年，集体经济收入22万元，农村人均纯收入11980元。</w:t>
      </w:r>
    </w:p>
    <w:p w14:paraId="3E78F564">
      <w:pPr>
        <w:rPr>
          <w:rFonts w:hint="eastAsia" w:hAnsi="宋体" w:cs="宋体"/>
          <w:highlight w:val="none"/>
        </w:rPr>
      </w:pPr>
      <w:r>
        <w:rPr>
          <w:rFonts w:hint="eastAsia" w:hAnsi="宋体" w:cs="宋体"/>
          <w:b/>
          <w:bCs/>
          <w:highlight w:val="none"/>
        </w:rPr>
        <w:t>角湾村</w:t>
      </w:r>
      <w:r>
        <w:rPr>
          <w:rFonts w:hint="eastAsia" w:hAnsi="宋体" w:cs="宋体"/>
          <w:b/>
          <w:highlight w:val="none"/>
        </w:rPr>
        <w:t>委会辖</w:t>
      </w:r>
      <w:r>
        <w:rPr>
          <w:rFonts w:hint="eastAsia" w:hAnsi="宋体" w:cs="宋体"/>
          <w:b/>
          <w:highlight w:val="none"/>
          <w:lang w:val="en-US" w:eastAsia="zh-CN"/>
        </w:rPr>
        <w:t xml:space="preserve">  </w:t>
      </w:r>
      <w:r>
        <w:rPr>
          <w:rFonts w:hint="eastAsia" w:hAnsi="宋体" w:cs="宋体"/>
          <w:highlight w:val="none"/>
        </w:rPr>
        <w:t>7个村民小组，402户，1442人，耕地面积860亩。2014年，集体经济收入25万元，农村人均纯收入11530元。</w:t>
      </w:r>
    </w:p>
    <w:p w14:paraId="761FA40B">
      <w:pPr>
        <w:rPr>
          <w:rFonts w:hint="eastAsia" w:hAnsi="宋体" w:cs="宋体"/>
          <w:highlight w:val="none"/>
        </w:rPr>
      </w:pPr>
      <w:r>
        <w:rPr>
          <w:rFonts w:hint="eastAsia" w:hAnsi="宋体" w:cs="宋体"/>
          <w:b/>
          <w:bCs/>
          <w:highlight w:val="none"/>
        </w:rPr>
        <w:t>泰</w:t>
      </w:r>
      <w:r>
        <w:rPr>
          <w:rFonts w:hint="eastAsia" w:hAnsi="宋体" w:cs="宋体"/>
          <w:b/>
          <w:highlight w:val="none"/>
        </w:rPr>
        <w:t>源村委会辖</w:t>
      </w:r>
      <w:r>
        <w:rPr>
          <w:rFonts w:hint="eastAsia" w:hAnsi="宋体" w:cs="宋体"/>
          <w:b/>
          <w:highlight w:val="none"/>
          <w:lang w:val="en-US" w:eastAsia="zh-CN"/>
        </w:rPr>
        <w:t xml:space="preserve">  </w:t>
      </w:r>
      <w:r>
        <w:rPr>
          <w:rFonts w:hint="eastAsia" w:hAnsi="宋体" w:cs="宋体"/>
          <w:highlight w:val="none"/>
        </w:rPr>
        <w:t>15个村民小组，477户，1559户，耕地面积711亩。2015年，集体经济收入32万元，农村人均纯收入11786元。</w:t>
      </w:r>
    </w:p>
    <w:p w14:paraId="1D79BF5E">
      <w:pPr>
        <w:rPr>
          <w:rFonts w:hint="eastAsia" w:hAnsi="宋体" w:cs="宋体"/>
          <w:highlight w:val="none"/>
        </w:rPr>
      </w:pPr>
      <w:r>
        <w:rPr>
          <w:rFonts w:hint="eastAsia" w:hAnsi="宋体" w:cs="宋体"/>
          <w:b/>
          <w:bCs/>
          <w:highlight w:val="none"/>
        </w:rPr>
        <w:t>中站村</w:t>
      </w:r>
      <w:r>
        <w:rPr>
          <w:rFonts w:hint="eastAsia" w:hAnsi="宋体" w:cs="宋体"/>
          <w:b/>
          <w:highlight w:val="none"/>
        </w:rPr>
        <w:t>委会辖</w:t>
      </w:r>
      <w:r>
        <w:rPr>
          <w:rFonts w:hint="eastAsia" w:hAnsi="宋体" w:cs="宋体"/>
          <w:b/>
          <w:highlight w:val="none"/>
          <w:lang w:val="en-US" w:eastAsia="zh-CN"/>
        </w:rPr>
        <w:t xml:space="preserve">  </w:t>
      </w:r>
      <w:r>
        <w:rPr>
          <w:rFonts w:hint="eastAsia" w:hAnsi="宋体" w:cs="宋体"/>
          <w:highlight w:val="none"/>
        </w:rPr>
        <w:t>9个村民小组，309户，1044人，耕地面积600亩。2014年，集体经济收入28万元，农村人均收入11004元。</w:t>
      </w:r>
    </w:p>
    <w:p w14:paraId="7F02FCA8">
      <w:pPr>
        <w:rPr>
          <w:rFonts w:hint="eastAsia" w:hAnsi="宋体" w:cs="宋体"/>
          <w:highlight w:val="none"/>
        </w:rPr>
      </w:pPr>
      <w:r>
        <w:rPr>
          <w:rFonts w:hint="eastAsia" w:hAnsi="宋体" w:cs="宋体"/>
          <w:b/>
          <w:bCs/>
          <w:highlight w:val="none"/>
        </w:rPr>
        <w:t>梅岭</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14个村民小组，715户，2307人，耕地面积1233亩。2014年，集体经济收入55万元，农村人均收入11359元。</w:t>
      </w:r>
    </w:p>
    <w:p w14:paraId="6DCEE95B">
      <w:pPr>
        <w:rPr>
          <w:rFonts w:hint="eastAsia" w:hAnsi="宋体" w:cs="宋体"/>
          <w:highlight w:val="none"/>
        </w:rPr>
      </w:pPr>
      <w:r>
        <w:rPr>
          <w:rFonts w:hint="eastAsia" w:hAnsi="宋体" w:cs="宋体"/>
          <w:b/>
          <w:bCs/>
          <w:highlight w:val="none"/>
        </w:rPr>
        <w:t>梅关</w:t>
      </w:r>
      <w:r>
        <w:rPr>
          <w:rFonts w:hint="eastAsia" w:hAnsi="宋体" w:cs="宋体"/>
          <w:b/>
          <w:highlight w:val="none"/>
        </w:rPr>
        <w:t>村委会辖</w:t>
      </w:r>
      <w:r>
        <w:rPr>
          <w:rFonts w:hint="eastAsia" w:hAnsi="宋体" w:cs="宋体"/>
          <w:b/>
          <w:highlight w:val="none"/>
          <w:lang w:val="en-US" w:eastAsia="zh-CN"/>
        </w:rPr>
        <w:t xml:space="preserve">  </w:t>
      </w:r>
      <w:r>
        <w:rPr>
          <w:rFonts w:hint="eastAsia" w:hAnsi="宋体" w:cs="宋体"/>
          <w:highlight w:val="none"/>
        </w:rPr>
        <w:t>10个村民小组，390户，1435人，耕地面积900亩。2014年，集体经济收入15万元，农村人均收入11749元。</w:t>
      </w:r>
    </w:p>
    <w:p w14:paraId="11DE4CEB">
      <w:pPr>
        <w:rPr>
          <w:rFonts w:hint="eastAsia" w:hAnsi="宋体" w:cs="宋体"/>
          <w:highlight w:val="none"/>
        </w:rPr>
      </w:pPr>
      <w:r>
        <w:rPr>
          <w:rFonts w:hint="eastAsia" w:hAnsi="宋体" w:cs="宋体"/>
          <w:b/>
          <w:bCs/>
          <w:highlight w:val="none"/>
        </w:rPr>
        <w:t>社</w:t>
      </w:r>
      <w:r>
        <w:rPr>
          <w:rFonts w:hint="eastAsia" w:hAnsi="宋体" w:cs="宋体"/>
          <w:b/>
          <w:highlight w:val="none"/>
        </w:rPr>
        <w:t>区居委会辖</w:t>
      </w:r>
      <w:r>
        <w:rPr>
          <w:rFonts w:hint="eastAsia" w:hAnsi="宋体" w:cs="宋体"/>
          <w:b/>
          <w:highlight w:val="none"/>
          <w:lang w:val="en-US" w:eastAsia="zh-CN"/>
        </w:rPr>
        <w:t xml:space="preserve">  </w:t>
      </w:r>
      <w:r>
        <w:rPr>
          <w:rFonts w:hint="eastAsia" w:hAnsi="宋体" w:cs="宋体"/>
          <w:highlight w:val="none"/>
        </w:rPr>
        <w:t>1个居民小组，4041户，11968人，地处珠玑镇中心，西侧紧靠新G323国道和韶赣高速公路，地理位置非常优越。社区内有珠玑新旧城区、仿宋一条街、文化商业广场、中心墟镇菜市场、珠玑中心小学、珠玑中学及珠玑古巷、大雄禅寺旅游景区，是一个集商贸、居住、旅游的混合型社区。（林炜杰）</w:t>
      </w:r>
    </w:p>
    <w:p w14:paraId="77B818B8">
      <w:pPr>
        <w:rPr>
          <w:rFonts w:hint="eastAsia" w:hAnsi="宋体" w:eastAsia="宋体" w:cs="宋体"/>
          <w:highlight w:val="none"/>
          <w:lang w:eastAsia="zh-CN"/>
        </w:rPr>
      </w:pPr>
      <w:r>
        <w:rPr>
          <w:rFonts w:hint="eastAsia" w:hAnsi="宋体" w:cs="宋体"/>
          <w:highlight w:val="none"/>
        </w:rPr>
        <w:t>附：2015年珠玑镇领导班子成员名单</w:t>
      </w:r>
    </w:p>
    <w:p w14:paraId="0AE28FC1">
      <w:pPr>
        <w:rPr>
          <w:rFonts w:hint="eastAsia" w:hAnsi="宋体" w:eastAsia="宋体" w:cs="宋体"/>
          <w:highlight w:val="none"/>
          <w:lang w:eastAsia="zh-CN"/>
        </w:rPr>
      </w:pPr>
      <w:r>
        <w:rPr>
          <w:rFonts w:hint="eastAsia" w:hAnsi="宋体" w:cs="宋体"/>
          <w:highlight w:val="none"/>
        </w:rPr>
        <w:t>党委书记、人大主席：陈志光</w:t>
      </w:r>
    </w:p>
    <w:p w14:paraId="3A8EFD43">
      <w:pPr>
        <w:rPr>
          <w:rFonts w:hint="eastAsia" w:hAnsi="宋体" w:eastAsia="宋体" w:cs="宋体"/>
          <w:highlight w:val="none"/>
          <w:lang w:eastAsia="zh-CN"/>
        </w:rPr>
      </w:pPr>
      <w:r>
        <w:rPr>
          <w:rFonts w:hint="eastAsia" w:hAnsi="宋体" w:cs="宋体"/>
          <w:highlight w:val="none"/>
        </w:rPr>
        <w:t>党委副书记、镇长：黄德忠</w:t>
      </w:r>
    </w:p>
    <w:p w14:paraId="0889FF4E">
      <w:pPr>
        <w:rPr>
          <w:rFonts w:hint="eastAsia" w:hAnsi="宋体" w:eastAsia="宋体" w:cs="宋体"/>
          <w:highlight w:val="none"/>
          <w:lang w:eastAsia="zh-CN"/>
        </w:rPr>
      </w:pPr>
      <w:r>
        <w:rPr>
          <w:rFonts w:hint="eastAsia" w:hAnsi="宋体" w:cs="宋体"/>
          <w:highlight w:val="none"/>
        </w:rPr>
        <w:t>党委副书记：赖建志</w:t>
      </w:r>
    </w:p>
    <w:p w14:paraId="1C46DB42">
      <w:pPr>
        <w:rPr>
          <w:rFonts w:hint="eastAsia" w:hAnsi="宋体" w:eastAsia="宋体" w:cs="宋体"/>
          <w:highlight w:val="none"/>
          <w:lang w:eastAsia="zh-CN"/>
        </w:rPr>
      </w:pPr>
      <w:r>
        <w:rPr>
          <w:rFonts w:hint="eastAsia" w:hAnsi="宋体" w:cs="宋体"/>
          <w:highlight w:val="none"/>
        </w:rPr>
        <w:t>党委委员、纪委书记：董雪英</w:t>
      </w:r>
    </w:p>
    <w:p w14:paraId="75601DF8">
      <w:pPr>
        <w:rPr>
          <w:rFonts w:hint="eastAsia" w:hAnsi="宋体" w:eastAsia="宋体" w:cs="宋体"/>
          <w:highlight w:val="none"/>
          <w:lang w:eastAsia="zh-CN"/>
        </w:rPr>
      </w:pPr>
      <w:r>
        <w:rPr>
          <w:rFonts w:hint="eastAsia" w:hAnsi="宋体" w:cs="宋体"/>
          <w:highlight w:val="none"/>
        </w:rPr>
        <w:t>党委组织委员：曾凌云</w:t>
      </w:r>
    </w:p>
    <w:p w14:paraId="20439479">
      <w:pPr>
        <w:rPr>
          <w:rFonts w:hint="eastAsia" w:hAnsi="宋体" w:eastAsia="宋体" w:cs="宋体"/>
          <w:highlight w:val="none"/>
          <w:lang w:eastAsia="zh-CN"/>
        </w:rPr>
      </w:pPr>
      <w:r>
        <w:rPr>
          <w:rFonts w:hint="eastAsia" w:hAnsi="宋体" w:cs="宋体"/>
          <w:highlight w:val="none"/>
        </w:rPr>
        <w:t>党委委员、人大副主席：叶东明</w:t>
      </w:r>
    </w:p>
    <w:p w14:paraId="39F93EC3">
      <w:pPr>
        <w:rPr>
          <w:rFonts w:hint="eastAsia" w:hAnsi="宋体" w:eastAsia="宋体" w:cs="宋体"/>
          <w:highlight w:val="none"/>
          <w:lang w:eastAsia="zh-CN"/>
        </w:rPr>
      </w:pPr>
      <w:r>
        <w:rPr>
          <w:rFonts w:hint="eastAsia" w:hAnsi="宋体" w:cs="宋体"/>
          <w:highlight w:val="none"/>
        </w:rPr>
        <w:t>党委委员、武装部长：杜香桥</w:t>
      </w:r>
    </w:p>
    <w:p w14:paraId="6A531CC9">
      <w:pPr>
        <w:rPr>
          <w:rFonts w:hint="eastAsia" w:hAnsi="宋体" w:eastAsia="宋体" w:cs="宋体"/>
          <w:highlight w:val="none"/>
          <w:lang w:eastAsia="zh-CN"/>
        </w:rPr>
      </w:pPr>
      <w:r>
        <w:rPr>
          <w:rFonts w:hint="eastAsia" w:hAnsi="宋体" w:cs="宋体"/>
          <w:highlight w:val="none"/>
        </w:rPr>
        <w:t>党委委员、综治办专职副主任：张朝林</w:t>
      </w:r>
    </w:p>
    <w:p w14:paraId="0DF2E916">
      <w:pPr>
        <w:rPr>
          <w:rFonts w:hint="eastAsia" w:hAnsi="宋体" w:eastAsia="宋体" w:cs="宋体"/>
          <w:highlight w:val="none"/>
          <w:lang w:eastAsia="zh-CN"/>
        </w:rPr>
      </w:pPr>
      <w:r>
        <w:rPr>
          <w:rFonts w:hint="eastAsia" w:hAnsi="宋体" w:cs="宋体"/>
          <w:highlight w:val="none"/>
        </w:rPr>
        <w:t>党委委员：张东林</w:t>
      </w:r>
    </w:p>
    <w:p w14:paraId="17C34076">
      <w:pPr>
        <w:rPr>
          <w:rFonts w:hint="eastAsia" w:hAnsi="宋体" w:cs="宋体"/>
          <w:b w:val="0"/>
          <w:bCs w:val="0"/>
          <w:highlight w:val="none"/>
        </w:rPr>
      </w:pPr>
      <w:r>
        <w:rPr>
          <w:rFonts w:hint="eastAsia" w:hAnsi="宋体" w:cs="宋体"/>
          <w:b w:val="0"/>
          <w:bCs w:val="0"/>
          <w:highlight w:val="none"/>
        </w:rPr>
        <w:t>副镇长：刘景文</w:t>
      </w:r>
      <w:r>
        <w:rPr>
          <w:rFonts w:hint="eastAsia" w:hAnsi="宋体" w:cs="宋体"/>
          <w:b w:val="0"/>
          <w:bCs w:val="0"/>
          <w:highlight w:val="none"/>
          <w:lang w:val="en-US" w:eastAsia="zh-CN"/>
        </w:rPr>
        <w:t xml:space="preserve">  </w:t>
      </w:r>
      <w:r>
        <w:rPr>
          <w:rFonts w:hint="eastAsia" w:hAnsi="宋体" w:cs="宋体"/>
          <w:b w:val="0"/>
          <w:bCs w:val="0"/>
          <w:highlight w:val="none"/>
        </w:rPr>
        <w:t>华 飞</w:t>
      </w:r>
      <w:r>
        <w:rPr>
          <w:rFonts w:hint="eastAsia" w:hAnsi="宋体" w:cs="宋体"/>
          <w:b w:val="0"/>
          <w:bCs w:val="0"/>
          <w:highlight w:val="none"/>
          <w:lang w:val="en-US" w:eastAsia="zh-CN"/>
        </w:rPr>
        <w:t xml:space="preserve">  </w:t>
      </w:r>
      <w:r>
        <w:rPr>
          <w:rFonts w:hint="eastAsia" w:hAnsi="宋体" w:cs="宋体"/>
          <w:b w:val="0"/>
          <w:bCs w:val="0"/>
          <w:highlight w:val="none"/>
        </w:rPr>
        <w:t>杨</w:t>
      </w:r>
      <w:r>
        <w:rPr>
          <w:rFonts w:hint="eastAsia" w:hAnsi="宋体" w:cs="宋体"/>
          <w:b w:val="0"/>
          <w:bCs w:val="0"/>
          <w:highlight w:val="none"/>
          <w:lang w:val="en-US" w:eastAsia="zh-CN"/>
        </w:rPr>
        <w:t xml:space="preserve">  </w:t>
      </w:r>
      <w:r>
        <w:rPr>
          <w:rFonts w:hint="eastAsia" w:hAnsi="宋体" w:cs="宋体"/>
          <w:b w:val="0"/>
          <w:bCs w:val="0"/>
          <w:highlight w:val="none"/>
        </w:rPr>
        <w:t>兵</w:t>
      </w:r>
    </w:p>
    <w:p w14:paraId="4DCB2149">
      <w:pPr>
        <w:pStyle w:val="2"/>
        <w:rPr>
          <w:rFonts w:hint="eastAsia" w:hAnsi="宋体" w:cs="宋体"/>
          <w:highlight w:val="none"/>
        </w:rPr>
      </w:pPr>
      <w:r>
        <w:rPr>
          <w:rFonts w:hAnsi="宋体" w:cs="宋体"/>
          <w:b w:val="0"/>
          <w:bCs w:val="0"/>
          <w:highlight w:val="none"/>
        </w:rPr>
        <w:br w:type="page"/>
      </w:r>
      <w:r>
        <w:rPr>
          <w:rFonts w:hint="eastAsia"/>
          <w:highlight w:val="none"/>
        </w:rPr>
        <w:t>社会经济统计资料</w:t>
      </w:r>
    </w:p>
    <w:p w14:paraId="19DADDB4">
      <w:pPr>
        <w:pStyle w:val="3"/>
        <w:bidi w:val="0"/>
        <w:rPr>
          <w:rFonts w:hint="eastAsia" w:hAnsi="宋体" w:eastAsia="宋体" w:cs="宋体"/>
          <w:highlight w:val="none"/>
          <w:lang w:eastAsia="zh-CN"/>
        </w:rPr>
      </w:pPr>
      <w:r>
        <w:rPr>
          <w:rFonts w:hint="eastAsia"/>
          <w:highlight w:val="none"/>
        </w:rPr>
        <w:t>2015年南雄市国民经济和社会发展统计公报南雄市统计局</w:t>
      </w:r>
      <w:r>
        <w:rPr>
          <w:rFonts w:hint="eastAsia"/>
          <w:highlight w:val="none"/>
        </w:rPr>
        <w:br w:type="textWrapping"/>
      </w:r>
      <w:r>
        <w:rPr>
          <w:rFonts w:hint="eastAsia"/>
          <w:highlight w:val="none"/>
          <w:lang w:eastAsia="zh-CN"/>
        </w:rPr>
        <w:t>（</w:t>
      </w:r>
      <w:r>
        <w:rPr>
          <w:rFonts w:hint="eastAsia"/>
          <w:highlight w:val="none"/>
        </w:rPr>
        <w:t>2016年3月21日</w:t>
      </w:r>
      <w:r>
        <w:rPr>
          <w:rFonts w:hint="eastAsia"/>
          <w:highlight w:val="none"/>
          <w:lang w:eastAsia="zh-CN"/>
        </w:rPr>
        <w:t>）</w:t>
      </w:r>
    </w:p>
    <w:p w14:paraId="15AE30D0">
      <w:pPr>
        <w:rPr>
          <w:rFonts w:hint="eastAsia" w:hAnsi="宋体" w:cs="宋体"/>
          <w:highlight w:val="none"/>
        </w:rPr>
      </w:pPr>
      <w:r>
        <w:rPr>
          <w:rFonts w:hint="eastAsia" w:hAnsi="宋体" w:cs="宋体"/>
          <w:highlight w:val="none"/>
        </w:rPr>
        <w:t>2015年，在南雄市委、市政府的正确领导下，全市上下认真贯彻习近平总书记系列重要讲话精神及省、韶关市的决策部署，积极抢抓原中央苏区县等重大政策机遇，坚持以科学发展为主题，以加快转变发展方式为主线，按照“打苏区牌、走生态路”的工作思路，大力实施“六大战略”，完成了年初确定的主要任务目标，经济社会发展取得新成就。</w:t>
      </w:r>
    </w:p>
    <w:p w14:paraId="1D8F5F8E">
      <w:pPr>
        <w:pStyle w:val="4"/>
        <w:bidi w:val="0"/>
        <w:rPr>
          <w:rFonts w:hint="eastAsia"/>
          <w:highlight w:val="none"/>
        </w:rPr>
      </w:pPr>
      <w:r>
        <w:rPr>
          <w:rFonts w:hint="eastAsia"/>
          <w:highlight w:val="none"/>
        </w:rPr>
        <w:t>一、综合</w:t>
      </w:r>
    </w:p>
    <w:p w14:paraId="38E4B144">
      <w:pPr>
        <w:rPr>
          <w:rFonts w:hint="eastAsia" w:hAnsi="宋体" w:cs="宋体"/>
          <w:highlight w:val="none"/>
        </w:rPr>
      </w:pPr>
      <w:r>
        <w:rPr>
          <w:rFonts w:hint="eastAsia" w:hAnsi="宋体" w:cs="宋体"/>
          <w:highlight w:val="none"/>
        </w:rPr>
        <w:t>初步核算，全市实现地区生产总值125.05亿元，同比增长10.2%，其中，第一产业增加值25.9亿元，增长4.2%，第二产业增加值50.14亿元，增长15.4%（其中，工业增加值41.07亿元，增长17.8%，建筑业增加值9.07亿元，增长5.5%），第三产业增加值49亿元，增长7.8%。三次产业对GDP增长的贡献率分别为7.9%、61.6%和30.5%，分别拉动GDP增长0.81%、6.28%和3.11%。三产比重由去年的21.3 ∶38.9 ∶39.8调整为20.7 ∶40.1 ∶39.2。按常住人口计算，人均地区生产总值38009元，同比增长9.5%，按平均汇率折算为5853.3美元。在第三产业中，交通运输、仓储和邮政业增加值增长20.1%，批发和零售业增加值增长7.0%，住宿和餐饮业增加值增长6.5%，金融业增加值增长11.2%，房地产业增加值增长4.2%，其他营利性服务业增加值增长5.5%，非营利性服务业增加值增长6.1%。民营经济增加值95.53亿元，同比增长10.5%，占全市地区生产总值的比重为76.4%。</w:t>
      </w:r>
    </w:p>
    <w:p w14:paraId="129BF56E">
      <w:pPr>
        <w:jc w:val="center"/>
        <w:rPr>
          <w:rFonts w:hint="eastAsia" w:hAnsi="宋体" w:cs="宋体"/>
          <w:b w:val="0"/>
          <w:bCs w:val="0"/>
          <w:highlight w:val="none"/>
        </w:rPr>
      </w:pPr>
      <w:r>
        <w:rPr>
          <w:rFonts w:hint="eastAsia" w:hAnsi="宋体" w:cs="宋体"/>
          <w:b w:val="0"/>
          <w:bCs w:val="0"/>
          <w:highlight w:val="none"/>
        </w:rPr>
        <w:t>2015年南雄市地区生产总值</w:t>
      </w:r>
    </w:p>
    <w:p w14:paraId="7FE12C51">
      <w:pPr>
        <w:rPr>
          <w:rFonts w:hint="eastAsia" w:hAnsi="宋体" w:cs="宋体"/>
          <w:b w:val="0"/>
          <w:bCs w:val="0"/>
          <w:highlight w:val="none"/>
        </w:rPr>
      </w:pPr>
      <w:r>
        <w:rPr>
          <w:rFonts w:hint="eastAsia" w:hAnsi="宋体" w:cs="宋体"/>
          <w:b w:val="0"/>
          <w:bCs w:val="0"/>
          <w:highlight w:val="none"/>
        </w:rPr>
        <w:t>表38                                                    单位：亿元</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18"/>
        <w:gridCol w:w="1752"/>
        <w:gridCol w:w="2046"/>
      </w:tblGrid>
      <w:tr w14:paraId="432B6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4818" w:type="dxa"/>
            <w:noWrap w:val="0"/>
            <w:vAlign w:val="center"/>
          </w:tcPr>
          <w:p w14:paraId="533355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指         标</w:t>
            </w:r>
          </w:p>
        </w:tc>
        <w:tc>
          <w:tcPr>
            <w:tcW w:w="1752" w:type="dxa"/>
            <w:noWrap w:val="0"/>
            <w:vAlign w:val="center"/>
          </w:tcPr>
          <w:p w14:paraId="032867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2015年</w:t>
            </w:r>
          </w:p>
        </w:tc>
        <w:tc>
          <w:tcPr>
            <w:tcW w:w="2046" w:type="dxa"/>
            <w:noWrap w:val="0"/>
            <w:vAlign w:val="center"/>
          </w:tcPr>
          <w:p w14:paraId="4A095A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b w:val="0"/>
                <w:bCs w:val="0"/>
                <w:highlight w:val="none"/>
                <w:lang w:eastAsia="zh-CN"/>
              </w:rPr>
            </w:pPr>
            <w:r>
              <w:rPr>
                <w:rFonts w:hint="eastAsia"/>
                <w:b w:val="0"/>
                <w:bCs w:val="0"/>
                <w:highlight w:val="none"/>
              </w:rPr>
              <w:t xml:space="preserve">比上年  </w:t>
            </w:r>
            <w:r>
              <w:rPr>
                <w:rFonts w:hint="eastAsia"/>
                <w:b w:val="0"/>
                <w:bCs w:val="0"/>
                <w:highlight w:val="none"/>
                <w:lang w:eastAsia="zh-CN"/>
              </w:rPr>
              <w:t>（</w:t>
            </w:r>
            <w:r>
              <w:rPr>
                <w:rFonts w:hint="eastAsia"/>
                <w:b w:val="0"/>
                <w:bCs w:val="0"/>
                <w:highlight w:val="none"/>
              </w:rPr>
              <w:t>±%</w:t>
            </w:r>
            <w:r>
              <w:rPr>
                <w:rFonts w:hint="eastAsia"/>
                <w:b w:val="0"/>
                <w:bCs w:val="0"/>
                <w:highlight w:val="none"/>
                <w:lang w:eastAsia="zh-CN"/>
              </w:rPr>
              <w:t>）</w:t>
            </w:r>
          </w:p>
        </w:tc>
      </w:tr>
      <w:tr w14:paraId="421A2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818" w:type="dxa"/>
            <w:noWrap w:val="0"/>
            <w:vAlign w:val="top"/>
          </w:tcPr>
          <w:p w14:paraId="128675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地区生产总值</w:t>
            </w:r>
          </w:p>
        </w:tc>
        <w:tc>
          <w:tcPr>
            <w:tcW w:w="1752" w:type="dxa"/>
            <w:noWrap w:val="0"/>
            <w:vAlign w:val="center"/>
          </w:tcPr>
          <w:p w14:paraId="4DEBDB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125.05</w:t>
            </w:r>
          </w:p>
        </w:tc>
        <w:tc>
          <w:tcPr>
            <w:tcW w:w="2046" w:type="dxa"/>
            <w:noWrap w:val="0"/>
            <w:vAlign w:val="bottom"/>
          </w:tcPr>
          <w:p w14:paraId="0EC012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10.2</w:t>
            </w:r>
          </w:p>
        </w:tc>
      </w:tr>
      <w:tr w14:paraId="1FC03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53DCB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b w:val="0"/>
                <w:bCs w:val="0"/>
                <w:highlight w:val="none"/>
              </w:rPr>
            </w:pPr>
            <w:r>
              <w:rPr>
                <w:rFonts w:hint="eastAsia"/>
                <w:b w:val="0"/>
                <w:bCs w:val="0"/>
                <w:highlight w:val="none"/>
              </w:rPr>
              <w:t>第一产业</w:t>
            </w:r>
          </w:p>
        </w:tc>
        <w:tc>
          <w:tcPr>
            <w:tcW w:w="1752" w:type="dxa"/>
            <w:noWrap w:val="0"/>
            <w:vAlign w:val="bottom"/>
          </w:tcPr>
          <w:p w14:paraId="4EE15A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25.90</w:t>
            </w:r>
          </w:p>
        </w:tc>
        <w:tc>
          <w:tcPr>
            <w:tcW w:w="2046" w:type="dxa"/>
            <w:noWrap w:val="0"/>
            <w:vAlign w:val="bottom"/>
          </w:tcPr>
          <w:p w14:paraId="717E5D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4.2</w:t>
            </w:r>
          </w:p>
        </w:tc>
      </w:tr>
      <w:tr w14:paraId="479CA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4818" w:type="dxa"/>
            <w:noWrap w:val="0"/>
            <w:vAlign w:val="top"/>
          </w:tcPr>
          <w:p w14:paraId="308E4B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第二产业</w:t>
            </w:r>
          </w:p>
        </w:tc>
        <w:tc>
          <w:tcPr>
            <w:tcW w:w="1752" w:type="dxa"/>
            <w:noWrap w:val="0"/>
            <w:vAlign w:val="bottom"/>
          </w:tcPr>
          <w:p w14:paraId="60F715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50.14</w:t>
            </w:r>
          </w:p>
        </w:tc>
        <w:tc>
          <w:tcPr>
            <w:tcW w:w="2046" w:type="dxa"/>
            <w:noWrap w:val="0"/>
            <w:vAlign w:val="bottom"/>
          </w:tcPr>
          <w:p w14:paraId="4EC52A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15.4</w:t>
            </w:r>
          </w:p>
        </w:tc>
      </w:tr>
      <w:tr w14:paraId="62F26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2A87AA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工业</w:t>
            </w:r>
          </w:p>
        </w:tc>
        <w:tc>
          <w:tcPr>
            <w:tcW w:w="1752" w:type="dxa"/>
            <w:noWrap w:val="0"/>
            <w:vAlign w:val="bottom"/>
          </w:tcPr>
          <w:p w14:paraId="6220F0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41.07</w:t>
            </w:r>
          </w:p>
        </w:tc>
        <w:tc>
          <w:tcPr>
            <w:tcW w:w="2046" w:type="dxa"/>
            <w:noWrap w:val="0"/>
            <w:vAlign w:val="bottom"/>
          </w:tcPr>
          <w:p w14:paraId="77E2D0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17.8</w:t>
            </w:r>
          </w:p>
        </w:tc>
      </w:tr>
      <w:tr w14:paraId="7A454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7F3CFA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建筑业</w:t>
            </w:r>
          </w:p>
        </w:tc>
        <w:tc>
          <w:tcPr>
            <w:tcW w:w="1752" w:type="dxa"/>
            <w:noWrap w:val="0"/>
            <w:vAlign w:val="bottom"/>
          </w:tcPr>
          <w:p w14:paraId="341318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9.07</w:t>
            </w:r>
          </w:p>
        </w:tc>
        <w:tc>
          <w:tcPr>
            <w:tcW w:w="2046" w:type="dxa"/>
            <w:noWrap w:val="0"/>
            <w:vAlign w:val="bottom"/>
          </w:tcPr>
          <w:p w14:paraId="20271C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w:t>
            </w:r>
          </w:p>
        </w:tc>
      </w:tr>
      <w:tr w14:paraId="2F802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28040E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第三产业</w:t>
            </w:r>
          </w:p>
        </w:tc>
        <w:tc>
          <w:tcPr>
            <w:tcW w:w="1752" w:type="dxa"/>
            <w:noWrap w:val="0"/>
            <w:vAlign w:val="bottom"/>
          </w:tcPr>
          <w:p w14:paraId="0726CF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49.00</w:t>
            </w:r>
          </w:p>
        </w:tc>
        <w:tc>
          <w:tcPr>
            <w:tcW w:w="2046" w:type="dxa"/>
            <w:noWrap w:val="0"/>
            <w:vAlign w:val="bottom"/>
          </w:tcPr>
          <w:p w14:paraId="2CE0A6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7.8</w:t>
            </w:r>
          </w:p>
        </w:tc>
      </w:tr>
      <w:tr w14:paraId="7C81B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32BEF9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交通运输、仓储和邮政业</w:t>
            </w:r>
          </w:p>
        </w:tc>
        <w:tc>
          <w:tcPr>
            <w:tcW w:w="1752" w:type="dxa"/>
            <w:noWrap w:val="0"/>
            <w:vAlign w:val="bottom"/>
          </w:tcPr>
          <w:p w14:paraId="310511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5.55</w:t>
            </w:r>
          </w:p>
        </w:tc>
        <w:tc>
          <w:tcPr>
            <w:tcW w:w="2046" w:type="dxa"/>
            <w:noWrap w:val="0"/>
            <w:vAlign w:val="bottom"/>
          </w:tcPr>
          <w:p w14:paraId="2DFBD5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w:t>
            </w:r>
          </w:p>
        </w:tc>
      </w:tr>
      <w:tr w14:paraId="2FE6B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778582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批发和零售业</w:t>
            </w:r>
          </w:p>
        </w:tc>
        <w:tc>
          <w:tcPr>
            <w:tcW w:w="1752" w:type="dxa"/>
            <w:noWrap w:val="0"/>
            <w:vAlign w:val="bottom"/>
          </w:tcPr>
          <w:p w14:paraId="4E356C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13.44</w:t>
            </w:r>
          </w:p>
        </w:tc>
        <w:tc>
          <w:tcPr>
            <w:tcW w:w="2046" w:type="dxa"/>
            <w:noWrap w:val="0"/>
            <w:vAlign w:val="bottom"/>
          </w:tcPr>
          <w:p w14:paraId="38B649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w:t>
            </w:r>
          </w:p>
        </w:tc>
      </w:tr>
      <w:tr w14:paraId="49F52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4798D6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住宿和餐饮业</w:t>
            </w:r>
          </w:p>
        </w:tc>
        <w:tc>
          <w:tcPr>
            <w:tcW w:w="1752" w:type="dxa"/>
            <w:noWrap w:val="0"/>
            <w:vAlign w:val="bottom"/>
          </w:tcPr>
          <w:p w14:paraId="325417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3.20</w:t>
            </w:r>
          </w:p>
        </w:tc>
        <w:tc>
          <w:tcPr>
            <w:tcW w:w="2046" w:type="dxa"/>
            <w:noWrap w:val="0"/>
            <w:vAlign w:val="bottom"/>
          </w:tcPr>
          <w:p w14:paraId="5BBB0A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w:t>
            </w:r>
          </w:p>
        </w:tc>
      </w:tr>
      <w:tr w14:paraId="53A96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2EE3FF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金融业</w:t>
            </w:r>
          </w:p>
        </w:tc>
        <w:tc>
          <w:tcPr>
            <w:tcW w:w="1752" w:type="dxa"/>
            <w:noWrap w:val="0"/>
            <w:vAlign w:val="bottom"/>
          </w:tcPr>
          <w:p w14:paraId="7D45C4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3.09</w:t>
            </w:r>
          </w:p>
        </w:tc>
        <w:tc>
          <w:tcPr>
            <w:tcW w:w="2046" w:type="dxa"/>
            <w:noWrap w:val="0"/>
            <w:vAlign w:val="bottom"/>
          </w:tcPr>
          <w:p w14:paraId="58CE21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w:t>
            </w:r>
          </w:p>
        </w:tc>
      </w:tr>
      <w:tr w14:paraId="229AE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6E89C9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房地产业</w:t>
            </w:r>
          </w:p>
        </w:tc>
        <w:tc>
          <w:tcPr>
            <w:tcW w:w="1752" w:type="dxa"/>
            <w:noWrap w:val="0"/>
            <w:vAlign w:val="bottom"/>
          </w:tcPr>
          <w:p w14:paraId="0C91E7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5.63</w:t>
            </w:r>
          </w:p>
        </w:tc>
        <w:tc>
          <w:tcPr>
            <w:tcW w:w="2046" w:type="dxa"/>
            <w:noWrap w:val="0"/>
            <w:vAlign w:val="bottom"/>
          </w:tcPr>
          <w:p w14:paraId="6952CD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w:t>
            </w:r>
          </w:p>
        </w:tc>
      </w:tr>
      <w:tr w14:paraId="44954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09C3DB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其他营利性服务业</w:t>
            </w:r>
          </w:p>
        </w:tc>
        <w:tc>
          <w:tcPr>
            <w:tcW w:w="1752" w:type="dxa"/>
            <w:noWrap w:val="0"/>
            <w:vAlign w:val="bottom"/>
          </w:tcPr>
          <w:p w14:paraId="2AF9DF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5.59</w:t>
            </w:r>
          </w:p>
        </w:tc>
        <w:tc>
          <w:tcPr>
            <w:tcW w:w="2046" w:type="dxa"/>
            <w:noWrap w:val="0"/>
            <w:vAlign w:val="bottom"/>
          </w:tcPr>
          <w:p w14:paraId="7524FC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w:t>
            </w:r>
          </w:p>
        </w:tc>
      </w:tr>
      <w:tr w14:paraId="45EF3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8" w:type="dxa"/>
            <w:noWrap w:val="0"/>
            <w:vAlign w:val="top"/>
          </w:tcPr>
          <w:p w14:paraId="6924CC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非营利性服务业</w:t>
            </w:r>
          </w:p>
        </w:tc>
        <w:tc>
          <w:tcPr>
            <w:tcW w:w="1752" w:type="dxa"/>
            <w:noWrap w:val="0"/>
            <w:vAlign w:val="bottom"/>
          </w:tcPr>
          <w:p w14:paraId="1370DC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12.50</w:t>
            </w:r>
          </w:p>
        </w:tc>
        <w:tc>
          <w:tcPr>
            <w:tcW w:w="2046" w:type="dxa"/>
            <w:noWrap w:val="0"/>
            <w:vAlign w:val="bottom"/>
          </w:tcPr>
          <w:p w14:paraId="5F280B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w:t>
            </w:r>
          </w:p>
        </w:tc>
      </w:tr>
    </w:tbl>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6"/>
      </w:tblGrid>
      <w:tr w14:paraId="48818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4BDC6379">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849880"/>
                  <wp:effectExtent l="0" t="0" r="8890" b="7620"/>
                  <wp:docPr id="130" name="图片 307" descr="地区生产总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07" descr="地区生产总值"/>
                          <pic:cNvPicPr>
                            <a:picLocks noChangeAspect="1"/>
                          </pic:cNvPicPr>
                        </pic:nvPicPr>
                        <pic:blipFill>
                          <a:blip r:embed="rId135"/>
                          <a:stretch>
                            <a:fillRect/>
                          </a:stretch>
                        </pic:blipFill>
                        <pic:spPr>
                          <a:xfrm>
                            <a:off x="0" y="0"/>
                            <a:ext cx="3420110" cy="2849880"/>
                          </a:xfrm>
                          <a:prstGeom prst="rect">
                            <a:avLst/>
                          </a:prstGeom>
                          <a:noFill/>
                          <a:ln>
                            <a:noFill/>
                          </a:ln>
                        </pic:spPr>
                      </pic:pic>
                    </a:graphicData>
                  </a:graphic>
                </wp:inline>
              </w:drawing>
            </w:r>
          </w:p>
        </w:tc>
      </w:tr>
      <w:tr w14:paraId="5D20A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22C9935">
            <w:pPr>
              <w:jc w:val="center"/>
              <w:rPr>
                <w:rFonts w:hint="eastAsia" w:hAnsi="宋体" w:cs="宋体"/>
                <w:highlight w:val="none"/>
                <w:vertAlign w:val="baseline"/>
              </w:rPr>
            </w:pPr>
            <w:r>
              <w:rPr>
                <w:rFonts w:hint="eastAsia" w:hAnsi="宋体" w:cs="宋体"/>
                <w:highlight w:val="none"/>
                <w:vertAlign w:val="baseline"/>
              </w:rPr>
              <w:t>2010—2015年南雄市地区生产总值及其增长速度</w:t>
            </w:r>
          </w:p>
        </w:tc>
      </w:tr>
    </w:tbl>
    <w:p w14:paraId="680AF448">
      <w:pPr>
        <w:rPr>
          <w:rFonts w:hint="eastAsia" w:hAnsi="宋体" w:cs="宋体"/>
          <w:highlight w:val="none"/>
        </w:rPr>
      </w:pPr>
      <w:r>
        <w:rPr>
          <w:rFonts w:hint="eastAsia" w:hAnsi="宋体" w:cs="宋体"/>
          <w:highlight w:val="none"/>
        </w:rPr>
        <w:t>全年居民消费价格总水平上涨1.2%，涨幅比上年回落0.9个百分点。其中：消费品价格上涨0.5%，服务项目价格上涨3.4%，非食品价格上涨0.9%。八大类居民消费（服务）商品价格中，呈现“七涨一跌”格局，具体来看：食品价格上涨1.7%，烟酒价格上涨0.9%，衣着价格上涨1.2%，家庭设备用品及维修服务价格上涨0.4%，医疗保健和个人用品价格上涨1.1%，娱乐教育文化用品和服务价格上涨1.5%，居住上涨1.5%，交通通信价格下降1.0%。</w:t>
      </w:r>
    </w:p>
    <w:p w14:paraId="50266F06">
      <w:pPr>
        <w:rPr>
          <w:rFonts w:hint="eastAsia" w:hAnsi="宋体" w:cs="宋体"/>
          <w:highlight w:val="none"/>
        </w:rPr>
      </w:pPr>
      <w:r>
        <w:rPr>
          <w:rFonts w:hint="eastAsia" w:hAnsi="宋体" w:cs="宋体"/>
          <w:highlight w:val="none"/>
        </w:rPr>
        <w:t>年末从业人员18.25万人，增加0.15万人，其中，第一产业9.44万人</w:t>
      </w:r>
      <w:r>
        <w:rPr>
          <w:rFonts w:hint="eastAsia" w:hAnsi="宋体" w:cs="宋体"/>
          <w:highlight w:val="none"/>
          <w:lang w:eastAsia="zh-CN"/>
        </w:rPr>
        <w:t>，</w:t>
      </w:r>
      <w:r>
        <w:rPr>
          <w:rFonts w:hint="eastAsia" w:hAnsi="宋体" w:cs="宋体"/>
          <w:highlight w:val="none"/>
        </w:rPr>
        <w:t>减少0.05万人；第二产业3.29万人，增加0.22万人；第三产业5.52万人，减少0.01万人。城镇新增就业人数5025人，农村劳动力转移6358人。城镇登记失业率2.29%</w:t>
      </w:r>
      <w:r>
        <w:rPr>
          <w:rFonts w:hint="eastAsia" w:hAnsi="宋体" w:cs="宋体"/>
          <w:highlight w:val="none"/>
          <w:lang w:eastAsia="zh-CN"/>
        </w:rPr>
        <w:t>，</w:t>
      </w:r>
      <w:r>
        <w:rPr>
          <w:rFonts w:hint="eastAsia" w:hAnsi="宋体" w:cs="宋体"/>
          <w:highlight w:val="none"/>
        </w:rPr>
        <w:t>与去年持平。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1933D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34EB1936">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1871345"/>
                  <wp:effectExtent l="0" t="0" r="8890" b="14605"/>
                  <wp:docPr id="131" name="图片 308" descr="居民消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08" descr="居民消费"/>
                          <pic:cNvPicPr>
                            <a:picLocks noChangeAspect="1"/>
                          </pic:cNvPicPr>
                        </pic:nvPicPr>
                        <pic:blipFill>
                          <a:blip r:embed="rId136"/>
                          <a:stretch>
                            <a:fillRect/>
                          </a:stretch>
                        </pic:blipFill>
                        <pic:spPr>
                          <a:xfrm>
                            <a:off x="0" y="0"/>
                            <a:ext cx="3420110" cy="1871345"/>
                          </a:xfrm>
                          <a:prstGeom prst="rect">
                            <a:avLst/>
                          </a:prstGeom>
                          <a:noFill/>
                          <a:ln>
                            <a:noFill/>
                          </a:ln>
                        </pic:spPr>
                      </pic:pic>
                    </a:graphicData>
                  </a:graphic>
                </wp:inline>
              </w:drawing>
            </w:r>
          </w:p>
        </w:tc>
      </w:tr>
      <w:tr w14:paraId="3FF8D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1A07168">
            <w:pPr>
              <w:jc w:val="center"/>
              <w:rPr>
                <w:rFonts w:hint="eastAsia" w:hAnsi="宋体" w:cs="宋体"/>
                <w:highlight w:val="none"/>
                <w:vertAlign w:val="baseline"/>
              </w:rPr>
            </w:pPr>
            <w:r>
              <w:rPr>
                <w:rFonts w:hint="eastAsia" w:hAnsi="宋体" w:cs="宋体"/>
                <w:highlight w:val="none"/>
                <w:vertAlign w:val="baseline"/>
              </w:rPr>
              <w:t>2010—2015年南雄市居民消费价格涨跌幅度</w:t>
            </w:r>
          </w:p>
        </w:tc>
      </w:tr>
      <w:tr w14:paraId="508B3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5DD5EE4">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54225"/>
                  <wp:effectExtent l="0" t="0" r="8890" b="3175"/>
                  <wp:docPr id="132" name="图片 309" descr="公共财政预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09" descr="公共财政预算"/>
                          <pic:cNvPicPr>
                            <a:picLocks noChangeAspect="1"/>
                          </pic:cNvPicPr>
                        </pic:nvPicPr>
                        <pic:blipFill>
                          <a:blip r:embed="rId137"/>
                          <a:stretch>
                            <a:fillRect/>
                          </a:stretch>
                        </pic:blipFill>
                        <pic:spPr>
                          <a:xfrm>
                            <a:off x="0" y="0"/>
                            <a:ext cx="3420110" cy="2054225"/>
                          </a:xfrm>
                          <a:prstGeom prst="rect">
                            <a:avLst/>
                          </a:prstGeom>
                          <a:noFill/>
                          <a:ln>
                            <a:noFill/>
                          </a:ln>
                        </pic:spPr>
                      </pic:pic>
                    </a:graphicData>
                  </a:graphic>
                </wp:inline>
              </w:drawing>
            </w:r>
          </w:p>
        </w:tc>
      </w:tr>
      <w:tr w14:paraId="426F3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2657B72">
            <w:pPr>
              <w:jc w:val="center"/>
              <w:rPr>
                <w:rFonts w:hint="eastAsia" w:hAnsi="宋体" w:cs="宋体"/>
                <w:highlight w:val="none"/>
                <w:vertAlign w:val="baseline"/>
              </w:rPr>
            </w:pPr>
            <w:r>
              <w:rPr>
                <w:rFonts w:hint="eastAsia" w:hAnsi="宋体" w:cs="宋体"/>
                <w:highlight w:val="none"/>
                <w:vertAlign w:val="baseline"/>
              </w:rPr>
              <w:t>2010—2015年南雄市公共财政预算收入及其增长速度</w:t>
            </w:r>
          </w:p>
        </w:tc>
      </w:tr>
    </w:tbl>
    <w:p w14:paraId="59D0C88E">
      <w:pPr>
        <w:rPr>
          <w:rFonts w:hint="eastAsia" w:hAnsi="宋体" w:eastAsia="宋体" w:cs="宋体"/>
          <w:highlight w:val="none"/>
          <w:lang w:eastAsia="zh-CN"/>
        </w:rPr>
      </w:pPr>
      <w:r>
        <w:rPr>
          <w:rFonts w:hint="eastAsia" w:hAnsi="宋体" w:cs="宋体"/>
          <w:highlight w:val="none"/>
        </w:rPr>
        <w:t>全年全口径财政总收入32.33亿元，增长46.4%。公共财政预算收入6.0亿元，增长7.6%。其中，税收收入3.81亿元，增长1.1%。地方公共财政预算支出27.72亿元，增长47.0%。其中</w:t>
      </w:r>
      <w:r>
        <w:rPr>
          <w:rFonts w:hint="eastAsia" w:hAnsi="宋体" w:cs="宋体"/>
          <w:highlight w:val="none"/>
          <w:lang w:eastAsia="zh-CN"/>
        </w:rPr>
        <w:t>，</w:t>
      </w:r>
      <w:r>
        <w:rPr>
          <w:rFonts w:hint="eastAsia" w:hAnsi="宋体" w:cs="宋体"/>
          <w:highlight w:val="none"/>
        </w:rPr>
        <w:t>教育支出5.19亿元，增长11.3%；文化体育与传媒支出0.54亿元，增长3.3%；医疗卫生与计划生育支出2.97亿元，增长31.2%；城乡社区支出0.6，增长1.6倍；农林水支出7.67亿元，增长2.7倍；交通运输支出1.27亿元，增长48.3%；社会保障和就业支出2.53亿元，增长31.8%。民生类资金支出21.79亿元，占公共财政预算支出的78.6%。</w:t>
      </w:r>
    </w:p>
    <w:p w14:paraId="76AA00E9">
      <w:pPr>
        <w:rPr>
          <w:rFonts w:hint="eastAsia" w:hAnsi="宋体" w:cs="宋体"/>
          <w:highlight w:val="none"/>
        </w:rPr>
      </w:pPr>
      <w:r>
        <w:rPr>
          <w:rFonts w:hint="eastAsia" w:hAnsi="宋体" w:cs="宋体"/>
          <w:highlight w:val="none"/>
        </w:rPr>
        <w:t>经济社会发展存在的主要问题：经济总量仍然偏小，欠发达的面貌仍未得到根本改变；招商引资、特色产业、旅游发展等仍面临产业链延伸不够和配套缺乏问题；公共服务供给还不能满足人民群众日益增长的需求，保障和改善民生的任务依然艰巨。</w:t>
      </w:r>
    </w:p>
    <w:p w14:paraId="0ECF569A">
      <w:pPr>
        <w:pStyle w:val="4"/>
        <w:bidi w:val="0"/>
        <w:rPr>
          <w:rFonts w:hint="eastAsia"/>
          <w:highlight w:val="none"/>
        </w:rPr>
      </w:pPr>
      <w:r>
        <w:rPr>
          <w:rFonts w:hint="eastAsia"/>
          <w:highlight w:val="none"/>
        </w:rPr>
        <w:t>二、农业</w:t>
      </w:r>
    </w:p>
    <w:p w14:paraId="106D3826">
      <w:pPr>
        <w:rPr>
          <w:rFonts w:hint="eastAsia" w:hAnsi="宋体" w:cs="宋体"/>
          <w:highlight w:val="none"/>
        </w:rPr>
      </w:pPr>
      <w:r>
        <w:rPr>
          <w:rFonts w:hint="eastAsia" w:hAnsi="宋体" w:cs="宋体"/>
          <w:highlight w:val="none"/>
        </w:rPr>
        <w:t>全市完成农林牧渔业总产值41.92亿元，同比增长4.0%。实现农林牧渔业增加值25.9亿元，同比增长4.2%</w:t>
      </w:r>
      <w:r>
        <w:rPr>
          <w:rFonts w:hint="eastAsia" w:hAnsi="宋体" w:cs="宋体"/>
          <w:highlight w:val="none"/>
          <w:lang w:eastAsia="zh-CN"/>
        </w:rPr>
        <w:t>，</w:t>
      </w:r>
      <w:r>
        <w:rPr>
          <w:rFonts w:hint="eastAsia" w:hAnsi="宋体" w:cs="宋体"/>
          <w:highlight w:val="none"/>
        </w:rPr>
        <w:t>其中，农业增加值19.24亿元，增长4.2%；林业增加值2.16亿元，增长6.5%；牧业增加值3.32亿元，增长2.0%；渔业增加值0.86亿元，增长4.8%；农林牧渔服务业增加值0.32亿元，增长6.5%。</w:t>
      </w:r>
    </w:p>
    <w:p w14:paraId="3BEB0318">
      <w:pPr>
        <w:rPr>
          <w:rFonts w:hint="eastAsia" w:hAnsi="宋体" w:cs="宋体"/>
          <w:highlight w:val="none"/>
        </w:rPr>
      </w:pPr>
      <w:r>
        <w:rPr>
          <w:rFonts w:hint="eastAsia" w:hAnsi="宋体" w:cs="宋体"/>
          <w:highlight w:val="none"/>
        </w:rPr>
        <w:t>初步统计，全年粮食作物播种面积54.66万亩，同比增长1.5%</w:t>
      </w:r>
      <w:r>
        <w:rPr>
          <w:rFonts w:hint="eastAsia" w:hAnsi="宋体" w:cs="宋体"/>
          <w:highlight w:val="none"/>
          <w:lang w:eastAsia="zh-CN"/>
        </w:rPr>
        <w:t>，</w:t>
      </w:r>
      <w:r>
        <w:rPr>
          <w:rFonts w:hint="eastAsia" w:hAnsi="宋体" w:cs="宋体"/>
          <w:highlight w:val="none"/>
        </w:rPr>
        <w:t>粮食总产量21.84万吨</w:t>
      </w:r>
      <w:r>
        <w:rPr>
          <w:rFonts w:hint="eastAsia" w:hAnsi="宋体" w:cs="宋体"/>
          <w:highlight w:val="none"/>
          <w:lang w:eastAsia="zh-CN"/>
        </w:rPr>
        <w:t>，</w:t>
      </w:r>
      <w:r>
        <w:rPr>
          <w:rFonts w:hint="eastAsia" w:hAnsi="宋体" w:cs="宋体"/>
          <w:highlight w:val="none"/>
        </w:rPr>
        <w:t>同比增长3.0%。全年水稻播种面积45.27万亩，总产量19.72万吨，同比分别增长1.6%和2.9%；黄烟种植面积14.4万亩，总产量2.4万吨，同比分别下降0.3%和0.6%；蔬菜播种面积15.96万亩，总产量27.37万吨，同比分别增长18.0%和18.2%；生猪存栏27.8万头，同比增长25.9%</w:t>
      </w:r>
      <w:r>
        <w:rPr>
          <w:rFonts w:hint="eastAsia" w:hAnsi="宋体" w:cs="宋体"/>
          <w:highlight w:val="none"/>
          <w:lang w:eastAsia="zh-CN"/>
        </w:rPr>
        <w:t>，</w:t>
      </w:r>
      <w:r>
        <w:rPr>
          <w:rFonts w:hint="eastAsia" w:hAnsi="宋体" w:cs="宋体"/>
          <w:highlight w:val="none"/>
        </w:rPr>
        <w:t>出栏39.73万头，同比增长5%；家禽存栏113.68万只，同比增长5.4%，出栏473.2万只，同比增长2.1%。肉类总产量3.69万吨，同比增长4.5%。</w:t>
      </w:r>
    </w:p>
    <w:p w14:paraId="667AEB0E">
      <w:pPr>
        <w:jc w:val="center"/>
        <w:rPr>
          <w:rFonts w:hint="eastAsia" w:hAnsi="宋体" w:cs="宋体"/>
          <w:highlight w:val="none"/>
        </w:rPr>
      </w:pPr>
      <w:r>
        <w:rPr>
          <w:rFonts w:hint="eastAsia" w:hAnsi="宋体" w:cs="宋体"/>
          <w:highlight w:val="none"/>
        </w:rPr>
        <w:t>2015年南雄市主要农产品产量</w:t>
      </w:r>
    </w:p>
    <w:p w14:paraId="18CE01C9">
      <w:pPr>
        <w:rPr>
          <w:rFonts w:hint="eastAsia" w:hAnsi="宋体" w:cs="宋体"/>
          <w:highlight w:val="none"/>
        </w:rPr>
      </w:pPr>
      <w:r>
        <w:rPr>
          <w:rFonts w:hint="eastAsia" w:hAnsi="宋体" w:cs="宋体"/>
          <w:highlight w:val="none"/>
        </w:rPr>
        <w:t>表39</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78"/>
        <w:gridCol w:w="1739"/>
        <w:gridCol w:w="1915"/>
        <w:gridCol w:w="2184"/>
      </w:tblGrid>
      <w:tr w14:paraId="65CE2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2F79EC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农产品名称</w:t>
            </w:r>
          </w:p>
        </w:tc>
        <w:tc>
          <w:tcPr>
            <w:tcW w:w="1739" w:type="dxa"/>
            <w:noWrap w:val="0"/>
            <w:vAlign w:val="center"/>
          </w:tcPr>
          <w:p w14:paraId="6E64F8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计量单位</w:t>
            </w:r>
          </w:p>
        </w:tc>
        <w:tc>
          <w:tcPr>
            <w:tcW w:w="1915" w:type="dxa"/>
            <w:noWrap w:val="0"/>
            <w:vAlign w:val="center"/>
          </w:tcPr>
          <w:p w14:paraId="5473F3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产量</w:t>
            </w:r>
          </w:p>
        </w:tc>
        <w:tc>
          <w:tcPr>
            <w:tcW w:w="2184" w:type="dxa"/>
            <w:noWrap w:val="0"/>
            <w:vAlign w:val="center"/>
          </w:tcPr>
          <w:p w14:paraId="3E22B3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比上年（±%）</w:t>
            </w:r>
          </w:p>
        </w:tc>
      </w:tr>
      <w:tr w14:paraId="3B70B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63DCDA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粮食</w:t>
            </w:r>
          </w:p>
        </w:tc>
        <w:tc>
          <w:tcPr>
            <w:tcW w:w="1739" w:type="dxa"/>
            <w:noWrap w:val="0"/>
            <w:vAlign w:val="center"/>
          </w:tcPr>
          <w:p w14:paraId="6A53E5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67F7AB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21.84</w:t>
            </w:r>
          </w:p>
        </w:tc>
        <w:tc>
          <w:tcPr>
            <w:tcW w:w="2184" w:type="dxa"/>
            <w:noWrap w:val="0"/>
            <w:vAlign w:val="top"/>
          </w:tcPr>
          <w:p w14:paraId="311231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3.0</w:t>
            </w:r>
          </w:p>
        </w:tc>
      </w:tr>
      <w:tr w14:paraId="13227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33CE5B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#稻谷</w:t>
            </w:r>
          </w:p>
        </w:tc>
        <w:tc>
          <w:tcPr>
            <w:tcW w:w="1739" w:type="dxa"/>
            <w:noWrap w:val="0"/>
            <w:vAlign w:val="center"/>
          </w:tcPr>
          <w:p w14:paraId="271A31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1DF1F8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19.72</w:t>
            </w:r>
          </w:p>
        </w:tc>
        <w:tc>
          <w:tcPr>
            <w:tcW w:w="2184" w:type="dxa"/>
            <w:noWrap w:val="0"/>
            <w:vAlign w:val="top"/>
          </w:tcPr>
          <w:p w14:paraId="59B818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2.9</w:t>
            </w:r>
          </w:p>
        </w:tc>
      </w:tr>
      <w:tr w14:paraId="35C3E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750819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蔬菜</w:t>
            </w:r>
          </w:p>
        </w:tc>
        <w:tc>
          <w:tcPr>
            <w:tcW w:w="1739" w:type="dxa"/>
            <w:noWrap w:val="0"/>
            <w:vAlign w:val="center"/>
          </w:tcPr>
          <w:p w14:paraId="121302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15FEEA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27.37</w:t>
            </w:r>
          </w:p>
        </w:tc>
        <w:tc>
          <w:tcPr>
            <w:tcW w:w="2184" w:type="dxa"/>
            <w:noWrap w:val="0"/>
            <w:vAlign w:val="top"/>
          </w:tcPr>
          <w:p w14:paraId="7E41F3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18.2</w:t>
            </w:r>
          </w:p>
        </w:tc>
      </w:tr>
      <w:tr w14:paraId="3E1B9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2A1BA9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花生</w:t>
            </w:r>
          </w:p>
        </w:tc>
        <w:tc>
          <w:tcPr>
            <w:tcW w:w="1739" w:type="dxa"/>
            <w:noWrap w:val="0"/>
            <w:vAlign w:val="center"/>
          </w:tcPr>
          <w:p w14:paraId="1C4C2A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49DCF8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2.59</w:t>
            </w:r>
          </w:p>
        </w:tc>
        <w:tc>
          <w:tcPr>
            <w:tcW w:w="2184" w:type="dxa"/>
            <w:noWrap w:val="0"/>
            <w:vAlign w:val="top"/>
          </w:tcPr>
          <w:p w14:paraId="6D5DED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w:t>
            </w:r>
          </w:p>
        </w:tc>
      </w:tr>
      <w:tr w14:paraId="267D2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329EC1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烟叶</w:t>
            </w:r>
          </w:p>
        </w:tc>
        <w:tc>
          <w:tcPr>
            <w:tcW w:w="1739" w:type="dxa"/>
            <w:noWrap w:val="0"/>
            <w:vAlign w:val="center"/>
          </w:tcPr>
          <w:p w14:paraId="43AD91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2465FE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2.41</w:t>
            </w:r>
          </w:p>
        </w:tc>
        <w:tc>
          <w:tcPr>
            <w:tcW w:w="2184" w:type="dxa"/>
            <w:noWrap w:val="0"/>
            <w:vAlign w:val="top"/>
          </w:tcPr>
          <w:p w14:paraId="7E9A21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-0.6</w:t>
            </w:r>
          </w:p>
        </w:tc>
      </w:tr>
      <w:tr w14:paraId="7A5C9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66472D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水果</w:t>
            </w:r>
          </w:p>
        </w:tc>
        <w:tc>
          <w:tcPr>
            <w:tcW w:w="1739" w:type="dxa"/>
            <w:noWrap w:val="0"/>
            <w:vAlign w:val="center"/>
          </w:tcPr>
          <w:p w14:paraId="1A5CE4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0745DB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3.16</w:t>
            </w:r>
          </w:p>
        </w:tc>
        <w:tc>
          <w:tcPr>
            <w:tcW w:w="2184" w:type="dxa"/>
            <w:noWrap w:val="0"/>
            <w:vAlign w:val="top"/>
          </w:tcPr>
          <w:p w14:paraId="766BCB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9.4</w:t>
            </w:r>
          </w:p>
        </w:tc>
      </w:tr>
      <w:tr w14:paraId="3AE90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1B5E98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农产品名称</w:t>
            </w:r>
          </w:p>
        </w:tc>
        <w:tc>
          <w:tcPr>
            <w:tcW w:w="1739" w:type="dxa"/>
            <w:noWrap w:val="0"/>
            <w:vAlign w:val="center"/>
          </w:tcPr>
          <w:p w14:paraId="6F0E7A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计量单位</w:t>
            </w:r>
          </w:p>
        </w:tc>
        <w:tc>
          <w:tcPr>
            <w:tcW w:w="1915" w:type="dxa"/>
            <w:noWrap w:val="0"/>
            <w:vAlign w:val="center"/>
          </w:tcPr>
          <w:p w14:paraId="130C15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产量</w:t>
            </w:r>
          </w:p>
        </w:tc>
        <w:tc>
          <w:tcPr>
            <w:tcW w:w="2184" w:type="dxa"/>
            <w:noWrap w:val="0"/>
            <w:vAlign w:val="center"/>
          </w:tcPr>
          <w:p w14:paraId="04F0C4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比上年（±%）</w:t>
            </w:r>
          </w:p>
        </w:tc>
      </w:tr>
      <w:tr w14:paraId="3967B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5991B3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茶叶</w:t>
            </w:r>
          </w:p>
        </w:tc>
        <w:tc>
          <w:tcPr>
            <w:tcW w:w="1739" w:type="dxa"/>
            <w:noWrap w:val="0"/>
            <w:vAlign w:val="center"/>
          </w:tcPr>
          <w:p w14:paraId="1D0ED3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吨</w:t>
            </w:r>
          </w:p>
        </w:tc>
        <w:tc>
          <w:tcPr>
            <w:tcW w:w="1915" w:type="dxa"/>
            <w:noWrap w:val="0"/>
            <w:vAlign w:val="top"/>
          </w:tcPr>
          <w:p w14:paraId="65B2E7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268</w:t>
            </w:r>
          </w:p>
        </w:tc>
        <w:tc>
          <w:tcPr>
            <w:tcW w:w="2184" w:type="dxa"/>
            <w:noWrap w:val="0"/>
            <w:vAlign w:val="top"/>
          </w:tcPr>
          <w:p w14:paraId="678E0D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1.3倍</w:t>
            </w:r>
          </w:p>
        </w:tc>
      </w:tr>
      <w:tr w14:paraId="35271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43EBBB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肉类</w:t>
            </w:r>
          </w:p>
        </w:tc>
        <w:tc>
          <w:tcPr>
            <w:tcW w:w="1739" w:type="dxa"/>
            <w:noWrap w:val="0"/>
            <w:vAlign w:val="center"/>
          </w:tcPr>
          <w:p w14:paraId="332639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242FD5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3.69</w:t>
            </w:r>
          </w:p>
        </w:tc>
        <w:tc>
          <w:tcPr>
            <w:tcW w:w="2184" w:type="dxa"/>
            <w:noWrap w:val="0"/>
            <w:vAlign w:val="top"/>
          </w:tcPr>
          <w:p w14:paraId="46BB3D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w:t>
            </w:r>
          </w:p>
        </w:tc>
      </w:tr>
      <w:tr w14:paraId="6BCF9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5DA445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#猪肉</w:t>
            </w:r>
          </w:p>
        </w:tc>
        <w:tc>
          <w:tcPr>
            <w:tcW w:w="1739" w:type="dxa"/>
            <w:noWrap w:val="0"/>
            <w:vAlign w:val="center"/>
          </w:tcPr>
          <w:p w14:paraId="30CBBA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05BE75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2.93</w:t>
            </w:r>
          </w:p>
        </w:tc>
        <w:tc>
          <w:tcPr>
            <w:tcW w:w="2184" w:type="dxa"/>
            <w:noWrap w:val="0"/>
            <w:vAlign w:val="top"/>
          </w:tcPr>
          <w:p w14:paraId="1C37D7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5.1</w:t>
            </w:r>
          </w:p>
        </w:tc>
      </w:tr>
      <w:tr w14:paraId="58F5D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778" w:type="dxa"/>
            <w:noWrap w:val="0"/>
            <w:vAlign w:val="center"/>
          </w:tcPr>
          <w:p w14:paraId="4E7E12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水产品</w:t>
            </w:r>
          </w:p>
        </w:tc>
        <w:tc>
          <w:tcPr>
            <w:tcW w:w="1739" w:type="dxa"/>
            <w:noWrap w:val="0"/>
            <w:vAlign w:val="center"/>
          </w:tcPr>
          <w:p w14:paraId="487495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915" w:type="dxa"/>
            <w:noWrap w:val="0"/>
            <w:vAlign w:val="top"/>
          </w:tcPr>
          <w:p w14:paraId="5A4F7A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1.72</w:t>
            </w:r>
          </w:p>
        </w:tc>
        <w:tc>
          <w:tcPr>
            <w:tcW w:w="2184" w:type="dxa"/>
            <w:noWrap w:val="0"/>
            <w:vAlign w:val="top"/>
          </w:tcPr>
          <w:p w14:paraId="2CEDF0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w:t>
            </w:r>
          </w:p>
        </w:tc>
      </w:tr>
    </w:tbl>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6"/>
      </w:tblGrid>
      <w:tr w14:paraId="64B62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DFF2E4A">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26920"/>
                  <wp:effectExtent l="0" t="0" r="8890" b="11430"/>
                  <wp:docPr id="133" name="图片 310" descr="工业增加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10" descr="工业增加值"/>
                          <pic:cNvPicPr>
                            <a:picLocks noChangeAspect="1"/>
                          </pic:cNvPicPr>
                        </pic:nvPicPr>
                        <pic:blipFill>
                          <a:blip r:embed="rId138"/>
                          <a:stretch>
                            <a:fillRect/>
                          </a:stretch>
                        </pic:blipFill>
                        <pic:spPr>
                          <a:xfrm>
                            <a:off x="0" y="0"/>
                            <a:ext cx="3420110" cy="2026920"/>
                          </a:xfrm>
                          <a:prstGeom prst="rect">
                            <a:avLst/>
                          </a:prstGeom>
                          <a:noFill/>
                          <a:ln>
                            <a:noFill/>
                          </a:ln>
                        </pic:spPr>
                      </pic:pic>
                    </a:graphicData>
                  </a:graphic>
                </wp:inline>
              </w:drawing>
            </w:r>
          </w:p>
        </w:tc>
      </w:tr>
      <w:tr w14:paraId="5A08D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C9A79A1">
            <w:pPr>
              <w:jc w:val="center"/>
              <w:rPr>
                <w:rFonts w:hint="eastAsia" w:hAnsi="宋体" w:cs="宋体"/>
                <w:highlight w:val="none"/>
                <w:vertAlign w:val="baseline"/>
              </w:rPr>
            </w:pPr>
            <w:r>
              <w:rPr>
                <w:rFonts w:hint="eastAsia" w:hAnsi="宋体" w:cs="宋体"/>
                <w:highlight w:val="none"/>
                <w:vertAlign w:val="baseline"/>
              </w:rPr>
              <w:t>2010—2015年全市工业增加值及其增长速度</w:t>
            </w:r>
          </w:p>
        </w:tc>
      </w:tr>
    </w:tbl>
    <w:p w14:paraId="01EDCAF6">
      <w:pPr>
        <w:rPr>
          <w:rFonts w:hint="eastAsia" w:hAnsi="宋体" w:cs="宋体"/>
          <w:highlight w:val="none"/>
        </w:rPr>
      </w:pPr>
      <w:r>
        <w:rPr>
          <w:rFonts w:hint="eastAsia" w:hAnsi="宋体" w:cs="宋体"/>
          <w:highlight w:val="none"/>
        </w:rPr>
        <w:t>化肥施用量（折纯）1.82万吨，同比下降0.35%。农药使用量898吨，同比下降1.8%。</w:t>
      </w:r>
    </w:p>
    <w:p w14:paraId="09351289">
      <w:pPr>
        <w:pStyle w:val="4"/>
        <w:bidi w:val="0"/>
        <w:rPr>
          <w:rFonts w:hint="eastAsia"/>
          <w:highlight w:val="none"/>
        </w:rPr>
      </w:pPr>
      <w:r>
        <w:rPr>
          <w:rFonts w:hint="eastAsia"/>
          <w:highlight w:val="none"/>
        </w:rPr>
        <w:t>三、工业和建筑业</w:t>
      </w:r>
    </w:p>
    <w:p w14:paraId="4561B5A5">
      <w:pPr>
        <w:rPr>
          <w:rFonts w:hint="eastAsia" w:hAnsi="宋体" w:cs="宋体"/>
          <w:highlight w:val="none"/>
        </w:rPr>
      </w:pPr>
      <w:r>
        <w:rPr>
          <w:rFonts w:hint="eastAsia" w:hAnsi="宋体" w:cs="宋体"/>
          <w:highlight w:val="none"/>
        </w:rPr>
        <w:t>全市完成工业总产值163.44亿元，同比增长18.9%；实现工业增加值41.07亿元，增长17.8%，其中，规模以上工业实现增加值36.01亿元，增长19.6%。年末全市规模以上工业企业有95家，比上年增加6家，规模以上工业企业完成总产值145.37亿元，增长20.4%，其中，国有企业2.7亿元，增长2.5%；股份制企业135.24亿元，增长21.5%；其他经济类型企业1.98亿元，下降14.5%；外商及港澳台企业5.46亿元，增长22.7%。</w:t>
      </w:r>
    </w:p>
    <w:p w14:paraId="67CDCFCC">
      <w:pPr>
        <w:rPr>
          <w:rFonts w:hint="eastAsia" w:hAnsi="宋体" w:cs="宋体"/>
          <w:highlight w:val="none"/>
        </w:rPr>
      </w:pPr>
      <w:r>
        <w:rPr>
          <w:rFonts w:hint="eastAsia" w:hAnsi="宋体" w:cs="宋体"/>
          <w:highlight w:val="none"/>
        </w:rPr>
        <w:t>园区一期试投产企业85家，其中，规模以上工业企业65家，完成工业总产值123.23亿元，增长26.6%；实现工业增加值30.12亿元，增长25.7%，占全市工业总产值和增加值的比重分别为75.4%和73.3%。</w:t>
      </w:r>
    </w:p>
    <w:p w14:paraId="3000CEAF">
      <w:pPr>
        <w:jc w:val="center"/>
        <w:rPr>
          <w:rFonts w:hint="eastAsia" w:hAnsi="宋体" w:cs="宋体"/>
          <w:highlight w:val="none"/>
        </w:rPr>
      </w:pPr>
      <w:r>
        <w:rPr>
          <w:rFonts w:hint="eastAsia" w:hAnsi="宋体" w:cs="宋体"/>
          <w:highlight w:val="none"/>
        </w:rPr>
        <w:t>2015年南雄市规模以上工业主要产品产量</w:t>
      </w:r>
    </w:p>
    <w:p w14:paraId="1C3D545C">
      <w:pPr>
        <w:rPr>
          <w:rFonts w:hint="eastAsia" w:hAnsi="宋体" w:cs="宋体"/>
          <w:highlight w:val="none"/>
        </w:rPr>
      </w:pPr>
      <w:r>
        <w:rPr>
          <w:rFonts w:hint="eastAsia" w:hAnsi="宋体" w:cs="宋体"/>
          <w:highlight w:val="none"/>
        </w:rPr>
        <w:t>表40</w:t>
      </w:r>
    </w:p>
    <w:tbl>
      <w:tblPr>
        <w:tblStyle w:val="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44"/>
        <w:gridCol w:w="1606"/>
        <w:gridCol w:w="1314"/>
        <w:gridCol w:w="1572"/>
      </w:tblGrid>
      <w:tr w14:paraId="56EF0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7E41E9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产品名称</w:t>
            </w:r>
          </w:p>
        </w:tc>
        <w:tc>
          <w:tcPr>
            <w:tcW w:w="1606" w:type="dxa"/>
            <w:noWrap w:val="0"/>
            <w:vAlign w:val="center"/>
          </w:tcPr>
          <w:p w14:paraId="39F681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计量单位</w:t>
            </w:r>
          </w:p>
        </w:tc>
        <w:tc>
          <w:tcPr>
            <w:tcW w:w="1314" w:type="dxa"/>
            <w:noWrap w:val="0"/>
            <w:vAlign w:val="center"/>
          </w:tcPr>
          <w:p w14:paraId="3B2F85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产量</w:t>
            </w:r>
          </w:p>
        </w:tc>
        <w:tc>
          <w:tcPr>
            <w:tcW w:w="1572" w:type="dxa"/>
            <w:noWrap w:val="0"/>
            <w:vAlign w:val="center"/>
          </w:tcPr>
          <w:p w14:paraId="14646F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比上年±%</w:t>
            </w:r>
          </w:p>
        </w:tc>
      </w:tr>
      <w:tr w14:paraId="4670E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3544" w:type="dxa"/>
            <w:noWrap w:val="0"/>
            <w:vAlign w:val="center"/>
          </w:tcPr>
          <w:p w14:paraId="7CB496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钨精矿折含量</w:t>
            </w:r>
          </w:p>
        </w:tc>
        <w:tc>
          <w:tcPr>
            <w:tcW w:w="1606" w:type="dxa"/>
            <w:noWrap w:val="0"/>
            <w:vAlign w:val="center"/>
          </w:tcPr>
          <w:p w14:paraId="3BE6AC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吨</w:t>
            </w:r>
          </w:p>
        </w:tc>
        <w:tc>
          <w:tcPr>
            <w:tcW w:w="1314" w:type="dxa"/>
            <w:noWrap w:val="0"/>
            <w:vAlign w:val="bottom"/>
          </w:tcPr>
          <w:p w14:paraId="7B70D8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230.1</w:t>
            </w:r>
          </w:p>
        </w:tc>
        <w:tc>
          <w:tcPr>
            <w:tcW w:w="1572" w:type="dxa"/>
            <w:noWrap w:val="0"/>
            <w:vAlign w:val="bottom"/>
          </w:tcPr>
          <w:p w14:paraId="606541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36.7</w:t>
            </w:r>
          </w:p>
        </w:tc>
      </w:tr>
      <w:tr w14:paraId="1DC01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284FC5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钼精矿折含量</w:t>
            </w:r>
          </w:p>
        </w:tc>
        <w:tc>
          <w:tcPr>
            <w:tcW w:w="1606" w:type="dxa"/>
            <w:noWrap w:val="0"/>
            <w:vAlign w:val="center"/>
          </w:tcPr>
          <w:p w14:paraId="1FC1DB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吨</w:t>
            </w:r>
          </w:p>
        </w:tc>
        <w:tc>
          <w:tcPr>
            <w:tcW w:w="1314" w:type="dxa"/>
            <w:noWrap w:val="0"/>
            <w:vAlign w:val="bottom"/>
          </w:tcPr>
          <w:p w14:paraId="083ACC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67.7</w:t>
            </w:r>
          </w:p>
        </w:tc>
        <w:tc>
          <w:tcPr>
            <w:tcW w:w="1572" w:type="dxa"/>
            <w:noWrap w:val="0"/>
            <w:vAlign w:val="bottom"/>
          </w:tcPr>
          <w:p w14:paraId="3247FE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w:t>
            </w:r>
          </w:p>
        </w:tc>
      </w:tr>
      <w:tr w14:paraId="51310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2A5D4A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发电量</w:t>
            </w:r>
          </w:p>
        </w:tc>
        <w:tc>
          <w:tcPr>
            <w:tcW w:w="1606" w:type="dxa"/>
            <w:noWrap w:val="0"/>
            <w:vAlign w:val="center"/>
          </w:tcPr>
          <w:p w14:paraId="5408BE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万千瓦时</w:t>
            </w:r>
          </w:p>
        </w:tc>
        <w:tc>
          <w:tcPr>
            <w:tcW w:w="1314" w:type="dxa"/>
            <w:noWrap w:val="0"/>
            <w:vAlign w:val="bottom"/>
          </w:tcPr>
          <w:p w14:paraId="183493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9242.0</w:t>
            </w:r>
          </w:p>
        </w:tc>
        <w:tc>
          <w:tcPr>
            <w:tcW w:w="1572" w:type="dxa"/>
            <w:noWrap w:val="0"/>
            <w:vAlign w:val="bottom"/>
          </w:tcPr>
          <w:p w14:paraId="6A438A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w:t>
            </w:r>
          </w:p>
        </w:tc>
      </w:tr>
      <w:tr w14:paraId="2A01E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6D14B4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机制纸及纸板</w:t>
            </w:r>
          </w:p>
        </w:tc>
        <w:tc>
          <w:tcPr>
            <w:tcW w:w="1606" w:type="dxa"/>
            <w:noWrap w:val="0"/>
            <w:vAlign w:val="center"/>
          </w:tcPr>
          <w:p w14:paraId="65B454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314" w:type="dxa"/>
            <w:noWrap w:val="0"/>
            <w:vAlign w:val="top"/>
          </w:tcPr>
          <w:p w14:paraId="38FF1A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3.10</w:t>
            </w:r>
          </w:p>
        </w:tc>
        <w:tc>
          <w:tcPr>
            <w:tcW w:w="1572" w:type="dxa"/>
            <w:noWrap w:val="0"/>
            <w:vAlign w:val="top"/>
          </w:tcPr>
          <w:p w14:paraId="2E4E0C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2.8</w:t>
            </w:r>
          </w:p>
        </w:tc>
      </w:tr>
      <w:tr w14:paraId="5EC10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109986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涂料</w:t>
            </w:r>
          </w:p>
        </w:tc>
        <w:tc>
          <w:tcPr>
            <w:tcW w:w="1606" w:type="dxa"/>
            <w:noWrap w:val="0"/>
            <w:vAlign w:val="center"/>
          </w:tcPr>
          <w:p w14:paraId="6D4235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314" w:type="dxa"/>
            <w:noWrap w:val="0"/>
            <w:vAlign w:val="top"/>
          </w:tcPr>
          <w:p w14:paraId="40A550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23.01</w:t>
            </w:r>
          </w:p>
        </w:tc>
        <w:tc>
          <w:tcPr>
            <w:tcW w:w="1572" w:type="dxa"/>
            <w:noWrap w:val="0"/>
            <w:vAlign w:val="top"/>
          </w:tcPr>
          <w:p w14:paraId="42CC01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20.7</w:t>
            </w:r>
          </w:p>
        </w:tc>
      </w:tr>
      <w:tr w14:paraId="163D8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752AFC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服装</w:t>
            </w:r>
          </w:p>
        </w:tc>
        <w:tc>
          <w:tcPr>
            <w:tcW w:w="1606" w:type="dxa"/>
            <w:noWrap w:val="0"/>
            <w:vAlign w:val="center"/>
          </w:tcPr>
          <w:p w14:paraId="1587FA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万件</w:t>
            </w:r>
          </w:p>
        </w:tc>
        <w:tc>
          <w:tcPr>
            <w:tcW w:w="1314" w:type="dxa"/>
            <w:noWrap w:val="0"/>
            <w:vAlign w:val="top"/>
          </w:tcPr>
          <w:p w14:paraId="06D2FF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41.4</w:t>
            </w:r>
          </w:p>
        </w:tc>
        <w:tc>
          <w:tcPr>
            <w:tcW w:w="1572" w:type="dxa"/>
            <w:noWrap w:val="0"/>
            <w:vAlign w:val="top"/>
          </w:tcPr>
          <w:p w14:paraId="025F1D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3.5</w:t>
            </w:r>
          </w:p>
        </w:tc>
      </w:tr>
      <w:tr w14:paraId="7613E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771A4B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塑料制品</w:t>
            </w:r>
          </w:p>
        </w:tc>
        <w:tc>
          <w:tcPr>
            <w:tcW w:w="1606" w:type="dxa"/>
            <w:noWrap w:val="0"/>
            <w:vAlign w:val="center"/>
          </w:tcPr>
          <w:p w14:paraId="56DA47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万吨</w:t>
            </w:r>
          </w:p>
        </w:tc>
        <w:tc>
          <w:tcPr>
            <w:tcW w:w="1314" w:type="dxa"/>
            <w:noWrap w:val="0"/>
            <w:vAlign w:val="top"/>
          </w:tcPr>
          <w:p w14:paraId="3CD7DC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7.39</w:t>
            </w:r>
          </w:p>
        </w:tc>
        <w:tc>
          <w:tcPr>
            <w:tcW w:w="1572" w:type="dxa"/>
            <w:noWrap w:val="0"/>
            <w:vAlign w:val="top"/>
          </w:tcPr>
          <w:p w14:paraId="057711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-11.4</w:t>
            </w:r>
          </w:p>
        </w:tc>
      </w:tr>
      <w:tr w14:paraId="0979D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63B8F7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瓷质砖</w:t>
            </w:r>
          </w:p>
        </w:tc>
        <w:tc>
          <w:tcPr>
            <w:tcW w:w="1606" w:type="dxa"/>
            <w:noWrap w:val="0"/>
            <w:vAlign w:val="center"/>
          </w:tcPr>
          <w:p w14:paraId="1A8586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万平方米</w:t>
            </w:r>
          </w:p>
        </w:tc>
        <w:tc>
          <w:tcPr>
            <w:tcW w:w="1314" w:type="dxa"/>
            <w:noWrap w:val="0"/>
            <w:vAlign w:val="top"/>
          </w:tcPr>
          <w:p w14:paraId="62A32A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217.9</w:t>
            </w:r>
          </w:p>
        </w:tc>
        <w:tc>
          <w:tcPr>
            <w:tcW w:w="1572" w:type="dxa"/>
            <w:noWrap w:val="0"/>
            <w:vAlign w:val="top"/>
          </w:tcPr>
          <w:p w14:paraId="536B75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11.1</w:t>
            </w:r>
          </w:p>
        </w:tc>
      </w:tr>
      <w:tr w14:paraId="49E0D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5BED1C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商品混凝土</w:t>
            </w:r>
          </w:p>
        </w:tc>
        <w:tc>
          <w:tcPr>
            <w:tcW w:w="1606" w:type="dxa"/>
            <w:noWrap w:val="0"/>
            <w:vAlign w:val="center"/>
          </w:tcPr>
          <w:p w14:paraId="27C3F6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万立方米</w:t>
            </w:r>
          </w:p>
        </w:tc>
        <w:tc>
          <w:tcPr>
            <w:tcW w:w="1314" w:type="dxa"/>
            <w:noWrap w:val="0"/>
            <w:vAlign w:val="top"/>
          </w:tcPr>
          <w:p w14:paraId="632C9E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57.8</w:t>
            </w:r>
          </w:p>
        </w:tc>
        <w:tc>
          <w:tcPr>
            <w:tcW w:w="1572" w:type="dxa"/>
            <w:noWrap w:val="0"/>
            <w:vAlign w:val="top"/>
          </w:tcPr>
          <w:p w14:paraId="487B8F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5.7</w:t>
            </w:r>
          </w:p>
        </w:tc>
      </w:tr>
      <w:tr w14:paraId="7AB74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1" w:hRule="atLeast"/>
          <w:jc w:val="center"/>
        </w:trPr>
        <w:tc>
          <w:tcPr>
            <w:tcW w:w="3544" w:type="dxa"/>
            <w:noWrap w:val="0"/>
            <w:vAlign w:val="center"/>
          </w:tcPr>
          <w:p w14:paraId="2124A5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鲜、冷藏肉</w:t>
            </w:r>
          </w:p>
        </w:tc>
        <w:tc>
          <w:tcPr>
            <w:tcW w:w="1606" w:type="dxa"/>
            <w:noWrap w:val="0"/>
            <w:vAlign w:val="center"/>
          </w:tcPr>
          <w:p w14:paraId="4207A6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吨</w:t>
            </w:r>
          </w:p>
        </w:tc>
        <w:tc>
          <w:tcPr>
            <w:tcW w:w="1314" w:type="dxa"/>
            <w:noWrap w:val="0"/>
            <w:vAlign w:val="top"/>
          </w:tcPr>
          <w:p w14:paraId="3ECEF7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4103</w:t>
            </w:r>
          </w:p>
        </w:tc>
        <w:tc>
          <w:tcPr>
            <w:tcW w:w="1572" w:type="dxa"/>
            <w:noWrap w:val="0"/>
            <w:vAlign w:val="top"/>
          </w:tcPr>
          <w:p w14:paraId="120EE7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-6.9</w:t>
            </w:r>
          </w:p>
        </w:tc>
      </w:tr>
      <w:tr w14:paraId="4ECFA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544" w:type="dxa"/>
            <w:noWrap w:val="0"/>
            <w:vAlign w:val="center"/>
          </w:tcPr>
          <w:p w14:paraId="4BC3E8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自来水生产量</w:t>
            </w:r>
          </w:p>
        </w:tc>
        <w:tc>
          <w:tcPr>
            <w:tcW w:w="1606" w:type="dxa"/>
            <w:noWrap w:val="0"/>
            <w:vAlign w:val="center"/>
          </w:tcPr>
          <w:p w14:paraId="3E9423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万立方米</w:t>
            </w:r>
          </w:p>
        </w:tc>
        <w:tc>
          <w:tcPr>
            <w:tcW w:w="1314" w:type="dxa"/>
            <w:noWrap w:val="0"/>
            <w:vAlign w:val="center"/>
          </w:tcPr>
          <w:p w14:paraId="2D8C31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2593.0</w:t>
            </w:r>
          </w:p>
        </w:tc>
        <w:tc>
          <w:tcPr>
            <w:tcW w:w="1572" w:type="dxa"/>
            <w:noWrap w:val="0"/>
            <w:vAlign w:val="center"/>
          </w:tcPr>
          <w:p w14:paraId="6804BC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24.8</w:t>
            </w:r>
          </w:p>
        </w:tc>
      </w:tr>
    </w:tbl>
    <w:p w14:paraId="44056BA8">
      <w:pPr>
        <w:rPr>
          <w:rFonts w:hint="eastAsia" w:hAnsi="宋体" w:cs="宋体"/>
          <w:highlight w:val="none"/>
        </w:rPr>
      </w:pPr>
      <w:r>
        <w:rPr>
          <w:rFonts w:hint="eastAsia" w:hAnsi="宋体" w:cs="宋体"/>
          <w:highlight w:val="none"/>
        </w:rPr>
        <w:t>全市规模以上工业企业资产77.77亿元，同比增长12.8%；主营业务收入144.62亿元，增长20.7%；税金总额6.25亿元，增长15.1%；利润总额15.09亿元，增长17.2%；亏损企业亏损额0.28亿元，下降16.1%。</w:t>
      </w:r>
    </w:p>
    <w:p w14:paraId="6591A537">
      <w:pPr>
        <w:rPr>
          <w:rFonts w:hint="eastAsia" w:hAnsi="宋体" w:cs="宋体"/>
          <w:highlight w:val="none"/>
        </w:rPr>
      </w:pPr>
      <w:r>
        <w:rPr>
          <w:rFonts w:hint="eastAsia" w:hAnsi="宋体" w:cs="宋体"/>
          <w:highlight w:val="none"/>
        </w:rPr>
        <w:t>全市建筑业实现增加值9.07亿元，同比增长5.5%。资质等级及以上建筑企业9家</w:t>
      </w:r>
      <w:r>
        <w:rPr>
          <w:rFonts w:hint="eastAsia" w:hAnsi="宋体" w:cs="宋体"/>
          <w:highlight w:val="none"/>
          <w:lang w:eastAsia="zh-CN"/>
        </w:rPr>
        <w:t>，</w:t>
      </w:r>
      <w:r>
        <w:rPr>
          <w:rFonts w:hint="eastAsia" w:hAnsi="宋体" w:cs="宋体"/>
          <w:highlight w:val="none"/>
        </w:rPr>
        <w:t>完成建筑业总产值21.5亿元，增长2.2%。房屋施工面积197.04万平方米，下降0.7%，其中新开工面积121.97万平方米；房屋竣工面积79.80万平方米，下降4.2%。</w:t>
      </w:r>
    </w:p>
    <w:p w14:paraId="76D59318">
      <w:pPr>
        <w:pStyle w:val="4"/>
        <w:bidi w:val="0"/>
        <w:rPr>
          <w:rFonts w:hint="eastAsia"/>
          <w:highlight w:val="none"/>
        </w:rPr>
      </w:pPr>
      <w:r>
        <w:rPr>
          <w:rFonts w:hint="eastAsia"/>
          <w:highlight w:val="none"/>
        </w:rPr>
        <w:t>四、固定资产投资</w:t>
      </w:r>
    </w:p>
    <w:p w14:paraId="497D9AF3">
      <w:pPr>
        <w:rPr>
          <w:rFonts w:hint="eastAsia" w:hAnsi="宋体" w:cs="宋体"/>
          <w:highlight w:val="none"/>
        </w:rPr>
      </w:pPr>
      <w:r>
        <w:rPr>
          <w:rFonts w:hint="eastAsia" w:hAnsi="宋体" w:cs="宋体"/>
          <w:highlight w:val="none"/>
        </w:rPr>
        <w:t>全年完成固定资产投资106.9亿元，增长16.4%。分投资主体看，国有及国有控股经济投资43.43亿元，增长19.8%；外商及港澳台经济投资0.80亿元，下降45.9%；民营经济投资62.67亿元，增长15.8%。在三次产业中，第一产业投资</w:t>
      </w:r>
    </w:p>
    <w:p w14:paraId="1D53C502">
      <w:pPr>
        <w:rPr>
          <w:rFonts w:hint="eastAsia" w:hAnsi="宋体" w:cs="宋体"/>
          <w:highlight w:val="none"/>
        </w:rPr>
      </w:pPr>
      <w:r>
        <w:rPr>
          <w:rFonts w:hint="eastAsia" w:hAnsi="宋体" w:cs="宋体"/>
          <w:highlight w:val="none"/>
        </w:rPr>
        <w:t>11.0亿元，同比增长32.5%。第二产业投资46.24亿元，同比增长15.4%，第三产业投资49.66亿元，同比增长14.3%。工业投资完成额46.24亿元，增长15.4%；基础设施完成额30.14亿元，增长37.5%。</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4550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2745AEC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014855"/>
                  <wp:effectExtent l="0" t="0" r="8890" b="4445"/>
                  <wp:docPr id="134" name="图片 311" descr="固定资产投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11" descr="固定资产投资"/>
                          <pic:cNvPicPr>
                            <a:picLocks noChangeAspect="1"/>
                          </pic:cNvPicPr>
                        </pic:nvPicPr>
                        <pic:blipFill>
                          <a:blip r:embed="rId139"/>
                          <a:stretch>
                            <a:fillRect/>
                          </a:stretch>
                        </pic:blipFill>
                        <pic:spPr>
                          <a:xfrm>
                            <a:off x="0" y="0"/>
                            <a:ext cx="3420110" cy="2014855"/>
                          </a:xfrm>
                          <a:prstGeom prst="rect">
                            <a:avLst/>
                          </a:prstGeom>
                          <a:noFill/>
                          <a:ln>
                            <a:noFill/>
                          </a:ln>
                        </pic:spPr>
                      </pic:pic>
                    </a:graphicData>
                  </a:graphic>
                </wp:inline>
              </w:drawing>
            </w:r>
          </w:p>
        </w:tc>
      </w:tr>
      <w:tr w14:paraId="43E1D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16" w:type="dxa"/>
            <w:tcBorders>
              <w:top w:val="nil"/>
              <w:left w:val="nil"/>
              <w:bottom w:val="nil"/>
              <w:right w:val="nil"/>
            </w:tcBorders>
            <w:noWrap w:val="0"/>
            <w:vAlign w:val="top"/>
          </w:tcPr>
          <w:p w14:paraId="6B454917">
            <w:pPr>
              <w:jc w:val="center"/>
              <w:rPr>
                <w:rFonts w:hint="eastAsia" w:hAnsi="宋体" w:cs="宋体"/>
                <w:highlight w:val="none"/>
                <w:vertAlign w:val="baseline"/>
              </w:rPr>
            </w:pPr>
            <w:r>
              <w:rPr>
                <w:rFonts w:hint="eastAsia" w:hAnsi="宋体" w:cs="宋体"/>
                <w:highlight w:val="none"/>
                <w:vertAlign w:val="baseline"/>
              </w:rPr>
              <w:t>2010—2015年南雄市固定资产投资及其增长速度</w:t>
            </w:r>
          </w:p>
        </w:tc>
      </w:tr>
      <w:tr w14:paraId="63D6B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8807770">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85670"/>
                  <wp:effectExtent l="0" t="0" r="8890" b="5080"/>
                  <wp:docPr id="135" name="图片 312" descr="社会消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12" descr="社会消费"/>
                          <pic:cNvPicPr>
                            <a:picLocks noChangeAspect="1"/>
                          </pic:cNvPicPr>
                        </pic:nvPicPr>
                        <pic:blipFill>
                          <a:blip r:embed="rId140"/>
                          <a:stretch>
                            <a:fillRect/>
                          </a:stretch>
                        </pic:blipFill>
                        <pic:spPr>
                          <a:xfrm>
                            <a:off x="0" y="0"/>
                            <a:ext cx="3420110" cy="2185670"/>
                          </a:xfrm>
                          <a:prstGeom prst="rect">
                            <a:avLst/>
                          </a:prstGeom>
                          <a:noFill/>
                          <a:ln>
                            <a:noFill/>
                          </a:ln>
                        </pic:spPr>
                      </pic:pic>
                    </a:graphicData>
                  </a:graphic>
                </wp:inline>
              </w:drawing>
            </w:r>
          </w:p>
        </w:tc>
      </w:tr>
      <w:tr w14:paraId="3C04F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54A88078">
            <w:pPr>
              <w:jc w:val="center"/>
              <w:rPr>
                <w:rFonts w:hint="eastAsia" w:hAnsi="宋体" w:cs="宋体"/>
                <w:highlight w:val="none"/>
                <w:vertAlign w:val="baseline"/>
              </w:rPr>
            </w:pPr>
            <w:r>
              <w:rPr>
                <w:rFonts w:hint="eastAsia" w:hAnsi="宋体" w:cs="宋体"/>
                <w:highlight w:val="none"/>
                <w:vertAlign w:val="baseline"/>
              </w:rPr>
              <w:t>2010—2015年南雄市社会消费品</w:t>
            </w:r>
            <w:r>
              <w:rPr>
                <w:rFonts w:hint="eastAsia" w:hAnsi="宋体" w:cs="宋体"/>
                <w:highlight w:val="none"/>
                <w:vertAlign w:val="baseline"/>
                <w:lang w:eastAsia="zh-CN"/>
              </w:rPr>
              <w:t>零售总额</w:t>
            </w:r>
            <w:r>
              <w:rPr>
                <w:rFonts w:hint="eastAsia" w:hAnsi="宋体" w:cs="宋体"/>
                <w:highlight w:val="none"/>
                <w:vertAlign w:val="baseline"/>
              </w:rPr>
              <w:t>及其增长速度</w:t>
            </w:r>
          </w:p>
        </w:tc>
      </w:tr>
    </w:tbl>
    <w:p w14:paraId="5F49B124">
      <w:pPr>
        <w:rPr>
          <w:rFonts w:hint="eastAsia" w:hAnsi="宋体" w:cs="宋体"/>
          <w:highlight w:val="none"/>
        </w:rPr>
      </w:pPr>
      <w:r>
        <w:rPr>
          <w:rFonts w:hint="eastAsia" w:hAnsi="宋体" w:cs="宋体"/>
          <w:highlight w:val="none"/>
        </w:rPr>
        <w:t>园区完成投资28.29亿元，同比下降22.4%，其中，工业投资完成额26.76亿元，下降24.0%；基础设施完成额1.54亿元，增长20.3%。</w:t>
      </w:r>
    </w:p>
    <w:p w14:paraId="1B1651DD">
      <w:pPr>
        <w:rPr>
          <w:rFonts w:hint="eastAsia" w:hAnsi="宋体" w:cs="宋体"/>
          <w:highlight w:val="none"/>
        </w:rPr>
      </w:pPr>
      <w:r>
        <w:rPr>
          <w:rFonts w:hint="eastAsia" w:hAnsi="宋体" w:cs="宋体"/>
          <w:highlight w:val="none"/>
        </w:rPr>
        <w:t>全市完成房地产开发投资8.42亿元，同比增长20.0%。商品房销售面积32.14万平方米，增长1.0%，其中，住宅商品房销售面积18.74万平方米，下降35.9%。商品房销售额14.82亿元，增长6.2%，其中，住宅商品房销售额8.0亿元，下降32.5%。年末商品房待售面积0.68万平方米，增长4.7倍。</w:t>
      </w:r>
    </w:p>
    <w:p w14:paraId="27544D63">
      <w:pPr>
        <w:rPr>
          <w:rFonts w:hint="eastAsia" w:hAnsi="宋体" w:cs="宋体"/>
          <w:highlight w:val="none"/>
        </w:rPr>
      </w:pPr>
      <w:r>
        <w:rPr>
          <w:rFonts w:hint="eastAsia" w:hAnsi="宋体" w:cs="宋体"/>
          <w:highlight w:val="none"/>
        </w:rPr>
        <w:t>2015年全市安排重点项目39个，累计完成投资40亿元。</w:t>
      </w:r>
    </w:p>
    <w:p w14:paraId="353AC673">
      <w:pPr>
        <w:rPr>
          <w:rFonts w:hint="eastAsia" w:hAnsi="宋体" w:cs="宋体"/>
          <w:highlight w:val="none"/>
        </w:rPr>
      </w:pPr>
      <w:r>
        <w:rPr>
          <w:rFonts w:hint="eastAsia" w:hAnsi="宋体" w:cs="宋体"/>
          <w:highlight w:val="none"/>
        </w:rPr>
        <w:t>“三农”项目方面：农田水利设施投资2.3亿元，完成灌区节水改造、中小河流治理等水利项目36宗。投入1000万元，建成小公园、小广场、小运动场等“五小”场所37个。投入1300多万元，建成路灯1.3万盏，实现行政村全覆盖。</w:t>
      </w:r>
    </w:p>
    <w:p w14:paraId="3D870904">
      <w:pPr>
        <w:rPr>
          <w:rFonts w:hint="eastAsia" w:hAnsi="宋体" w:cs="宋体"/>
          <w:highlight w:val="none"/>
        </w:rPr>
      </w:pPr>
      <w:r>
        <w:rPr>
          <w:rFonts w:hint="eastAsia" w:hAnsi="宋体" w:cs="宋体"/>
          <w:highlight w:val="none"/>
        </w:rPr>
        <w:t>工业项目方面：能源电力产业取得突破性发展，投资35亿元的华电项目首期已经奠基；投资4.5亿元的犁牛坪风电场一期项目已开工建设；投资10亿元的中能建投光伏发电项目签约落户。</w:t>
      </w:r>
    </w:p>
    <w:p w14:paraId="1D24383B">
      <w:pPr>
        <w:rPr>
          <w:rFonts w:hint="eastAsia" w:hAnsi="宋体" w:cs="宋体"/>
          <w:highlight w:val="none"/>
        </w:rPr>
      </w:pPr>
      <w:r>
        <w:rPr>
          <w:rFonts w:hint="eastAsia" w:hAnsi="宋体" w:cs="宋体"/>
          <w:highlight w:val="none"/>
        </w:rPr>
        <w:t>民生工程方面：建成保障性住房40套，建筑总面积0.22万平方米。成功争取广东省新型城镇化“2511”综合试点县；珠玑镇成功申报全国建制镇示范试点；列为国家电子商务进农村综合示范县，获得扶持资金2000万元，电子商务创业园投入使用，建成镇村电子商务综合服务站（点）13个。</w:t>
      </w:r>
    </w:p>
    <w:p w14:paraId="5E77A368">
      <w:pPr>
        <w:pStyle w:val="4"/>
        <w:bidi w:val="0"/>
        <w:rPr>
          <w:rFonts w:hint="eastAsia"/>
          <w:highlight w:val="none"/>
        </w:rPr>
      </w:pPr>
      <w:r>
        <w:rPr>
          <w:rFonts w:hint="eastAsia"/>
          <w:highlight w:val="none"/>
        </w:rPr>
        <w:t>五、贸易和外经</w:t>
      </w:r>
    </w:p>
    <w:p w14:paraId="4B44D424">
      <w:pPr>
        <w:rPr>
          <w:rFonts w:hint="eastAsia" w:hAnsi="宋体" w:cs="宋体"/>
          <w:highlight w:val="none"/>
        </w:rPr>
      </w:pPr>
      <w:r>
        <w:rPr>
          <w:rFonts w:hint="eastAsia" w:hAnsi="宋体" w:cs="宋体"/>
          <w:highlight w:val="none"/>
        </w:rPr>
        <w:t>年末限额以上批发企业22家，比上年增加2家；限额以上零售企业34家，比上年增加2家；限额以上住宿企业2家，与上年持平；限额以上餐饮企业14家，与上年持平。全年批发业销售额25.87亿元，增长10.7%；零售业销售额40.74亿元，增长13%；住宿业营业额0.37亿元，增长12.8%；餐饮业营业额5.3亿元，增长11.7%。社会消费品零售总额45.63亿元，增长11.1%，其中：城镇37.35亿元，增长11.1%；乡村8.28亿元，增长11.4%。</w:t>
      </w:r>
    </w:p>
    <w:p w14:paraId="342FB022">
      <w:pPr>
        <w:rPr>
          <w:rFonts w:hint="eastAsia" w:hAnsi="宋体" w:cs="宋体"/>
          <w:highlight w:val="none"/>
        </w:rPr>
      </w:pPr>
      <w:r>
        <w:rPr>
          <w:rFonts w:hint="eastAsia" w:hAnsi="宋体" w:cs="宋体"/>
          <w:highlight w:val="none"/>
        </w:rPr>
        <w:t>全年外贸进出口总额5015.3万美元，同比增长8.5%</w:t>
      </w:r>
      <w:r>
        <w:rPr>
          <w:rFonts w:hint="eastAsia" w:hAnsi="宋体" w:cs="宋体"/>
          <w:highlight w:val="none"/>
          <w:lang w:eastAsia="zh-CN"/>
        </w:rPr>
        <w:t>，</w:t>
      </w:r>
      <w:r>
        <w:rPr>
          <w:rFonts w:hint="eastAsia" w:hAnsi="宋体" w:cs="宋体"/>
          <w:highlight w:val="none"/>
        </w:rPr>
        <w:t>其中，出口总额4565.7万美元，同比增长15.6%，进口总额449.6万美元，同比下降33.1%；全年实际利用外资804万美元，下降67%。</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7A7C7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9A2E8DE">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505710"/>
                  <wp:effectExtent l="0" t="0" r="8890" b="8890"/>
                  <wp:docPr id="136" name="图片 313" descr="住户存款余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13" descr="住户存款余额"/>
                          <pic:cNvPicPr>
                            <a:picLocks noChangeAspect="1"/>
                          </pic:cNvPicPr>
                        </pic:nvPicPr>
                        <pic:blipFill>
                          <a:blip r:embed="rId141"/>
                          <a:stretch>
                            <a:fillRect/>
                          </a:stretch>
                        </pic:blipFill>
                        <pic:spPr>
                          <a:xfrm>
                            <a:off x="0" y="0"/>
                            <a:ext cx="3420110" cy="2505710"/>
                          </a:xfrm>
                          <a:prstGeom prst="rect">
                            <a:avLst/>
                          </a:prstGeom>
                          <a:noFill/>
                          <a:ln>
                            <a:noFill/>
                          </a:ln>
                        </pic:spPr>
                      </pic:pic>
                    </a:graphicData>
                  </a:graphic>
                </wp:inline>
              </w:drawing>
            </w:r>
          </w:p>
        </w:tc>
      </w:tr>
      <w:tr w14:paraId="0D0A2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4ADBA29B">
            <w:pPr>
              <w:jc w:val="center"/>
              <w:rPr>
                <w:rFonts w:hint="eastAsia" w:hAnsi="宋体" w:cs="宋体"/>
                <w:highlight w:val="none"/>
                <w:vertAlign w:val="baseline"/>
              </w:rPr>
            </w:pPr>
            <w:r>
              <w:rPr>
                <w:rFonts w:hint="eastAsia" w:hAnsi="宋体" w:cs="宋体"/>
                <w:highlight w:val="none"/>
                <w:vertAlign w:val="baseline"/>
              </w:rPr>
              <w:t>2010—2015年南雄市住户存款余额及其增长速度</w:t>
            </w:r>
          </w:p>
        </w:tc>
      </w:tr>
    </w:tbl>
    <w:p w14:paraId="03778064">
      <w:pPr>
        <w:pStyle w:val="4"/>
        <w:bidi w:val="0"/>
        <w:rPr>
          <w:rFonts w:hint="eastAsia"/>
          <w:highlight w:val="none"/>
        </w:rPr>
      </w:pPr>
      <w:r>
        <w:rPr>
          <w:rFonts w:hint="eastAsia"/>
          <w:highlight w:val="none"/>
        </w:rPr>
        <w:t>六、交通、邮电和旅游</w:t>
      </w:r>
    </w:p>
    <w:p w14:paraId="43A68D6F">
      <w:pPr>
        <w:rPr>
          <w:rFonts w:hint="eastAsia" w:hAnsi="宋体" w:cs="宋体"/>
          <w:highlight w:val="none"/>
        </w:rPr>
      </w:pPr>
      <w:r>
        <w:rPr>
          <w:rFonts w:hint="eastAsia" w:hAnsi="宋体" w:cs="宋体"/>
          <w:highlight w:val="none"/>
        </w:rPr>
        <w:t>年末公路通车里程2273.996公里</w:t>
      </w:r>
      <w:r>
        <w:rPr>
          <w:rFonts w:hint="eastAsia" w:hAnsi="宋体" w:cs="宋体"/>
          <w:highlight w:val="none"/>
          <w:lang w:eastAsia="zh-CN"/>
        </w:rPr>
        <w:t>（</w:t>
      </w:r>
      <w:r>
        <w:rPr>
          <w:rFonts w:hint="eastAsia" w:hAnsi="宋体" w:cs="宋体"/>
          <w:highlight w:val="none"/>
        </w:rPr>
        <w:t>公路密度97.76公里/百平方公里</w:t>
      </w:r>
      <w:r>
        <w:rPr>
          <w:rFonts w:hint="eastAsia" w:hAnsi="宋体" w:cs="宋体"/>
          <w:highlight w:val="none"/>
          <w:lang w:eastAsia="zh-CN"/>
        </w:rPr>
        <w:t>）</w:t>
      </w:r>
      <w:r>
        <w:rPr>
          <w:rFonts w:hint="eastAsia" w:hAnsi="宋体" w:cs="宋体"/>
          <w:highlight w:val="none"/>
        </w:rPr>
        <w:t>。当年新建公路里程147.073公里，新建桥梁4座。全市民用汽车2712辆，增长33.4%，其中，载客汽车2379辆，增长47.6%，载货汽车333辆，下降20.9%。年末实有公共汽车营运车辆113辆，实有出租汽车65辆。</w:t>
      </w:r>
    </w:p>
    <w:p w14:paraId="0B8040EF">
      <w:pPr>
        <w:rPr>
          <w:rFonts w:hint="eastAsia" w:hAnsi="宋体" w:cs="宋体"/>
          <w:highlight w:val="none"/>
        </w:rPr>
      </w:pPr>
      <w:r>
        <w:rPr>
          <w:rFonts w:hint="eastAsia" w:hAnsi="宋体" w:cs="宋体"/>
          <w:highlight w:val="none"/>
        </w:rPr>
        <w:t>全年完成邮电通信业务总量19553万元，增长13%，其中，邮政业务总量4361万元，增长13.7%；通信业务总量15192万元，下降1.8%。年末电话交换机总容量6.03万门，固定电话用户5.44万户，移动电话用户24.82万户。按常住人口计算，移动电话普及率每百人75.4部。全市互联网用户数13.51万户。年末共有邮政局（所）21个；订阅销售各种报纸200.61万份，快递收件量3.01万件，增长20%；快递派件11.6万件，增长9.7倍。</w:t>
      </w:r>
    </w:p>
    <w:p w14:paraId="17ACCD35">
      <w:pPr>
        <w:rPr>
          <w:rFonts w:hint="eastAsia" w:hAnsi="宋体" w:cs="宋体"/>
          <w:highlight w:val="none"/>
        </w:rPr>
      </w:pPr>
      <w:r>
        <w:rPr>
          <w:rFonts w:hint="eastAsia" w:hAnsi="宋体" w:cs="宋体"/>
          <w:highlight w:val="none"/>
        </w:rPr>
        <w:t>全年接待旅游人数336.95万人次，同比增长21.7%；旅游总收入23.65亿元，同比增长24.7%。全年接待国际旅游人数623人次，同比增长20.3%；国际旅游收入15.4万美元，同比增长10.5%。年末拥有星级宾馆4家，客房总数418间全市现有旅游景区16个。两岸花博园、邓坊泉水谷漂流等旅游重点项目建成开业，珠玑、坪田、帽子峰景区停车场及珠玑游客服务中心投入使用。珠玑古巷·梅关古道被评为4A级景区，帽子峰森林公园被评为3A级景区。南雄被评为全国休闲农业与乡村旅游示范县。</w:t>
      </w:r>
    </w:p>
    <w:p w14:paraId="0E2FC36F">
      <w:pPr>
        <w:pStyle w:val="4"/>
        <w:bidi w:val="0"/>
        <w:rPr>
          <w:rFonts w:hint="eastAsia"/>
          <w:highlight w:val="none"/>
        </w:rPr>
      </w:pPr>
      <w:r>
        <w:rPr>
          <w:rFonts w:hint="eastAsia"/>
          <w:highlight w:val="none"/>
        </w:rPr>
        <w:t>七、金融和保险业</w:t>
      </w:r>
    </w:p>
    <w:p w14:paraId="32058A26">
      <w:pPr>
        <w:rPr>
          <w:rFonts w:hint="eastAsia" w:hAnsi="宋体" w:cs="宋体"/>
          <w:highlight w:val="none"/>
        </w:rPr>
      </w:pPr>
      <w:r>
        <w:rPr>
          <w:rFonts w:hint="eastAsia" w:hAnsi="宋体" w:cs="宋体"/>
          <w:highlight w:val="none"/>
        </w:rPr>
        <w:t>年末金融机构本外币各项存款余额117.4亿元，同比增长11.8%。其中，住户存款余额87.17亿元，同比增长10.0%。年末金融机构本外币各项贷款余额49.58亿元，同比增长6.6%，其中，住房贷款10.3亿元，增长25.2%，农业贷款31.3亿元，增长5.3%。存贷比42.23%，同比下降2.07个百分点。</w:t>
      </w:r>
    </w:p>
    <w:p w14:paraId="4AC40AD3">
      <w:pPr>
        <w:rPr>
          <w:rFonts w:hint="eastAsia" w:hAnsi="宋体" w:cs="宋体"/>
          <w:highlight w:val="none"/>
        </w:rPr>
      </w:pPr>
      <w:r>
        <w:rPr>
          <w:rFonts w:hint="eastAsia" w:hAnsi="宋体" w:cs="宋体"/>
          <w:highlight w:val="none"/>
        </w:rPr>
        <w:t>全年保费总收入8689万元，同比增长3.1%。其中，人寿险保费收入7209万元，增长4.9%；财产险保费收入1480万元，下降5.1%。各项保险赔付支出4236万元，下降6.0%，其中，财产险赔付支出1944万元，增长10.3%；人寿险赔付支出2292万元，下降16.5%。</w:t>
      </w:r>
    </w:p>
    <w:p w14:paraId="17CA0B55">
      <w:pPr>
        <w:pStyle w:val="4"/>
        <w:bidi w:val="0"/>
        <w:rPr>
          <w:rFonts w:hint="eastAsia"/>
          <w:highlight w:val="none"/>
        </w:rPr>
      </w:pPr>
      <w:r>
        <w:rPr>
          <w:rFonts w:hint="eastAsia"/>
          <w:highlight w:val="none"/>
        </w:rPr>
        <w:t>八、教育和科学技术</w:t>
      </w:r>
    </w:p>
    <w:p w14:paraId="4D8AC5F4">
      <w:pPr>
        <w:rPr>
          <w:rFonts w:hint="eastAsia" w:hAnsi="宋体" w:eastAsia="宋体" w:cs="宋体"/>
          <w:highlight w:val="none"/>
          <w:lang w:eastAsia="zh-CN"/>
        </w:rPr>
      </w:pPr>
      <w:r>
        <w:rPr>
          <w:rFonts w:hint="eastAsia" w:hAnsi="宋体" w:cs="宋体"/>
          <w:highlight w:val="none"/>
        </w:rPr>
        <w:t>年末拥有普通中学19所（其中，完全中学1所，高级中学2所），中等职业学校1所，小学29所，幼儿园60所，特殊教育学校1所。幼儿教育入园率84.7%，小学毛入学率101.03%，初中毛入学率110.81%，高中毛入学率97.63%。全年各级基础教育招生18427人，比上年下降4.3%；在校学生65106人，比上年下降0.54%；毕业生17364人，比上年增长6.5%。</w:t>
      </w:r>
    </w:p>
    <w:p w14:paraId="43DCD2DA">
      <w:pPr>
        <w:jc w:val="center"/>
        <w:rPr>
          <w:rFonts w:hint="eastAsia" w:hAnsi="宋体" w:cs="宋体"/>
          <w:highlight w:val="none"/>
        </w:rPr>
      </w:pPr>
      <w:r>
        <w:rPr>
          <w:rFonts w:hint="eastAsia" w:hAnsi="宋体" w:cs="宋体"/>
          <w:highlight w:val="none"/>
        </w:rPr>
        <w:t>各类学校教育发展情况</w:t>
      </w:r>
    </w:p>
    <w:p w14:paraId="6D581209">
      <w:pPr>
        <w:rPr>
          <w:rFonts w:hint="eastAsia" w:hAnsi="宋体" w:cs="宋体"/>
          <w:highlight w:val="none"/>
        </w:rPr>
      </w:pPr>
      <w:r>
        <w:rPr>
          <w:rFonts w:hint="eastAsia" w:hAnsi="宋体" w:cs="宋体"/>
          <w:highlight w:val="none"/>
        </w:rPr>
        <w:t>表41</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4"/>
        <w:gridCol w:w="1498"/>
        <w:gridCol w:w="1873"/>
        <w:gridCol w:w="1795"/>
        <w:gridCol w:w="1576"/>
      </w:tblGrid>
      <w:tr w14:paraId="172B0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0" w:hRule="atLeast"/>
          <w:jc w:val="center"/>
        </w:trPr>
        <w:tc>
          <w:tcPr>
            <w:tcW w:w="1800" w:type="dxa"/>
            <w:noWrap w:val="0"/>
            <w:vAlign w:val="bottom"/>
          </w:tcPr>
          <w:p w14:paraId="728C1F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p>
        </w:tc>
        <w:tc>
          <w:tcPr>
            <w:tcW w:w="1440" w:type="dxa"/>
            <w:noWrap w:val="0"/>
            <w:vAlign w:val="center"/>
          </w:tcPr>
          <w:p w14:paraId="091260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学校数（所）</w:t>
            </w:r>
          </w:p>
        </w:tc>
        <w:tc>
          <w:tcPr>
            <w:tcW w:w="1800" w:type="dxa"/>
            <w:noWrap w:val="0"/>
            <w:vAlign w:val="center"/>
          </w:tcPr>
          <w:p w14:paraId="091755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招生数（人）</w:t>
            </w:r>
          </w:p>
        </w:tc>
        <w:tc>
          <w:tcPr>
            <w:tcW w:w="1725" w:type="dxa"/>
            <w:noWrap w:val="0"/>
            <w:vAlign w:val="center"/>
          </w:tcPr>
          <w:p w14:paraId="6802D0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在校学生（人）</w:t>
            </w:r>
          </w:p>
        </w:tc>
        <w:tc>
          <w:tcPr>
            <w:tcW w:w="1515" w:type="dxa"/>
            <w:noWrap w:val="0"/>
            <w:vAlign w:val="center"/>
          </w:tcPr>
          <w:p w14:paraId="306BED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毕业人数（人）</w:t>
            </w:r>
          </w:p>
        </w:tc>
      </w:tr>
      <w:tr w14:paraId="5B33F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0" w:type="dxa"/>
            <w:noWrap w:val="0"/>
            <w:vAlign w:val="bottom"/>
          </w:tcPr>
          <w:p w14:paraId="38BF45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幼儿园</w:t>
            </w:r>
          </w:p>
        </w:tc>
        <w:tc>
          <w:tcPr>
            <w:tcW w:w="1440" w:type="dxa"/>
            <w:noWrap w:val="0"/>
            <w:vAlign w:val="center"/>
          </w:tcPr>
          <w:p w14:paraId="3D04B4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60</w:t>
            </w:r>
          </w:p>
        </w:tc>
        <w:tc>
          <w:tcPr>
            <w:tcW w:w="1800" w:type="dxa"/>
            <w:noWrap w:val="0"/>
            <w:vAlign w:val="center"/>
          </w:tcPr>
          <w:p w14:paraId="71119C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6212</w:t>
            </w:r>
          </w:p>
        </w:tc>
        <w:tc>
          <w:tcPr>
            <w:tcW w:w="1725" w:type="dxa"/>
            <w:noWrap w:val="0"/>
            <w:vAlign w:val="center"/>
          </w:tcPr>
          <w:p w14:paraId="4C294A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15128</w:t>
            </w:r>
          </w:p>
        </w:tc>
        <w:tc>
          <w:tcPr>
            <w:tcW w:w="1515" w:type="dxa"/>
            <w:noWrap w:val="0"/>
            <w:vAlign w:val="center"/>
          </w:tcPr>
          <w:p w14:paraId="2BEEE8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5226</w:t>
            </w:r>
          </w:p>
        </w:tc>
      </w:tr>
      <w:tr w14:paraId="1765C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0" w:type="dxa"/>
            <w:noWrap w:val="0"/>
            <w:vAlign w:val="bottom"/>
          </w:tcPr>
          <w:p w14:paraId="6DCE09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义务教育</w:t>
            </w:r>
          </w:p>
        </w:tc>
        <w:tc>
          <w:tcPr>
            <w:tcW w:w="1440" w:type="dxa"/>
            <w:noWrap w:val="0"/>
            <w:vAlign w:val="center"/>
          </w:tcPr>
          <w:p w14:paraId="403657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45</w:t>
            </w:r>
          </w:p>
        </w:tc>
        <w:tc>
          <w:tcPr>
            <w:tcW w:w="1800" w:type="dxa"/>
            <w:noWrap w:val="0"/>
            <w:vAlign w:val="center"/>
          </w:tcPr>
          <w:p w14:paraId="24525E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9384</w:t>
            </w:r>
          </w:p>
        </w:tc>
        <w:tc>
          <w:tcPr>
            <w:tcW w:w="1725" w:type="dxa"/>
            <w:noWrap w:val="0"/>
            <w:vAlign w:val="center"/>
          </w:tcPr>
          <w:p w14:paraId="3E5C54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40506</w:t>
            </w:r>
          </w:p>
        </w:tc>
        <w:tc>
          <w:tcPr>
            <w:tcW w:w="1515" w:type="dxa"/>
            <w:noWrap w:val="0"/>
            <w:vAlign w:val="center"/>
          </w:tcPr>
          <w:p w14:paraId="589462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8816</w:t>
            </w:r>
          </w:p>
        </w:tc>
      </w:tr>
      <w:tr w14:paraId="306D9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0" w:type="dxa"/>
            <w:noWrap w:val="0"/>
            <w:vAlign w:val="bottom"/>
          </w:tcPr>
          <w:p w14:paraId="6FC12F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#：小学</w:t>
            </w:r>
          </w:p>
        </w:tc>
        <w:tc>
          <w:tcPr>
            <w:tcW w:w="1440" w:type="dxa"/>
            <w:noWrap w:val="0"/>
            <w:vAlign w:val="center"/>
          </w:tcPr>
          <w:p w14:paraId="370C30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29</w:t>
            </w:r>
          </w:p>
        </w:tc>
        <w:tc>
          <w:tcPr>
            <w:tcW w:w="1800" w:type="dxa"/>
            <w:noWrap w:val="0"/>
            <w:vAlign w:val="center"/>
          </w:tcPr>
          <w:p w14:paraId="5E863A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5009</w:t>
            </w:r>
          </w:p>
        </w:tc>
        <w:tc>
          <w:tcPr>
            <w:tcW w:w="1725" w:type="dxa"/>
            <w:noWrap w:val="0"/>
            <w:vAlign w:val="center"/>
          </w:tcPr>
          <w:p w14:paraId="59C638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27772</w:t>
            </w:r>
          </w:p>
        </w:tc>
        <w:tc>
          <w:tcPr>
            <w:tcW w:w="1515" w:type="dxa"/>
            <w:noWrap w:val="0"/>
            <w:vAlign w:val="center"/>
          </w:tcPr>
          <w:p w14:paraId="0EC87C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4362</w:t>
            </w:r>
          </w:p>
        </w:tc>
      </w:tr>
      <w:tr w14:paraId="4DCB8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0" w:type="dxa"/>
            <w:noWrap w:val="0"/>
            <w:vAlign w:val="bottom"/>
          </w:tcPr>
          <w:p w14:paraId="3623CA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#：初中</w:t>
            </w:r>
          </w:p>
        </w:tc>
        <w:tc>
          <w:tcPr>
            <w:tcW w:w="1440" w:type="dxa"/>
            <w:noWrap w:val="0"/>
            <w:vAlign w:val="center"/>
          </w:tcPr>
          <w:p w14:paraId="44930B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c>
          <w:tcPr>
            <w:tcW w:w="1800" w:type="dxa"/>
            <w:noWrap w:val="0"/>
            <w:vAlign w:val="center"/>
          </w:tcPr>
          <w:p w14:paraId="4E910B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4375</w:t>
            </w:r>
          </w:p>
        </w:tc>
        <w:tc>
          <w:tcPr>
            <w:tcW w:w="1725" w:type="dxa"/>
            <w:noWrap w:val="0"/>
            <w:vAlign w:val="center"/>
          </w:tcPr>
          <w:p w14:paraId="5BBB5D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12734</w:t>
            </w:r>
          </w:p>
        </w:tc>
        <w:tc>
          <w:tcPr>
            <w:tcW w:w="1515" w:type="dxa"/>
            <w:noWrap w:val="0"/>
            <w:vAlign w:val="center"/>
          </w:tcPr>
          <w:p w14:paraId="3C7778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4454</w:t>
            </w:r>
          </w:p>
        </w:tc>
      </w:tr>
      <w:tr w14:paraId="77AFE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0" w:type="dxa"/>
            <w:noWrap w:val="0"/>
            <w:vAlign w:val="bottom"/>
          </w:tcPr>
          <w:p w14:paraId="3F6ACE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高中</w:t>
            </w:r>
          </w:p>
        </w:tc>
        <w:tc>
          <w:tcPr>
            <w:tcW w:w="1440" w:type="dxa"/>
            <w:noWrap w:val="0"/>
            <w:vAlign w:val="center"/>
          </w:tcPr>
          <w:p w14:paraId="2C493B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1800" w:type="dxa"/>
            <w:noWrap w:val="0"/>
            <w:vAlign w:val="center"/>
          </w:tcPr>
          <w:p w14:paraId="64AA4F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2828</w:t>
            </w:r>
          </w:p>
        </w:tc>
        <w:tc>
          <w:tcPr>
            <w:tcW w:w="1725" w:type="dxa"/>
            <w:noWrap w:val="0"/>
            <w:vAlign w:val="center"/>
          </w:tcPr>
          <w:p w14:paraId="54B2DA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9314</w:t>
            </w:r>
          </w:p>
        </w:tc>
        <w:tc>
          <w:tcPr>
            <w:tcW w:w="1515" w:type="dxa"/>
            <w:noWrap w:val="0"/>
            <w:vAlign w:val="center"/>
          </w:tcPr>
          <w:p w14:paraId="473C31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3306</w:t>
            </w:r>
          </w:p>
        </w:tc>
      </w:tr>
      <w:tr w14:paraId="7CEB3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0" w:type="dxa"/>
            <w:noWrap w:val="0"/>
            <w:vAlign w:val="bottom"/>
          </w:tcPr>
          <w:p w14:paraId="35DF7A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特殊教育学校</w:t>
            </w:r>
          </w:p>
        </w:tc>
        <w:tc>
          <w:tcPr>
            <w:tcW w:w="1440" w:type="dxa"/>
            <w:noWrap w:val="0"/>
            <w:vAlign w:val="center"/>
          </w:tcPr>
          <w:p w14:paraId="269D46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w:t>
            </w:r>
          </w:p>
        </w:tc>
        <w:tc>
          <w:tcPr>
            <w:tcW w:w="1800" w:type="dxa"/>
            <w:noWrap w:val="0"/>
            <w:vAlign w:val="center"/>
          </w:tcPr>
          <w:p w14:paraId="76CE05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3</w:t>
            </w:r>
          </w:p>
        </w:tc>
        <w:tc>
          <w:tcPr>
            <w:tcW w:w="1725" w:type="dxa"/>
            <w:noWrap w:val="0"/>
            <w:vAlign w:val="center"/>
          </w:tcPr>
          <w:p w14:paraId="43750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68</w:t>
            </w:r>
          </w:p>
        </w:tc>
        <w:tc>
          <w:tcPr>
            <w:tcW w:w="1515" w:type="dxa"/>
            <w:noWrap w:val="0"/>
            <w:vAlign w:val="center"/>
          </w:tcPr>
          <w:p w14:paraId="13A5A2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16</w:t>
            </w:r>
          </w:p>
        </w:tc>
      </w:tr>
      <w:tr w14:paraId="1F59A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800" w:type="dxa"/>
            <w:noWrap w:val="0"/>
            <w:vAlign w:val="bottom"/>
          </w:tcPr>
          <w:p w14:paraId="3E4425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合计</w:t>
            </w:r>
          </w:p>
        </w:tc>
        <w:tc>
          <w:tcPr>
            <w:tcW w:w="1440" w:type="dxa"/>
            <w:noWrap w:val="0"/>
            <w:vAlign w:val="center"/>
          </w:tcPr>
          <w:p w14:paraId="32A543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109</w:t>
            </w:r>
          </w:p>
        </w:tc>
        <w:tc>
          <w:tcPr>
            <w:tcW w:w="1800" w:type="dxa"/>
            <w:noWrap w:val="0"/>
            <w:vAlign w:val="center"/>
          </w:tcPr>
          <w:p w14:paraId="21D423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18427</w:t>
            </w:r>
          </w:p>
        </w:tc>
        <w:tc>
          <w:tcPr>
            <w:tcW w:w="1725" w:type="dxa"/>
            <w:noWrap w:val="0"/>
            <w:vAlign w:val="center"/>
          </w:tcPr>
          <w:p w14:paraId="7F95FC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65016</w:t>
            </w:r>
          </w:p>
        </w:tc>
        <w:tc>
          <w:tcPr>
            <w:tcW w:w="1515" w:type="dxa"/>
            <w:noWrap w:val="0"/>
            <w:vAlign w:val="center"/>
          </w:tcPr>
          <w:p w14:paraId="64389B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highlight w:val="none"/>
              </w:rPr>
            </w:pPr>
            <w:r>
              <w:rPr>
                <w:rFonts w:hint="eastAsia"/>
                <w:highlight w:val="none"/>
              </w:rPr>
              <w:t>17364</w:t>
            </w:r>
          </w:p>
        </w:tc>
      </w:tr>
    </w:tbl>
    <w:p w14:paraId="339AC94A">
      <w:pPr>
        <w:rPr>
          <w:rFonts w:hint="eastAsia" w:hAnsi="宋体" w:cs="宋体"/>
          <w:highlight w:val="none"/>
        </w:rPr>
      </w:pPr>
      <w:r>
        <w:rPr>
          <w:rFonts w:hint="eastAsia" w:hAnsi="宋体" w:cs="宋体"/>
          <w:highlight w:val="none"/>
        </w:rPr>
        <w:t>高考成绩创历史新高。高考录取人数3292人，增长11.5%，其中，本科录取1278人，增长19.4%，专科录取2014人，增长7.0%。成人高等教育在校学生768人，下降25.4%，其中，本科349人，下降18.6%</w:t>
      </w:r>
      <w:r>
        <w:rPr>
          <w:rFonts w:hint="eastAsia" w:hAnsi="宋体" w:cs="宋体"/>
          <w:highlight w:val="none"/>
          <w:lang w:eastAsia="zh-CN"/>
        </w:rPr>
        <w:t>，</w:t>
      </w:r>
      <w:r>
        <w:rPr>
          <w:rFonts w:hint="eastAsia" w:hAnsi="宋体" w:cs="宋体"/>
          <w:highlight w:val="none"/>
        </w:rPr>
        <w:t>大专419人，下降30.2%。毕业生446人，下降1.7%，当年招生203人，下降37.7%。中等职业学校在校学生1041人，毕业473人，招生361人。</w:t>
      </w:r>
    </w:p>
    <w:p w14:paraId="14B95BB1">
      <w:pPr>
        <w:rPr>
          <w:rFonts w:hint="eastAsia" w:hAnsi="宋体" w:cs="宋体"/>
          <w:highlight w:val="none"/>
        </w:rPr>
      </w:pPr>
      <w:r>
        <w:rPr>
          <w:rFonts w:hint="eastAsia" w:hAnsi="宋体" w:cs="宋体"/>
          <w:highlight w:val="none"/>
        </w:rPr>
        <w:t>年末拥有科研开发机构7个，省级高新技术企业4家，省级民营科技企业1家。全年举办科技交流会11次，参加人数1400人次；举办科普讲座14次，参加人数8600多人次；科技攻关项目8个，全年专利申请202件。发明专利拥有量12件。获韶关市科技进步奖2项。</w:t>
      </w:r>
    </w:p>
    <w:p w14:paraId="2CFEC621">
      <w:pPr>
        <w:pStyle w:val="4"/>
        <w:bidi w:val="0"/>
        <w:rPr>
          <w:rFonts w:hint="eastAsia" w:eastAsia="宋体"/>
          <w:highlight w:val="none"/>
          <w:lang w:eastAsia="zh-CN"/>
        </w:rPr>
      </w:pPr>
      <w:r>
        <w:rPr>
          <w:rFonts w:hint="eastAsia"/>
          <w:highlight w:val="none"/>
        </w:rPr>
        <w:t>九、文化、卫生和体育</w:t>
      </w:r>
    </w:p>
    <w:p w14:paraId="074B630C">
      <w:pPr>
        <w:rPr>
          <w:rFonts w:hint="eastAsia" w:hAnsi="宋体" w:cs="宋体"/>
          <w:highlight w:val="none"/>
        </w:rPr>
      </w:pPr>
      <w:r>
        <w:rPr>
          <w:rFonts w:hint="eastAsia" w:hAnsi="宋体" w:cs="宋体"/>
          <w:highlight w:val="none"/>
        </w:rPr>
        <w:t>年末全市共有文化馆1个；公共图书馆1个，建筑面积2000平方米，馆藏图书7.03万册；博物馆1个，建筑面积2500平方米；影剧院1个，电影平均上座率9.0%；全年放映电影11017场次，观众39.1万人次；全市群众文化设施建筑面积30355平方米，增长0.66%；全市有文物保护单位数53个，其中，全国重点文物保护单位2个，省文物保护单位13个；有线广播电视用户81766户，有线广播电视入户率75%。</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16"/>
      </w:tblGrid>
      <w:tr w14:paraId="26751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27E244B6">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157730"/>
                  <wp:effectExtent l="0" t="0" r="8890" b="13970"/>
                  <wp:docPr id="137" name="图片 314" descr="农村居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14" descr="农村居民"/>
                          <pic:cNvPicPr>
                            <a:picLocks noChangeAspect="1"/>
                          </pic:cNvPicPr>
                        </pic:nvPicPr>
                        <pic:blipFill>
                          <a:blip r:embed="rId142"/>
                          <a:stretch>
                            <a:fillRect/>
                          </a:stretch>
                        </pic:blipFill>
                        <pic:spPr>
                          <a:xfrm>
                            <a:off x="0" y="0"/>
                            <a:ext cx="3420110" cy="2157730"/>
                          </a:xfrm>
                          <a:prstGeom prst="rect">
                            <a:avLst/>
                          </a:prstGeom>
                          <a:noFill/>
                          <a:ln>
                            <a:noFill/>
                          </a:ln>
                        </pic:spPr>
                      </pic:pic>
                    </a:graphicData>
                  </a:graphic>
                </wp:inline>
              </w:drawing>
            </w:r>
          </w:p>
        </w:tc>
      </w:tr>
      <w:tr w14:paraId="2F27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304F2B37">
            <w:pPr>
              <w:jc w:val="center"/>
              <w:rPr>
                <w:rFonts w:hint="eastAsia" w:hAnsi="宋体" w:cs="宋体"/>
                <w:highlight w:val="none"/>
                <w:vertAlign w:val="baseline"/>
              </w:rPr>
            </w:pPr>
            <w:r>
              <w:rPr>
                <w:rFonts w:hint="eastAsia" w:hAnsi="宋体" w:cs="宋体"/>
                <w:highlight w:val="none"/>
                <w:vertAlign w:val="baseline"/>
              </w:rPr>
              <w:t>2010—2015年南雄市住户农村居民人均纯收入（人均可支配收入）及其增长速度</w:t>
            </w:r>
          </w:p>
        </w:tc>
      </w:tr>
      <w:tr w14:paraId="1A385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66808262">
            <w:pPr>
              <w:ind w:left="0" w:leftChars="0" w:firstLine="0" w:firstLineChars="0"/>
              <w:jc w:val="center"/>
              <w:rPr>
                <w:rFonts w:hint="eastAsia" w:hAnsi="宋体" w:cs="宋体"/>
                <w:highlight w:val="none"/>
                <w:vertAlign w:val="baseline"/>
              </w:rPr>
            </w:pPr>
            <w:r>
              <w:rPr>
                <w:rFonts w:hAnsi="宋体" w:cs="宋体"/>
                <w:highlight w:val="none"/>
              </w:rPr>
              <w:drawing>
                <wp:inline distT="0" distB="0" distL="114300" distR="114300">
                  <wp:extent cx="3420110" cy="2240280"/>
                  <wp:effectExtent l="0" t="0" r="8890" b="7620"/>
                  <wp:docPr id="138" name="图片 315" descr="城镇居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15" descr="城镇居民"/>
                          <pic:cNvPicPr>
                            <a:picLocks noChangeAspect="1"/>
                          </pic:cNvPicPr>
                        </pic:nvPicPr>
                        <pic:blipFill>
                          <a:blip r:embed="rId143"/>
                          <a:stretch>
                            <a:fillRect/>
                          </a:stretch>
                        </pic:blipFill>
                        <pic:spPr>
                          <a:xfrm>
                            <a:off x="0" y="0"/>
                            <a:ext cx="3420110" cy="2240280"/>
                          </a:xfrm>
                          <a:prstGeom prst="rect">
                            <a:avLst/>
                          </a:prstGeom>
                          <a:noFill/>
                          <a:ln>
                            <a:noFill/>
                          </a:ln>
                        </pic:spPr>
                      </pic:pic>
                    </a:graphicData>
                  </a:graphic>
                </wp:inline>
              </w:drawing>
            </w:r>
          </w:p>
        </w:tc>
      </w:tr>
      <w:tr w14:paraId="0F48D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6" w:type="dxa"/>
            <w:tcBorders>
              <w:top w:val="nil"/>
              <w:left w:val="nil"/>
              <w:bottom w:val="nil"/>
              <w:right w:val="nil"/>
            </w:tcBorders>
            <w:noWrap w:val="0"/>
            <w:vAlign w:val="top"/>
          </w:tcPr>
          <w:p w14:paraId="70D3B298">
            <w:pPr>
              <w:jc w:val="center"/>
              <w:rPr>
                <w:rFonts w:hint="eastAsia" w:hAnsi="宋体" w:cs="宋体"/>
                <w:highlight w:val="none"/>
                <w:vertAlign w:val="baseline"/>
              </w:rPr>
            </w:pPr>
            <w:r>
              <w:rPr>
                <w:rFonts w:hint="eastAsia" w:hAnsi="宋体" w:cs="宋体"/>
                <w:highlight w:val="none"/>
                <w:vertAlign w:val="baseline"/>
              </w:rPr>
              <w:t>2010—2015年南雄市城镇居民人均纯收入及其增长速度</w:t>
            </w:r>
          </w:p>
        </w:tc>
      </w:tr>
    </w:tbl>
    <w:p w14:paraId="2CA22794">
      <w:pPr>
        <w:rPr>
          <w:rFonts w:hint="eastAsia" w:hAnsi="宋体" w:cs="宋体"/>
          <w:highlight w:val="none"/>
        </w:rPr>
      </w:pPr>
      <w:r>
        <w:rPr>
          <w:rFonts w:hint="eastAsia" w:hAnsi="宋体" w:cs="宋体"/>
          <w:highlight w:val="none"/>
        </w:rPr>
        <w:t>年末全市共有各类卫生机构369个，其中医院（卫生院）24个。病床位1399张。各类卫生技术人员1621人，其中执业</w:t>
      </w:r>
      <w:r>
        <w:rPr>
          <w:rFonts w:hint="eastAsia" w:hAnsi="宋体" w:cs="宋体"/>
          <w:highlight w:val="none"/>
          <w:lang w:eastAsia="zh-CN"/>
        </w:rPr>
        <w:t>（</w:t>
      </w:r>
      <w:r>
        <w:rPr>
          <w:rFonts w:hint="eastAsia" w:hAnsi="宋体" w:cs="宋体"/>
          <w:highlight w:val="none"/>
        </w:rPr>
        <w:t>助理</w:t>
      </w:r>
      <w:r>
        <w:rPr>
          <w:rFonts w:hint="eastAsia" w:hAnsi="宋体" w:cs="宋体"/>
          <w:highlight w:val="none"/>
          <w:lang w:eastAsia="zh-CN"/>
        </w:rPr>
        <w:t>）</w:t>
      </w:r>
      <w:r>
        <w:rPr>
          <w:rFonts w:hint="eastAsia" w:hAnsi="宋体" w:cs="宋体"/>
          <w:highlight w:val="none"/>
        </w:rPr>
        <w:t>医师778人。全年诊疗80.87万人次。产妇住院分娩率100%，婴儿死亡率0.36%，五岁以下儿童死亡率0.5%。全市有卫生防疫人员161人；全年无甲类传染病报告；乙类传染病发病总数1233例，死亡5人，发病率257.48/10万；丙类传染病发病总数732例，无死亡；发病率152.86/10万。农村卫生厕所普及率96.37%，同比提高5.67个百分点。农村自来水普及率84.37%。</w:t>
      </w:r>
    </w:p>
    <w:p w14:paraId="69DE85FA">
      <w:pPr>
        <w:rPr>
          <w:rFonts w:hint="eastAsia" w:hAnsi="宋体" w:cs="宋体"/>
          <w:highlight w:val="none"/>
        </w:rPr>
      </w:pPr>
      <w:r>
        <w:rPr>
          <w:rFonts w:hint="eastAsia" w:hAnsi="宋体" w:cs="宋体"/>
          <w:highlight w:val="none"/>
        </w:rPr>
        <w:t>全市共有体育场15个，250米田径场28个。建成镇级农民体育健身工程17个。组织体育健儿参加地级市以上运动会1次，获得奖牌7枚，其中，金牌1枚、银牌3枚、铜牌3枚。全市各单位举办各类运动会38次，参加比赛人数6.2万人次。全市体育福利彩票投注站12个。体育指导员181名，其中二级43名，三级138名。</w:t>
      </w:r>
    </w:p>
    <w:p w14:paraId="5B6F5EA2">
      <w:pPr>
        <w:pStyle w:val="4"/>
        <w:bidi w:val="0"/>
        <w:rPr>
          <w:rFonts w:hint="eastAsia"/>
          <w:highlight w:val="none"/>
        </w:rPr>
      </w:pPr>
      <w:r>
        <w:rPr>
          <w:rFonts w:hint="eastAsia"/>
          <w:highlight w:val="none"/>
        </w:rPr>
        <w:t>十、人民生活、社会保障和安全生产</w:t>
      </w:r>
    </w:p>
    <w:p w14:paraId="2AB45510">
      <w:pPr>
        <w:rPr>
          <w:rFonts w:hint="eastAsia" w:hAnsi="宋体" w:cs="宋体"/>
          <w:highlight w:val="none"/>
        </w:rPr>
      </w:pPr>
      <w:r>
        <w:rPr>
          <w:rFonts w:hint="eastAsia" w:hAnsi="宋体" w:cs="宋体"/>
          <w:highlight w:val="none"/>
        </w:rPr>
        <w:t>全年城乡居民人均可支配收入16538.1元，同比名义增长10.1%。其中，城镇居民人均可支配收入20455.7元，增长9.8%；农村居民人均可支配收入11106.8元，增长10.9%。城乡居民收入比为1.84 ∶1，城乡收入差距继续缩小。城乡居民家庭食品消费支出占消费总支出的比重（恩格尔系数）为38.8%。</w:t>
      </w:r>
    </w:p>
    <w:p w14:paraId="780D78A4">
      <w:pPr>
        <w:rPr>
          <w:rFonts w:hint="eastAsia" w:hAnsi="宋体" w:cs="宋体"/>
          <w:highlight w:val="none"/>
        </w:rPr>
      </w:pPr>
      <w:r>
        <w:rPr>
          <w:rFonts w:hint="eastAsia" w:hAnsi="宋体" w:cs="宋体"/>
          <w:highlight w:val="none"/>
        </w:rPr>
        <w:t>新一轮扶贫开发“双到”工作成效显著，59个重点帮扶村三年累计落实资金近5亿元，实施扶贫项目1.5万个，有劳动能力的贫困户实现全部脱贫。</w:t>
      </w:r>
    </w:p>
    <w:p w14:paraId="31E91518">
      <w:pPr>
        <w:rPr>
          <w:rFonts w:hint="eastAsia" w:hAnsi="宋体" w:cs="宋体"/>
          <w:highlight w:val="none"/>
        </w:rPr>
      </w:pPr>
      <w:r>
        <w:rPr>
          <w:rFonts w:hint="eastAsia" w:hAnsi="宋体" w:cs="宋体"/>
          <w:highlight w:val="none"/>
        </w:rPr>
        <w:t>年末参加社会养老保险人口22.76万人（含离退休），增长1.97%，其中，参加城镇居民（职工）养老保险人数3.19万人，增长3.3%；参加城乡养老保险人数17.56万人，增长1.79%。参加失业保险人数2.11万人，增长3.3%。参加医疗保险人数41.46万人，增长0.47%，其中，参加城镇职工基本医疗保险3.23万人，增长3.96%；参加城乡居民医疗保险人数38.24万人，增长0.19%。年末离退休职工11675人，增长4.48%。</w:t>
      </w:r>
    </w:p>
    <w:p w14:paraId="6847F5E8">
      <w:pPr>
        <w:rPr>
          <w:rFonts w:hint="eastAsia" w:hAnsi="宋体" w:cs="宋体"/>
          <w:highlight w:val="none"/>
        </w:rPr>
      </w:pPr>
      <w:r>
        <w:rPr>
          <w:rFonts w:hint="eastAsia" w:hAnsi="宋体" w:cs="宋体"/>
          <w:highlight w:val="none"/>
        </w:rPr>
        <w:t>年末拥有敬老院18个，敬老院供养人数342人，在院五保老人供养标准600元/人·月，散居五保老人501.67元/人·月。享受农村居民最低生活保障8233人，享受城镇居民最低生活保障652人。社会各界捐款184.17万元，下降28.64%。</w:t>
      </w:r>
    </w:p>
    <w:p w14:paraId="7D369985">
      <w:pPr>
        <w:rPr>
          <w:rFonts w:hint="eastAsia" w:hAnsi="宋体" w:cs="宋体"/>
          <w:highlight w:val="none"/>
        </w:rPr>
      </w:pPr>
      <w:r>
        <w:rPr>
          <w:rFonts w:hint="eastAsia" w:hAnsi="宋体" w:cs="宋体"/>
          <w:highlight w:val="none"/>
        </w:rPr>
        <w:t>全年发生各类安全生产事故147起，死亡13人，受伤18人，直接经济损失281万元。其中，道路交通事故22起，死亡12人，受伤17人，直接经济损失11.2万元；工矿商贸企业事故1起，死亡1人，受伤1人，直接经济损失115万元；消防火灾事故124起，无死亡和受伤，直接经济损失154.85万元。</w:t>
      </w:r>
    </w:p>
    <w:p w14:paraId="20E807B8">
      <w:pPr>
        <w:pStyle w:val="4"/>
        <w:bidi w:val="0"/>
        <w:rPr>
          <w:rFonts w:hint="eastAsia"/>
          <w:highlight w:val="none"/>
        </w:rPr>
      </w:pPr>
      <w:r>
        <w:rPr>
          <w:rFonts w:hint="eastAsia"/>
          <w:highlight w:val="none"/>
        </w:rPr>
        <w:t>十一、人口、资源、环境和社会</w:t>
      </w:r>
    </w:p>
    <w:p w14:paraId="59B35BE7">
      <w:pPr>
        <w:rPr>
          <w:rFonts w:hint="eastAsia" w:hAnsi="宋体" w:cs="宋体"/>
          <w:highlight w:val="none"/>
        </w:rPr>
      </w:pPr>
      <w:r>
        <w:rPr>
          <w:rFonts w:hint="eastAsia" w:hAnsi="宋体" w:cs="宋体"/>
          <w:highlight w:val="none"/>
        </w:rPr>
        <w:t>年末常住人口33.03万人，比上年增加0.26万人，增长0.79%。城镇常住人口比重45.87%，比上年提高0.65个百分点。全市户籍人口48.12万人，其中，城镇人口14.96万人，乡村人口33.16万人。全年出生人口6120人，人口出生率12.42‰；死亡人口2579人，人口死亡率5.23‰；人口自然增长率7.19‰。</w:t>
      </w:r>
    </w:p>
    <w:p w14:paraId="31E59C64">
      <w:pPr>
        <w:rPr>
          <w:rFonts w:hint="eastAsia" w:hAnsi="宋体" w:cs="宋体"/>
          <w:highlight w:val="none"/>
        </w:rPr>
      </w:pPr>
      <w:r>
        <w:rPr>
          <w:rFonts w:hint="eastAsia" w:hAnsi="宋体" w:cs="宋体"/>
          <w:highlight w:val="none"/>
        </w:rPr>
        <w:t>行政区域土地面积2326.18平方公里，其中，建成区面积89.3平方公里。年末耕地总资源65.19万亩，其中，常用耕地面积44.13万亩（其中，水田44.01万亩，水浇地0.11万亩）；年末减少耕地489.15亩。年末林地面积15.94万公顷，森林覆盖率66.86%，林木蓄积量912.77万立方米。银杏基地3.4万亩，毛竹基地39.1万亩，松林基地73.7万亩。</w:t>
      </w:r>
    </w:p>
    <w:p w14:paraId="0E613D72">
      <w:pPr>
        <w:rPr>
          <w:rFonts w:hint="eastAsia" w:hAnsi="宋体" w:cs="宋体"/>
          <w:highlight w:val="none"/>
        </w:rPr>
      </w:pPr>
      <w:r>
        <w:rPr>
          <w:rFonts w:hint="eastAsia" w:hAnsi="宋体" w:cs="宋体"/>
          <w:highlight w:val="none"/>
        </w:rPr>
        <w:t>全年治理水土流失面积0.25平方公里，同比增长40%；治理崩岗15个，同比增长47%，水土流失治理投资额480万元。审批开发建设项目水土保持方案13宗。</w:t>
      </w:r>
    </w:p>
    <w:p w14:paraId="1085BBCB">
      <w:pPr>
        <w:rPr>
          <w:rFonts w:hint="eastAsia" w:hAnsi="宋体" w:cs="宋体"/>
          <w:highlight w:val="none"/>
        </w:rPr>
      </w:pPr>
      <w:r>
        <w:rPr>
          <w:rFonts w:hint="eastAsia" w:hAnsi="宋体" w:cs="宋体"/>
          <w:highlight w:val="none"/>
        </w:rPr>
        <w:t>全市有省级森林公园1个、总面积1.06万亩，市级森林公园2个、总面积0.63万亩，县级森林公园8个，总面积15.58万亩。建立国家级湿地公园1个，面积2.5万亩。全市生态公益林、湿地公园、森林公园、保护区面积达到115万亩，占全市国土面积33%。荣获“中国特色竹乡”和“省林业生态县（市</w:t>
      </w:r>
      <w:r>
        <w:rPr>
          <w:rFonts w:hint="eastAsia" w:hAnsi="宋体" w:cs="宋体"/>
          <w:highlight w:val="none"/>
          <w:lang w:eastAsia="zh-CN"/>
        </w:rPr>
        <w:t>）</w:t>
      </w:r>
      <w:r>
        <w:rPr>
          <w:rFonts w:hint="eastAsia" w:hAnsi="宋体" w:cs="宋体"/>
          <w:highlight w:val="none"/>
        </w:rPr>
        <w:t>”称号</w:t>
      </w:r>
      <w:r>
        <w:rPr>
          <w:rFonts w:hint="eastAsia" w:hAnsi="宋体" w:cs="宋体"/>
          <w:highlight w:val="none"/>
          <w:lang w:eastAsia="zh-CN"/>
        </w:rPr>
        <w:t>，</w:t>
      </w:r>
      <w:r>
        <w:rPr>
          <w:rFonts w:hint="eastAsia" w:hAnsi="宋体" w:cs="宋体"/>
          <w:highlight w:val="none"/>
        </w:rPr>
        <w:t>创建“全国绿化模范县”通过国家验收。</w:t>
      </w:r>
    </w:p>
    <w:p w14:paraId="5B6120C4">
      <w:pPr>
        <w:rPr>
          <w:rFonts w:hint="eastAsia" w:hAnsi="宋体" w:cs="宋体"/>
          <w:highlight w:val="none"/>
        </w:rPr>
      </w:pPr>
      <w:r>
        <w:rPr>
          <w:rFonts w:hint="eastAsia" w:hAnsi="宋体" w:cs="宋体"/>
          <w:highlight w:val="none"/>
        </w:rPr>
        <w:t>全市大小河流110条。全年水资源总量18.33亿立方米。年末共有大中型水库6座，蓄水量0.82亿立方米；小型水库77座，蓄水量0.26亿立方米。全市有气象观测场1个；全年降雨量1866.8毫米，比上年增加415.1毫米。年平均气温20.6℃，与上年基本持平。全年日照时数1425.2小时，比上年减少352小时。</w:t>
      </w:r>
    </w:p>
    <w:p w14:paraId="60941D1C">
      <w:pPr>
        <w:rPr>
          <w:rFonts w:hint="eastAsia" w:hAnsi="宋体" w:cs="宋体"/>
          <w:highlight w:val="none"/>
        </w:rPr>
      </w:pPr>
      <w:r>
        <w:rPr>
          <w:rFonts w:hint="eastAsia" w:hAnsi="宋体" w:cs="宋体"/>
          <w:highlight w:val="none"/>
        </w:rPr>
        <w:t>年末园林绿化面积401.75公顷，其中，公共绿地面积116.76公顷。建成区绿化覆盖面积432.04公顷。</w:t>
      </w:r>
    </w:p>
    <w:p w14:paraId="575DF05E">
      <w:pPr>
        <w:rPr>
          <w:rFonts w:hint="eastAsia" w:hAnsi="宋体" w:cs="宋体"/>
          <w:highlight w:val="none"/>
        </w:rPr>
      </w:pPr>
      <w:r>
        <w:rPr>
          <w:rFonts w:hint="eastAsia" w:hAnsi="宋体" w:cs="宋体"/>
          <w:highlight w:val="none"/>
        </w:rPr>
        <w:t>全年规模以上工业综合能源消耗量10.18万吨标准煤，增长1.7%。全年全社会用电量40529万千瓦时，增长3.3%。其中，工业用电17522万千瓦时，增长4.3%；商业用电3903万千瓦时，增长3.4%；居民生活用电13132万千瓦时，增长1.4%，其中，城镇居民用电5112万千瓦时，增长2.8%，农村居民用电8020万千瓦时，同比增长0.5%。全市废水排放总量849.15万吨，下降14%；废气排放总量367326万标立方米，下降4.12%；生活污水处理率85.62%，提高5.68个百分点；环境污染治理投资2866.8万元，增长2.66倍。城市生活垃圾无害化处理率100%。2015年，建成珠玑、黄坑、乌迳三个中心镇污水处理厂。城市生活无害化垃圾填埋场投入使用。</w:t>
      </w:r>
    </w:p>
    <w:p w14:paraId="428F7149">
      <w:pPr>
        <w:rPr>
          <w:rFonts w:hint="eastAsia" w:hAnsi="宋体" w:cs="宋体"/>
          <w:highlight w:val="none"/>
        </w:rPr>
      </w:pPr>
      <w:r>
        <w:rPr>
          <w:rFonts w:hint="eastAsia" w:hAnsi="宋体" w:cs="宋体"/>
          <w:highlight w:val="none"/>
        </w:rPr>
        <w:t>全年刑事立案231件，刑事审结227件、审结率97.8%；民事立案1621件，民事审结1397件，审结率85.2%。劳动仲裁立案数125件，结案数125件，劳动仲裁结案数100%。</w:t>
      </w:r>
    </w:p>
    <w:p w14:paraId="537AE5CA">
      <w:pPr>
        <w:rPr>
          <w:rFonts w:hint="eastAsia" w:hAnsi="宋体" w:cs="宋体"/>
          <w:highlight w:val="none"/>
        </w:rPr>
      </w:pPr>
      <w:r>
        <w:rPr>
          <w:rFonts w:hint="eastAsia" w:hAnsi="宋体" w:cs="宋体"/>
          <w:highlight w:val="none"/>
        </w:rPr>
        <w:t>注：</w:t>
      </w:r>
    </w:p>
    <w:p w14:paraId="57F522CB">
      <w:pPr>
        <w:rPr>
          <w:rFonts w:hint="eastAsia" w:hAnsi="宋体" w:cs="宋体"/>
          <w:highlight w:val="none"/>
        </w:rPr>
      </w:pPr>
      <w:r>
        <w:rPr>
          <w:rFonts w:hint="eastAsia" w:hAnsi="宋体" w:cs="宋体"/>
          <w:highlight w:val="none"/>
        </w:rPr>
        <w:t>[1]本公报中各项统计数据为初步统计数，部分数据四舍五入的原因，存在着与分项合计不等的情况。</w:t>
      </w:r>
    </w:p>
    <w:p w14:paraId="304F7044">
      <w:pPr>
        <w:rPr>
          <w:rFonts w:hint="eastAsia" w:hAnsi="宋体" w:cs="宋体"/>
          <w:highlight w:val="none"/>
        </w:rPr>
      </w:pPr>
      <w:r>
        <w:rPr>
          <w:rFonts w:hint="eastAsia" w:hAnsi="宋体" w:cs="宋体"/>
          <w:highlight w:val="none"/>
        </w:rPr>
        <w:t>[2]地区生产总值、增加值、产值绝对数按当年价计算，增长速度按可比价计算。</w:t>
      </w:r>
    </w:p>
    <w:p w14:paraId="5D2A2F6E">
      <w:pPr>
        <w:rPr>
          <w:rFonts w:hint="eastAsia" w:hAnsi="宋体" w:cs="宋体"/>
          <w:highlight w:val="none"/>
        </w:rPr>
      </w:pPr>
      <w:r>
        <w:rPr>
          <w:rFonts w:hint="eastAsia" w:hAnsi="宋体" w:cs="宋体"/>
          <w:highlight w:val="none"/>
        </w:rPr>
        <w:t>[3]从2011年起，规模以上工业统计口径由500万元调整为2000万元及以上；固定资产投资项目统计起点由计划总投资50万元提高到500万元；限额以上批发企业标准，年主营业务收入2000万元以上；限额以上零售企业标准，年主营业务收入500万元以上；限额以上住宿餐饮企业标准，年主营业务收入200万元以上。</w:t>
      </w:r>
    </w:p>
    <w:p w14:paraId="3A642D62">
      <w:pPr>
        <w:rPr>
          <w:rFonts w:hint="eastAsia" w:hAnsi="宋体" w:cs="宋体"/>
          <w:highlight w:val="none"/>
        </w:rPr>
      </w:pPr>
      <w:r>
        <w:rPr>
          <w:rFonts w:hint="eastAsia" w:hAnsi="宋体" w:cs="宋体"/>
          <w:highlight w:val="none"/>
        </w:rPr>
        <w:t>[4]2015年人民币对美元平均汇率为6.4936。</w:t>
      </w:r>
    </w:p>
    <w:p w14:paraId="3C31D509">
      <w:pPr>
        <w:rPr>
          <w:rFonts w:hint="eastAsia" w:hAnsi="宋体" w:eastAsia="宋体" w:cs="宋体"/>
          <w:highlight w:val="none"/>
          <w:lang w:eastAsia="zh-CN"/>
        </w:rPr>
      </w:pPr>
      <w:r>
        <w:rPr>
          <w:rFonts w:hint="eastAsia" w:hAnsi="宋体" w:cs="宋体"/>
          <w:highlight w:val="none"/>
        </w:rPr>
        <w:t>[5]资料来源：本公报中城镇新增就业、登记失业率、农村劳动力转移数据来自市人力资源和社会保障局；社会保障数据来自韶关市社会保险服务管理局南雄分局；财政数据来自市财政局；货币金融数据来自市人民银行；外贸进出口总额、外商直接投资等数据来自市商务局；互联网用户、邮电业务总量等数据来自邮政及通信部门（单位）；旅游数据来自市旅游局；教育数据来自市教育局；科学技术、专利数据来自市经信局；气象数据来自市气象局；水利、用水数据来自市水务局；用电量数据来自广东电网韶关南雄供电局；测绘数据来自市国土资源局；博物馆、公共图书馆、文化馆等数据来自市文广新局；广播、电视数据来自市广播电视台；体育数据来自市体育局；卫生及人口计划生育数据来自市卫计局和市疾病预防控制中心；低保、社会组织数据来自市民政局；安全生产数据来自市安监局；环境监测数据来自市环保局；林业数据来自市林业局；水土流失治理数据来自市水保办；户籍人口数据来自市公安局；刑（民）事立（结）案数据来自市法院；劳动仲裁立（结）案数据来自市人力资源和社会保障局；其他数据来自市统计局和国家统计局南雄调查队。</w:t>
      </w:r>
    </w:p>
    <w:p w14:paraId="018872E9">
      <w:pPr>
        <w:pStyle w:val="3"/>
        <w:rPr>
          <w:rFonts w:hint="eastAsia"/>
          <w:highlight w:val="none"/>
        </w:rPr>
      </w:pPr>
      <w:r>
        <w:rPr>
          <w:rFonts w:hint="eastAsia"/>
          <w:highlight w:val="none"/>
        </w:rPr>
        <w:t>2015年南雄市国民经济和社会发展主要指标</w:t>
      </w:r>
    </w:p>
    <w:p w14:paraId="078C45FD">
      <w:pPr>
        <w:jc w:val="center"/>
        <w:rPr>
          <w:rFonts w:hint="eastAsia" w:hAnsi="宋体" w:cs="宋体"/>
          <w:highlight w:val="none"/>
        </w:rPr>
      </w:pPr>
      <w:r>
        <w:rPr>
          <w:rFonts w:hint="eastAsia" w:hAnsi="宋体" w:cs="宋体"/>
          <w:highlight w:val="none"/>
        </w:rPr>
        <w:t>南雄市基本情况</w:t>
      </w:r>
    </w:p>
    <w:p w14:paraId="707A5611">
      <w:pPr>
        <w:rPr>
          <w:rFonts w:hint="eastAsia" w:hAnsi="宋体" w:cs="宋体"/>
          <w:highlight w:val="none"/>
        </w:rPr>
      </w:pPr>
      <w:r>
        <w:rPr>
          <w:rFonts w:hint="eastAsia" w:hAnsi="宋体" w:cs="宋体"/>
          <w:highlight w:val="none"/>
        </w:rPr>
        <w:t>表42</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9"/>
        <w:gridCol w:w="1395"/>
        <w:gridCol w:w="2592"/>
      </w:tblGrid>
      <w:tr w14:paraId="7964F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4180" w:type="dxa"/>
            <w:noWrap/>
            <w:vAlign w:val="center"/>
          </w:tcPr>
          <w:p w14:paraId="1FDFA7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highlight w:val="none"/>
              </w:rPr>
            </w:pPr>
            <w:r>
              <w:rPr>
                <w:rFonts w:hint="eastAsia"/>
                <w:b w:val="0"/>
                <w:bCs/>
                <w:highlight w:val="none"/>
              </w:rPr>
              <w:t>指      标</w:t>
            </w:r>
          </w:p>
        </w:tc>
        <w:tc>
          <w:tcPr>
            <w:tcW w:w="1260" w:type="dxa"/>
            <w:noWrap/>
            <w:vAlign w:val="center"/>
          </w:tcPr>
          <w:p w14:paraId="220145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计量单位</w:t>
            </w:r>
          </w:p>
        </w:tc>
        <w:tc>
          <w:tcPr>
            <w:tcW w:w="2340" w:type="dxa"/>
            <w:noWrap/>
            <w:vAlign w:val="center"/>
          </w:tcPr>
          <w:p w14:paraId="0BA630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r>
      <w:tr w14:paraId="4298A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1609EE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highlight w:val="none"/>
              </w:rPr>
            </w:pPr>
            <w:r>
              <w:rPr>
                <w:rFonts w:hint="eastAsia"/>
                <w:b w:val="0"/>
                <w:bCs/>
                <w:highlight w:val="none"/>
              </w:rPr>
              <w:t>一、行政区</w:t>
            </w:r>
          </w:p>
        </w:tc>
        <w:tc>
          <w:tcPr>
            <w:tcW w:w="1260" w:type="dxa"/>
            <w:noWrap/>
            <w:vAlign w:val="center"/>
          </w:tcPr>
          <w:p w14:paraId="40EB98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340" w:type="dxa"/>
            <w:noWrap/>
            <w:vAlign w:val="center"/>
          </w:tcPr>
          <w:p w14:paraId="4DC7CD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6992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1AC09F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highlight w:val="none"/>
              </w:rPr>
            </w:pPr>
            <w:r>
              <w:rPr>
                <w:rFonts w:hint="eastAsia"/>
                <w:b w:val="0"/>
                <w:bCs/>
                <w:highlight w:val="none"/>
              </w:rPr>
              <w:t>镇（街道办事处）</w:t>
            </w:r>
          </w:p>
        </w:tc>
        <w:tc>
          <w:tcPr>
            <w:tcW w:w="1260" w:type="dxa"/>
            <w:noWrap/>
            <w:vAlign w:val="center"/>
          </w:tcPr>
          <w:p w14:paraId="72968C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2340" w:type="dxa"/>
            <w:noWrap/>
            <w:vAlign w:val="center"/>
          </w:tcPr>
          <w:p w14:paraId="085E1F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w:t>
            </w:r>
          </w:p>
        </w:tc>
      </w:tr>
      <w:tr w14:paraId="71A0A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372A84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村民委员会</w:t>
            </w:r>
          </w:p>
        </w:tc>
        <w:tc>
          <w:tcPr>
            <w:tcW w:w="1260" w:type="dxa"/>
            <w:noWrap/>
            <w:vAlign w:val="center"/>
          </w:tcPr>
          <w:p w14:paraId="329F84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2340" w:type="dxa"/>
            <w:noWrap/>
            <w:vAlign w:val="center"/>
          </w:tcPr>
          <w:p w14:paraId="5FE8C9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w:t>
            </w:r>
          </w:p>
        </w:tc>
      </w:tr>
      <w:tr w14:paraId="33D86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3338CD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居民委员会</w:t>
            </w:r>
          </w:p>
        </w:tc>
        <w:tc>
          <w:tcPr>
            <w:tcW w:w="1260" w:type="dxa"/>
            <w:noWrap/>
            <w:vAlign w:val="center"/>
          </w:tcPr>
          <w:p w14:paraId="38365D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2340" w:type="dxa"/>
            <w:noWrap/>
            <w:vAlign w:val="center"/>
          </w:tcPr>
          <w:p w14:paraId="385A39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w:t>
            </w:r>
          </w:p>
        </w:tc>
      </w:tr>
      <w:tr w14:paraId="4174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51C65C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村民小组</w:t>
            </w:r>
          </w:p>
        </w:tc>
        <w:tc>
          <w:tcPr>
            <w:tcW w:w="1260" w:type="dxa"/>
            <w:noWrap/>
            <w:vAlign w:val="center"/>
          </w:tcPr>
          <w:p w14:paraId="2050BD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2340" w:type="dxa"/>
            <w:noWrap/>
            <w:vAlign w:val="center"/>
          </w:tcPr>
          <w:p w14:paraId="569057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2585</w:t>
            </w:r>
          </w:p>
        </w:tc>
      </w:tr>
      <w:tr w14:paraId="40478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43404D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二、人口</w:t>
            </w:r>
          </w:p>
        </w:tc>
        <w:tc>
          <w:tcPr>
            <w:tcW w:w="1260" w:type="dxa"/>
            <w:noWrap/>
            <w:vAlign w:val="center"/>
          </w:tcPr>
          <w:p w14:paraId="146871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340" w:type="dxa"/>
            <w:noWrap/>
            <w:vAlign w:val="center"/>
          </w:tcPr>
          <w:p w14:paraId="62C185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8772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75E9C0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年末户籍人口</w:t>
            </w:r>
          </w:p>
        </w:tc>
        <w:tc>
          <w:tcPr>
            <w:tcW w:w="1260" w:type="dxa"/>
            <w:noWrap/>
            <w:vAlign w:val="center"/>
          </w:tcPr>
          <w:p w14:paraId="54280A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w:t>
            </w:r>
          </w:p>
        </w:tc>
        <w:tc>
          <w:tcPr>
            <w:tcW w:w="2340" w:type="dxa"/>
            <w:noWrap/>
            <w:vAlign w:val="center"/>
          </w:tcPr>
          <w:p w14:paraId="10C07C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48.12</w:t>
            </w:r>
          </w:p>
        </w:tc>
      </w:tr>
      <w:tr w14:paraId="2E5E7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5D81CE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#城镇人口</w:t>
            </w:r>
          </w:p>
        </w:tc>
        <w:tc>
          <w:tcPr>
            <w:tcW w:w="1260" w:type="dxa"/>
            <w:noWrap/>
            <w:vAlign w:val="center"/>
          </w:tcPr>
          <w:p w14:paraId="710A20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w:t>
            </w:r>
          </w:p>
        </w:tc>
        <w:tc>
          <w:tcPr>
            <w:tcW w:w="2340" w:type="dxa"/>
            <w:noWrap/>
            <w:vAlign w:val="center"/>
          </w:tcPr>
          <w:p w14:paraId="3FAB7B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14.96</w:t>
            </w:r>
          </w:p>
        </w:tc>
      </w:tr>
      <w:tr w14:paraId="7B6FD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7B40FF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乡村人口</w:t>
            </w:r>
          </w:p>
        </w:tc>
        <w:tc>
          <w:tcPr>
            <w:tcW w:w="1260" w:type="dxa"/>
            <w:noWrap/>
            <w:vAlign w:val="center"/>
          </w:tcPr>
          <w:p w14:paraId="077D8F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w:t>
            </w:r>
          </w:p>
        </w:tc>
        <w:tc>
          <w:tcPr>
            <w:tcW w:w="2340" w:type="dxa"/>
            <w:noWrap/>
            <w:vAlign w:val="center"/>
          </w:tcPr>
          <w:p w14:paraId="647DA6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33.16</w:t>
            </w:r>
          </w:p>
        </w:tc>
      </w:tr>
      <w:tr w14:paraId="0B93B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5C5AA9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年末户籍总户数</w:t>
            </w:r>
          </w:p>
        </w:tc>
        <w:tc>
          <w:tcPr>
            <w:tcW w:w="1260" w:type="dxa"/>
            <w:noWrap/>
            <w:vAlign w:val="center"/>
          </w:tcPr>
          <w:p w14:paraId="6E0220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万户</w:t>
            </w:r>
          </w:p>
        </w:tc>
        <w:tc>
          <w:tcPr>
            <w:tcW w:w="2340" w:type="dxa"/>
            <w:noWrap/>
            <w:vAlign w:val="center"/>
          </w:tcPr>
          <w:p w14:paraId="4A39D1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16.39</w:t>
            </w:r>
          </w:p>
        </w:tc>
      </w:tr>
      <w:tr w14:paraId="21BF3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231985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年末常住人口</w:t>
            </w:r>
          </w:p>
        </w:tc>
        <w:tc>
          <w:tcPr>
            <w:tcW w:w="1260" w:type="dxa"/>
            <w:noWrap/>
            <w:vAlign w:val="center"/>
          </w:tcPr>
          <w:p w14:paraId="76EADA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w:t>
            </w:r>
          </w:p>
        </w:tc>
        <w:tc>
          <w:tcPr>
            <w:tcW w:w="2340" w:type="dxa"/>
            <w:noWrap/>
            <w:vAlign w:val="center"/>
          </w:tcPr>
          <w:p w14:paraId="6C9095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33.03</w:t>
            </w:r>
          </w:p>
        </w:tc>
      </w:tr>
      <w:tr w14:paraId="0DFB5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191E03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#城镇人口</w:t>
            </w:r>
          </w:p>
        </w:tc>
        <w:tc>
          <w:tcPr>
            <w:tcW w:w="1260" w:type="dxa"/>
            <w:noWrap/>
            <w:vAlign w:val="center"/>
          </w:tcPr>
          <w:p w14:paraId="43C7C9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w:t>
            </w:r>
          </w:p>
        </w:tc>
        <w:tc>
          <w:tcPr>
            <w:tcW w:w="2340" w:type="dxa"/>
            <w:noWrap/>
            <w:vAlign w:val="center"/>
          </w:tcPr>
          <w:p w14:paraId="37E152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15.15</w:t>
            </w:r>
          </w:p>
        </w:tc>
      </w:tr>
      <w:tr w14:paraId="23770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6485E7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农村人口</w:t>
            </w:r>
          </w:p>
        </w:tc>
        <w:tc>
          <w:tcPr>
            <w:tcW w:w="1260" w:type="dxa"/>
            <w:noWrap/>
            <w:vAlign w:val="center"/>
          </w:tcPr>
          <w:p w14:paraId="77B038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w:t>
            </w:r>
          </w:p>
        </w:tc>
        <w:tc>
          <w:tcPr>
            <w:tcW w:w="2340" w:type="dxa"/>
            <w:noWrap/>
            <w:vAlign w:val="center"/>
          </w:tcPr>
          <w:p w14:paraId="6F263E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17.88</w:t>
            </w:r>
          </w:p>
        </w:tc>
      </w:tr>
      <w:tr w14:paraId="53403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56F579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人口出生率</w:t>
            </w:r>
          </w:p>
        </w:tc>
        <w:tc>
          <w:tcPr>
            <w:tcW w:w="1260" w:type="dxa"/>
            <w:noWrap/>
            <w:vAlign w:val="center"/>
          </w:tcPr>
          <w:p w14:paraId="1BB510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2340" w:type="dxa"/>
            <w:noWrap/>
            <w:vAlign w:val="center"/>
          </w:tcPr>
          <w:p w14:paraId="314467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12.42</w:t>
            </w:r>
          </w:p>
        </w:tc>
      </w:tr>
      <w:tr w14:paraId="7792A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11EAE0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人口死亡率</w:t>
            </w:r>
          </w:p>
        </w:tc>
        <w:tc>
          <w:tcPr>
            <w:tcW w:w="1260" w:type="dxa"/>
            <w:noWrap/>
            <w:vAlign w:val="center"/>
          </w:tcPr>
          <w:p w14:paraId="602F40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2340" w:type="dxa"/>
            <w:noWrap/>
            <w:vAlign w:val="center"/>
          </w:tcPr>
          <w:p w14:paraId="790066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5.23</w:t>
            </w:r>
          </w:p>
        </w:tc>
      </w:tr>
      <w:tr w14:paraId="08498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6748EC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人口自然增长率</w:t>
            </w:r>
          </w:p>
        </w:tc>
        <w:tc>
          <w:tcPr>
            <w:tcW w:w="1260" w:type="dxa"/>
            <w:noWrap/>
            <w:vAlign w:val="center"/>
          </w:tcPr>
          <w:p w14:paraId="77E8F0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2340" w:type="dxa"/>
            <w:noWrap/>
            <w:vAlign w:val="center"/>
          </w:tcPr>
          <w:p w14:paraId="4CD71F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7.19</w:t>
            </w:r>
          </w:p>
        </w:tc>
      </w:tr>
      <w:tr w14:paraId="634B1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6F8ECC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三、资源</w:t>
            </w:r>
          </w:p>
        </w:tc>
        <w:tc>
          <w:tcPr>
            <w:tcW w:w="1260" w:type="dxa"/>
            <w:noWrap/>
            <w:vAlign w:val="center"/>
          </w:tcPr>
          <w:p w14:paraId="581C1B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340" w:type="dxa"/>
            <w:noWrap/>
            <w:vAlign w:val="center"/>
          </w:tcPr>
          <w:p w14:paraId="40AE4A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EF96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7D3E53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土地面积</w:t>
            </w:r>
          </w:p>
        </w:tc>
        <w:tc>
          <w:tcPr>
            <w:tcW w:w="1260" w:type="dxa"/>
            <w:noWrap/>
            <w:vAlign w:val="center"/>
          </w:tcPr>
          <w:p w14:paraId="0500A7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平方公里</w:t>
            </w:r>
          </w:p>
        </w:tc>
        <w:tc>
          <w:tcPr>
            <w:tcW w:w="2340" w:type="dxa"/>
            <w:noWrap/>
            <w:vAlign w:val="center"/>
          </w:tcPr>
          <w:p w14:paraId="49BA81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2326.18</w:t>
            </w:r>
          </w:p>
        </w:tc>
      </w:tr>
      <w:tr w14:paraId="43074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2B6652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建设用地面积</w:t>
            </w:r>
          </w:p>
        </w:tc>
        <w:tc>
          <w:tcPr>
            <w:tcW w:w="1260" w:type="dxa"/>
            <w:noWrap/>
            <w:vAlign w:val="center"/>
          </w:tcPr>
          <w:p w14:paraId="7CD6A9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平方公里</w:t>
            </w:r>
          </w:p>
        </w:tc>
        <w:tc>
          <w:tcPr>
            <w:tcW w:w="2340" w:type="dxa"/>
            <w:noWrap/>
            <w:vAlign w:val="center"/>
          </w:tcPr>
          <w:p w14:paraId="3CDB50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118.73</w:t>
            </w:r>
          </w:p>
        </w:tc>
      </w:tr>
      <w:tr w14:paraId="7027B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349317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耕地总资源</w:t>
            </w:r>
          </w:p>
        </w:tc>
        <w:tc>
          <w:tcPr>
            <w:tcW w:w="1260" w:type="dxa"/>
            <w:noWrap/>
            <w:vAlign w:val="center"/>
          </w:tcPr>
          <w:p w14:paraId="0EE070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万亩</w:t>
            </w:r>
          </w:p>
        </w:tc>
        <w:tc>
          <w:tcPr>
            <w:tcW w:w="2340" w:type="dxa"/>
            <w:noWrap/>
            <w:vAlign w:val="center"/>
          </w:tcPr>
          <w:p w14:paraId="5FE1C0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65.32</w:t>
            </w:r>
          </w:p>
        </w:tc>
      </w:tr>
      <w:tr w14:paraId="3F0AB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784597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林地面积</w:t>
            </w:r>
          </w:p>
        </w:tc>
        <w:tc>
          <w:tcPr>
            <w:tcW w:w="1260" w:type="dxa"/>
            <w:noWrap/>
            <w:vAlign w:val="center"/>
          </w:tcPr>
          <w:p w14:paraId="5A686B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万亩</w:t>
            </w:r>
          </w:p>
        </w:tc>
        <w:tc>
          <w:tcPr>
            <w:tcW w:w="2340" w:type="dxa"/>
            <w:noWrap/>
            <w:vAlign w:val="center"/>
          </w:tcPr>
          <w:p w14:paraId="6042CB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236.95</w:t>
            </w:r>
          </w:p>
        </w:tc>
      </w:tr>
      <w:tr w14:paraId="4E592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07F62F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园地面积</w:t>
            </w:r>
          </w:p>
        </w:tc>
        <w:tc>
          <w:tcPr>
            <w:tcW w:w="1260" w:type="dxa"/>
            <w:noWrap/>
            <w:vAlign w:val="center"/>
          </w:tcPr>
          <w:p w14:paraId="5096EA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万亩</w:t>
            </w:r>
          </w:p>
        </w:tc>
        <w:tc>
          <w:tcPr>
            <w:tcW w:w="2340" w:type="dxa"/>
            <w:noWrap/>
            <w:vAlign w:val="center"/>
          </w:tcPr>
          <w:p w14:paraId="18CFB9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5.84</w:t>
            </w:r>
          </w:p>
        </w:tc>
      </w:tr>
      <w:tr w14:paraId="40FC4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649FF5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牧草地面积</w:t>
            </w:r>
          </w:p>
        </w:tc>
        <w:tc>
          <w:tcPr>
            <w:tcW w:w="1260" w:type="dxa"/>
            <w:noWrap/>
            <w:vAlign w:val="center"/>
          </w:tcPr>
          <w:p w14:paraId="659AFB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万亩</w:t>
            </w:r>
          </w:p>
        </w:tc>
        <w:tc>
          <w:tcPr>
            <w:tcW w:w="2340" w:type="dxa"/>
            <w:noWrap/>
            <w:vAlign w:val="center"/>
          </w:tcPr>
          <w:p w14:paraId="51F86D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6.03</w:t>
            </w:r>
          </w:p>
        </w:tc>
      </w:tr>
      <w:tr w14:paraId="528E7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35A1B2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森林覆盖率</w:t>
            </w:r>
          </w:p>
        </w:tc>
        <w:tc>
          <w:tcPr>
            <w:tcW w:w="1260" w:type="dxa"/>
            <w:noWrap/>
            <w:vAlign w:val="center"/>
          </w:tcPr>
          <w:p w14:paraId="4367EC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2340" w:type="dxa"/>
            <w:noWrap/>
            <w:vAlign w:val="center"/>
          </w:tcPr>
          <w:p w14:paraId="78C2A6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66.86</w:t>
            </w:r>
          </w:p>
        </w:tc>
      </w:tr>
      <w:tr w14:paraId="584AA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718BE8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活立木总蓄积量</w:t>
            </w:r>
          </w:p>
        </w:tc>
        <w:tc>
          <w:tcPr>
            <w:tcW w:w="1260" w:type="dxa"/>
            <w:noWrap/>
            <w:vAlign w:val="center"/>
          </w:tcPr>
          <w:p w14:paraId="0464C8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万立方米</w:t>
            </w:r>
          </w:p>
        </w:tc>
        <w:tc>
          <w:tcPr>
            <w:tcW w:w="2340" w:type="dxa"/>
            <w:noWrap/>
            <w:vAlign w:val="center"/>
          </w:tcPr>
          <w:p w14:paraId="03E10A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912.77</w:t>
            </w:r>
          </w:p>
        </w:tc>
      </w:tr>
      <w:tr w14:paraId="06733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4939FB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三十年平均降雨量</w:t>
            </w:r>
          </w:p>
        </w:tc>
        <w:tc>
          <w:tcPr>
            <w:tcW w:w="1260" w:type="dxa"/>
            <w:noWrap/>
            <w:vAlign w:val="center"/>
          </w:tcPr>
          <w:p w14:paraId="0EE161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毫米</w:t>
            </w:r>
          </w:p>
        </w:tc>
        <w:tc>
          <w:tcPr>
            <w:tcW w:w="2340" w:type="dxa"/>
            <w:noWrap/>
            <w:vAlign w:val="center"/>
          </w:tcPr>
          <w:p w14:paraId="120E34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1498</w:t>
            </w:r>
          </w:p>
        </w:tc>
      </w:tr>
      <w:tr w14:paraId="0F31D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jc w:val="center"/>
        </w:trPr>
        <w:tc>
          <w:tcPr>
            <w:tcW w:w="4180" w:type="dxa"/>
            <w:noWrap/>
            <w:vAlign w:val="center"/>
          </w:tcPr>
          <w:p w14:paraId="450AFF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年平均气温</w:t>
            </w:r>
          </w:p>
        </w:tc>
        <w:tc>
          <w:tcPr>
            <w:tcW w:w="1260" w:type="dxa"/>
            <w:noWrap/>
            <w:vAlign w:val="center"/>
          </w:tcPr>
          <w:p w14:paraId="2D03ED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摄氏度</w:t>
            </w:r>
          </w:p>
        </w:tc>
        <w:tc>
          <w:tcPr>
            <w:tcW w:w="2340" w:type="dxa"/>
            <w:noWrap/>
            <w:vAlign w:val="center"/>
          </w:tcPr>
          <w:p w14:paraId="593C52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20.6</w:t>
            </w:r>
          </w:p>
        </w:tc>
      </w:tr>
      <w:tr w14:paraId="04A9D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3668EA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主要矿产资源保有储量</w:t>
            </w:r>
          </w:p>
        </w:tc>
        <w:tc>
          <w:tcPr>
            <w:tcW w:w="1260" w:type="dxa"/>
            <w:noWrap/>
            <w:vAlign w:val="center"/>
          </w:tcPr>
          <w:p w14:paraId="2C7EB6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340" w:type="dxa"/>
            <w:noWrap/>
            <w:vAlign w:val="center"/>
          </w:tcPr>
          <w:p w14:paraId="61DC03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0FF8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0655B3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钨矿</w:t>
            </w:r>
          </w:p>
        </w:tc>
        <w:tc>
          <w:tcPr>
            <w:tcW w:w="1260" w:type="dxa"/>
            <w:noWrap/>
            <w:vAlign w:val="center"/>
          </w:tcPr>
          <w:p w14:paraId="52ABA3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2340" w:type="dxa"/>
            <w:noWrap/>
            <w:vAlign w:val="center"/>
          </w:tcPr>
          <w:p w14:paraId="089507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52627</w:t>
            </w:r>
          </w:p>
        </w:tc>
      </w:tr>
      <w:tr w14:paraId="5E6CA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7A3ACD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铋矿</w:t>
            </w:r>
          </w:p>
        </w:tc>
        <w:tc>
          <w:tcPr>
            <w:tcW w:w="1260" w:type="dxa"/>
            <w:noWrap/>
            <w:vAlign w:val="center"/>
          </w:tcPr>
          <w:p w14:paraId="23ED66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2340" w:type="dxa"/>
            <w:noWrap/>
            <w:vAlign w:val="center"/>
          </w:tcPr>
          <w:p w14:paraId="438610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151.37</w:t>
            </w:r>
          </w:p>
        </w:tc>
      </w:tr>
      <w:tr w14:paraId="1E9DC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09AA72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钼矿</w:t>
            </w:r>
          </w:p>
        </w:tc>
        <w:tc>
          <w:tcPr>
            <w:tcW w:w="1260" w:type="dxa"/>
            <w:noWrap/>
            <w:vAlign w:val="center"/>
          </w:tcPr>
          <w:p w14:paraId="651469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2340" w:type="dxa"/>
            <w:noWrap/>
            <w:vAlign w:val="center"/>
          </w:tcPr>
          <w:p w14:paraId="4E2A77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54.92</w:t>
            </w:r>
          </w:p>
        </w:tc>
      </w:tr>
      <w:tr w14:paraId="5E85D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4A6681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萤石矿</w:t>
            </w:r>
          </w:p>
        </w:tc>
        <w:tc>
          <w:tcPr>
            <w:tcW w:w="1260" w:type="dxa"/>
            <w:noWrap/>
            <w:vAlign w:val="center"/>
          </w:tcPr>
          <w:p w14:paraId="0BB4FC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2340" w:type="dxa"/>
            <w:noWrap/>
            <w:vAlign w:val="center"/>
          </w:tcPr>
          <w:p w14:paraId="3DCF83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142305</w:t>
            </w:r>
          </w:p>
        </w:tc>
      </w:tr>
      <w:tr w14:paraId="5A8CA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180" w:type="dxa"/>
            <w:noWrap/>
            <w:vAlign w:val="center"/>
          </w:tcPr>
          <w:p w14:paraId="6AED41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水泥用灰岩</w:t>
            </w:r>
          </w:p>
        </w:tc>
        <w:tc>
          <w:tcPr>
            <w:tcW w:w="1260" w:type="dxa"/>
            <w:noWrap/>
            <w:vAlign w:val="center"/>
          </w:tcPr>
          <w:p w14:paraId="54DCEE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2340" w:type="dxa"/>
            <w:noWrap/>
            <w:vAlign w:val="center"/>
          </w:tcPr>
          <w:p w14:paraId="09D92B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927330</w:t>
            </w:r>
          </w:p>
        </w:tc>
      </w:tr>
    </w:tbl>
    <w:p w14:paraId="5FE67A78">
      <w:pPr>
        <w:jc w:val="center"/>
        <w:rPr>
          <w:rFonts w:hint="eastAsia" w:hAnsi="宋体" w:cs="宋体"/>
          <w:highlight w:val="none"/>
        </w:rPr>
      </w:pPr>
      <w:r>
        <w:rPr>
          <w:rFonts w:hint="eastAsia" w:hAnsi="宋体" w:cs="宋体"/>
          <w:highlight w:val="none"/>
        </w:rPr>
        <w:t>全市分镇</w:t>
      </w:r>
      <w:r>
        <w:rPr>
          <w:rFonts w:hint="eastAsia" w:hAnsi="宋体" w:cs="宋体"/>
          <w:highlight w:val="none"/>
          <w:lang w:eastAsia="zh-CN"/>
        </w:rPr>
        <w:t>（</w:t>
      </w:r>
      <w:r>
        <w:rPr>
          <w:rFonts w:hint="eastAsia" w:hAnsi="宋体" w:cs="宋体"/>
          <w:highlight w:val="none"/>
        </w:rPr>
        <w:t>街道</w:t>
      </w:r>
      <w:r>
        <w:rPr>
          <w:rFonts w:hint="eastAsia" w:hAnsi="宋体" w:cs="宋体"/>
          <w:highlight w:val="none"/>
          <w:lang w:eastAsia="zh-CN"/>
        </w:rPr>
        <w:t>）</w:t>
      </w:r>
      <w:r>
        <w:rPr>
          <w:rFonts w:hint="eastAsia" w:hAnsi="宋体" w:cs="宋体"/>
          <w:highlight w:val="none"/>
        </w:rPr>
        <w:t>行政区与人口</w:t>
      </w:r>
    </w:p>
    <w:p w14:paraId="3EA9770F">
      <w:pPr>
        <w:rPr>
          <w:rFonts w:hint="eastAsia" w:hAnsi="宋体" w:eastAsia="宋体" w:cs="宋体"/>
          <w:highlight w:val="none"/>
          <w:lang w:eastAsia="zh-CN"/>
        </w:rPr>
      </w:pPr>
      <w:r>
        <w:rPr>
          <w:rFonts w:hint="eastAsia" w:hAnsi="宋体" w:cs="宋体"/>
          <w:highlight w:val="none"/>
        </w:rPr>
        <w:t>表43</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8"/>
        <w:gridCol w:w="1113"/>
        <w:gridCol w:w="1113"/>
        <w:gridCol w:w="1773"/>
        <w:gridCol w:w="1587"/>
        <w:gridCol w:w="1402"/>
      </w:tblGrid>
      <w:tr w14:paraId="652B5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vMerge w:val="restart"/>
            <w:noWrap w:val="0"/>
            <w:vAlign w:val="center"/>
          </w:tcPr>
          <w:p w14:paraId="34B1BB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restart"/>
            <w:noWrap w:val="0"/>
            <w:vAlign w:val="center"/>
          </w:tcPr>
          <w:p w14:paraId="699D12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1、村民委员会（个）</w:t>
            </w:r>
          </w:p>
        </w:tc>
        <w:tc>
          <w:tcPr>
            <w:tcW w:w="1080" w:type="dxa"/>
            <w:vMerge w:val="restart"/>
            <w:noWrap w:val="0"/>
            <w:vAlign w:val="center"/>
          </w:tcPr>
          <w:p w14:paraId="3146E1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2、居民委员会（个）</w:t>
            </w:r>
          </w:p>
        </w:tc>
        <w:tc>
          <w:tcPr>
            <w:tcW w:w="1720" w:type="dxa"/>
            <w:vMerge w:val="restart"/>
            <w:noWrap w:val="0"/>
            <w:vAlign w:val="center"/>
          </w:tcPr>
          <w:p w14:paraId="0C673D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3、年末户籍总人口（万人）</w:t>
            </w:r>
          </w:p>
        </w:tc>
        <w:tc>
          <w:tcPr>
            <w:tcW w:w="1540" w:type="dxa"/>
            <w:vMerge w:val="restart"/>
            <w:noWrap w:val="0"/>
            <w:vAlign w:val="center"/>
          </w:tcPr>
          <w:p w14:paraId="57D1B4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4、年末常住人口（万人）</w:t>
            </w:r>
          </w:p>
        </w:tc>
        <w:tc>
          <w:tcPr>
            <w:tcW w:w="1360" w:type="dxa"/>
            <w:vMerge w:val="restart"/>
            <w:noWrap w:val="0"/>
            <w:vAlign w:val="center"/>
          </w:tcPr>
          <w:p w14:paraId="11CCC4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5、年末常住总户数（户）</w:t>
            </w:r>
          </w:p>
        </w:tc>
      </w:tr>
      <w:tr w14:paraId="01929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vMerge w:val="continue"/>
            <w:noWrap w:val="0"/>
            <w:vAlign w:val="center"/>
          </w:tcPr>
          <w:p w14:paraId="17D573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continue"/>
            <w:noWrap w:val="0"/>
            <w:vAlign w:val="center"/>
          </w:tcPr>
          <w:p w14:paraId="4C9390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continue"/>
            <w:noWrap w:val="0"/>
            <w:vAlign w:val="center"/>
          </w:tcPr>
          <w:p w14:paraId="759757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720" w:type="dxa"/>
            <w:vMerge w:val="continue"/>
            <w:noWrap w:val="0"/>
            <w:vAlign w:val="center"/>
          </w:tcPr>
          <w:p w14:paraId="5F5503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40" w:type="dxa"/>
            <w:vMerge w:val="continue"/>
            <w:noWrap w:val="0"/>
            <w:vAlign w:val="center"/>
          </w:tcPr>
          <w:p w14:paraId="503B9F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360" w:type="dxa"/>
            <w:vMerge w:val="continue"/>
            <w:noWrap w:val="0"/>
            <w:vAlign w:val="center"/>
          </w:tcPr>
          <w:p w14:paraId="7DEFA7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CBA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75AF75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 市</w:t>
            </w:r>
          </w:p>
        </w:tc>
        <w:tc>
          <w:tcPr>
            <w:tcW w:w="1080" w:type="dxa"/>
            <w:noWrap/>
            <w:vAlign w:val="center"/>
          </w:tcPr>
          <w:p w14:paraId="76B74B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w:t>
            </w:r>
          </w:p>
        </w:tc>
        <w:tc>
          <w:tcPr>
            <w:tcW w:w="1080" w:type="dxa"/>
            <w:noWrap/>
            <w:vAlign w:val="center"/>
          </w:tcPr>
          <w:p w14:paraId="423D0D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w:t>
            </w:r>
          </w:p>
        </w:tc>
        <w:tc>
          <w:tcPr>
            <w:tcW w:w="1720" w:type="dxa"/>
            <w:noWrap/>
            <w:vAlign w:val="center"/>
          </w:tcPr>
          <w:p w14:paraId="74E195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48.12</w:t>
            </w:r>
          </w:p>
        </w:tc>
        <w:tc>
          <w:tcPr>
            <w:tcW w:w="1540" w:type="dxa"/>
            <w:noWrap/>
            <w:vAlign w:val="center"/>
          </w:tcPr>
          <w:p w14:paraId="472A94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33.03</w:t>
            </w:r>
          </w:p>
        </w:tc>
        <w:tc>
          <w:tcPr>
            <w:tcW w:w="1360" w:type="dxa"/>
            <w:noWrap/>
            <w:vAlign w:val="center"/>
          </w:tcPr>
          <w:p w14:paraId="0A3FC0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117767</w:t>
            </w:r>
          </w:p>
        </w:tc>
      </w:tr>
      <w:tr w14:paraId="3C34A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61CBE6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乌迳镇</w:t>
            </w:r>
          </w:p>
        </w:tc>
        <w:tc>
          <w:tcPr>
            <w:tcW w:w="1080" w:type="dxa"/>
            <w:noWrap/>
            <w:vAlign w:val="center"/>
          </w:tcPr>
          <w:p w14:paraId="46392C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1080" w:type="dxa"/>
            <w:noWrap/>
            <w:vAlign w:val="center"/>
          </w:tcPr>
          <w:p w14:paraId="725A50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768DB4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4.60</w:t>
            </w:r>
          </w:p>
        </w:tc>
        <w:tc>
          <w:tcPr>
            <w:tcW w:w="1540" w:type="dxa"/>
            <w:noWrap/>
            <w:vAlign w:val="center"/>
          </w:tcPr>
          <w:p w14:paraId="3E0DFE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2.78</w:t>
            </w:r>
          </w:p>
        </w:tc>
        <w:tc>
          <w:tcPr>
            <w:tcW w:w="1360" w:type="dxa"/>
            <w:noWrap/>
            <w:vAlign w:val="center"/>
          </w:tcPr>
          <w:p w14:paraId="619914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11202</w:t>
            </w:r>
          </w:p>
        </w:tc>
      </w:tr>
      <w:tr w14:paraId="01403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5D3CC6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界址镇</w:t>
            </w:r>
          </w:p>
        </w:tc>
        <w:tc>
          <w:tcPr>
            <w:tcW w:w="1080" w:type="dxa"/>
            <w:noWrap/>
            <w:vAlign w:val="center"/>
          </w:tcPr>
          <w:p w14:paraId="02DF3F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80" w:type="dxa"/>
            <w:noWrap/>
            <w:vAlign w:val="center"/>
          </w:tcPr>
          <w:p w14:paraId="0E745F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0CFC16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1.49</w:t>
            </w:r>
          </w:p>
        </w:tc>
        <w:tc>
          <w:tcPr>
            <w:tcW w:w="1540" w:type="dxa"/>
            <w:noWrap/>
            <w:vAlign w:val="center"/>
          </w:tcPr>
          <w:p w14:paraId="7A5F7D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0.83</w:t>
            </w:r>
          </w:p>
        </w:tc>
        <w:tc>
          <w:tcPr>
            <w:tcW w:w="1360" w:type="dxa"/>
            <w:noWrap/>
            <w:vAlign w:val="center"/>
          </w:tcPr>
          <w:p w14:paraId="3E8F29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3436</w:t>
            </w:r>
          </w:p>
        </w:tc>
      </w:tr>
      <w:tr w14:paraId="3BDB0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5B0778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坪田镇</w:t>
            </w:r>
          </w:p>
        </w:tc>
        <w:tc>
          <w:tcPr>
            <w:tcW w:w="1080" w:type="dxa"/>
            <w:noWrap/>
            <w:vAlign w:val="center"/>
          </w:tcPr>
          <w:p w14:paraId="406A3C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1080" w:type="dxa"/>
            <w:noWrap/>
            <w:vAlign w:val="center"/>
          </w:tcPr>
          <w:p w14:paraId="18E17D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54D7D7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2.38</w:t>
            </w:r>
          </w:p>
        </w:tc>
        <w:tc>
          <w:tcPr>
            <w:tcW w:w="1540" w:type="dxa"/>
            <w:noWrap/>
            <w:vAlign w:val="center"/>
          </w:tcPr>
          <w:p w14:paraId="256F6C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1.51</w:t>
            </w:r>
          </w:p>
        </w:tc>
        <w:tc>
          <w:tcPr>
            <w:tcW w:w="1360" w:type="dxa"/>
            <w:noWrap/>
            <w:vAlign w:val="center"/>
          </w:tcPr>
          <w:p w14:paraId="601BF2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5532</w:t>
            </w:r>
          </w:p>
        </w:tc>
      </w:tr>
      <w:tr w14:paraId="241F7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71DF77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黄坑镇</w:t>
            </w:r>
          </w:p>
        </w:tc>
        <w:tc>
          <w:tcPr>
            <w:tcW w:w="1080" w:type="dxa"/>
            <w:noWrap/>
            <w:vAlign w:val="center"/>
          </w:tcPr>
          <w:p w14:paraId="6A97C7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080" w:type="dxa"/>
            <w:noWrap/>
            <w:vAlign w:val="center"/>
          </w:tcPr>
          <w:p w14:paraId="18BFBA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487037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2.45</w:t>
            </w:r>
          </w:p>
        </w:tc>
        <w:tc>
          <w:tcPr>
            <w:tcW w:w="1540" w:type="dxa"/>
            <w:noWrap/>
            <w:vAlign w:val="center"/>
          </w:tcPr>
          <w:p w14:paraId="277005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1.53</w:t>
            </w:r>
          </w:p>
        </w:tc>
        <w:tc>
          <w:tcPr>
            <w:tcW w:w="1360" w:type="dxa"/>
            <w:noWrap/>
            <w:vAlign w:val="center"/>
          </w:tcPr>
          <w:p w14:paraId="451096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6182</w:t>
            </w:r>
          </w:p>
        </w:tc>
      </w:tr>
      <w:tr w14:paraId="6D036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05E1C8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邓坊镇</w:t>
            </w:r>
          </w:p>
        </w:tc>
        <w:tc>
          <w:tcPr>
            <w:tcW w:w="1080" w:type="dxa"/>
            <w:noWrap/>
            <w:vAlign w:val="center"/>
          </w:tcPr>
          <w:p w14:paraId="3F4CC9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80" w:type="dxa"/>
            <w:noWrap/>
            <w:vAlign w:val="center"/>
          </w:tcPr>
          <w:p w14:paraId="769C02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458FE2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1.68</w:t>
            </w:r>
          </w:p>
        </w:tc>
        <w:tc>
          <w:tcPr>
            <w:tcW w:w="1540" w:type="dxa"/>
            <w:noWrap/>
            <w:vAlign w:val="center"/>
          </w:tcPr>
          <w:p w14:paraId="407EC5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w:t>
            </w:r>
          </w:p>
        </w:tc>
        <w:tc>
          <w:tcPr>
            <w:tcW w:w="1360" w:type="dxa"/>
            <w:noWrap/>
            <w:vAlign w:val="center"/>
          </w:tcPr>
          <w:p w14:paraId="71CE69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4736</w:t>
            </w:r>
          </w:p>
        </w:tc>
      </w:tr>
      <w:tr w14:paraId="5C573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1CA916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油山镇</w:t>
            </w:r>
          </w:p>
        </w:tc>
        <w:tc>
          <w:tcPr>
            <w:tcW w:w="1080" w:type="dxa"/>
            <w:noWrap/>
            <w:vAlign w:val="center"/>
          </w:tcPr>
          <w:p w14:paraId="774384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w:t>
            </w:r>
          </w:p>
        </w:tc>
        <w:tc>
          <w:tcPr>
            <w:tcW w:w="1080" w:type="dxa"/>
            <w:noWrap/>
            <w:vAlign w:val="center"/>
          </w:tcPr>
          <w:p w14:paraId="38C3C8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76C97D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3.25</w:t>
            </w:r>
          </w:p>
        </w:tc>
        <w:tc>
          <w:tcPr>
            <w:tcW w:w="1540" w:type="dxa"/>
            <w:noWrap/>
            <w:vAlign w:val="center"/>
          </w:tcPr>
          <w:p w14:paraId="37B6AE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1.72</w:t>
            </w:r>
          </w:p>
        </w:tc>
        <w:tc>
          <w:tcPr>
            <w:tcW w:w="1360" w:type="dxa"/>
            <w:noWrap/>
            <w:vAlign w:val="center"/>
          </w:tcPr>
          <w:p w14:paraId="711B43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7898</w:t>
            </w:r>
          </w:p>
        </w:tc>
      </w:tr>
      <w:tr w14:paraId="7CA29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6DCEB8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南亩镇</w:t>
            </w:r>
          </w:p>
        </w:tc>
        <w:tc>
          <w:tcPr>
            <w:tcW w:w="1080" w:type="dxa"/>
            <w:noWrap/>
            <w:vAlign w:val="center"/>
          </w:tcPr>
          <w:p w14:paraId="128562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1080" w:type="dxa"/>
            <w:noWrap/>
            <w:vAlign w:val="center"/>
          </w:tcPr>
          <w:p w14:paraId="387A05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696B90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1.67</w:t>
            </w:r>
          </w:p>
        </w:tc>
        <w:tc>
          <w:tcPr>
            <w:tcW w:w="1540" w:type="dxa"/>
            <w:noWrap/>
            <w:vAlign w:val="center"/>
          </w:tcPr>
          <w:p w14:paraId="456848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0.90</w:t>
            </w:r>
          </w:p>
        </w:tc>
        <w:tc>
          <w:tcPr>
            <w:tcW w:w="1360" w:type="dxa"/>
            <w:noWrap/>
            <w:vAlign w:val="center"/>
          </w:tcPr>
          <w:p w14:paraId="66031D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3812</w:t>
            </w:r>
          </w:p>
        </w:tc>
      </w:tr>
      <w:tr w14:paraId="0F033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68EC3B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水口镇</w:t>
            </w:r>
          </w:p>
        </w:tc>
        <w:tc>
          <w:tcPr>
            <w:tcW w:w="1080" w:type="dxa"/>
            <w:noWrap/>
            <w:vAlign w:val="center"/>
          </w:tcPr>
          <w:p w14:paraId="598D33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80" w:type="dxa"/>
            <w:noWrap/>
            <w:vAlign w:val="center"/>
          </w:tcPr>
          <w:p w14:paraId="75B932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63771C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2.41</w:t>
            </w:r>
          </w:p>
        </w:tc>
        <w:tc>
          <w:tcPr>
            <w:tcW w:w="1540" w:type="dxa"/>
            <w:noWrap/>
            <w:vAlign w:val="center"/>
          </w:tcPr>
          <w:p w14:paraId="3CD1E4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1.78</w:t>
            </w:r>
          </w:p>
        </w:tc>
        <w:tc>
          <w:tcPr>
            <w:tcW w:w="1360" w:type="dxa"/>
            <w:noWrap/>
            <w:vAlign w:val="center"/>
          </w:tcPr>
          <w:p w14:paraId="2E95EE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6016</w:t>
            </w:r>
          </w:p>
        </w:tc>
      </w:tr>
      <w:tr w14:paraId="5E2C8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1C5D12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江头镇</w:t>
            </w:r>
          </w:p>
        </w:tc>
        <w:tc>
          <w:tcPr>
            <w:tcW w:w="1080" w:type="dxa"/>
            <w:noWrap/>
            <w:vAlign w:val="center"/>
          </w:tcPr>
          <w:p w14:paraId="55F018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80" w:type="dxa"/>
            <w:noWrap/>
            <w:vAlign w:val="center"/>
          </w:tcPr>
          <w:p w14:paraId="456D47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1643E1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1.25</w:t>
            </w:r>
          </w:p>
        </w:tc>
        <w:tc>
          <w:tcPr>
            <w:tcW w:w="1540" w:type="dxa"/>
            <w:noWrap/>
            <w:vAlign w:val="center"/>
          </w:tcPr>
          <w:p w14:paraId="00CBF2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0.73</w:t>
            </w:r>
          </w:p>
        </w:tc>
        <w:tc>
          <w:tcPr>
            <w:tcW w:w="1360" w:type="dxa"/>
            <w:noWrap/>
            <w:vAlign w:val="center"/>
          </w:tcPr>
          <w:p w14:paraId="6E6481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2692</w:t>
            </w:r>
          </w:p>
        </w:tc>
      </w:tr>
      <w:tr w14:paraId="1F991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5D6164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湖口镇</w:t>
            </w:r>
          </w:p>
        </w:tc>
        <w:tc>
          <w:tcPr>
            <w:tcW w:w="1080" w:type="dxa"/>
            <w:noWrap/>
            <w:vAlign w:val="center"/>
          </w:tcPr>
          <w:p w14:paraId="174949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080" w:type="dxa"/>
            <w:noWrap/>
            <w:vAlign w:val="center"/>
          </w:tcPr>
          <w:p w14:paraId="50CD87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144231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3.54</w:t>
            </w:r>
          </w:p>
        </w:tc>
        <w:tc>
          <w:tcPr>
            <w:tcW w:w="1540" w:type="dxa"/>
            <w:noWrap/>
            <w:vAlign w:val="center"/>
          </w:tcPr>
          <w:p w14:paraId="31B1E6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1.90</w:t>
            </w:r>
          </w:p>
        </w:tc>
        <w:tc>
          <w:tcPr>
            <w:tcW w:w="1360" w:type="dxa"/>
            <w:noWrap/>
            <w:vAlign w:val="center"/>
          </w:tcPr>
          <w:p w14:paraId="1005C4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8816</w:t>
            </w:r>
          </w:p>
        </w:tc>
      </w:tr>
      <w:tr w14:paraId="2001E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580" w:type="dxa"/>
            <w:noWrap/>
            <w:vAlign w:val="center"/>
          </w:tcPr>
          <w:p w14:paraId="1A2125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珠玑镇</w:t>
            </w:r>
          </w:p>
        </w:tc>
        <w:tc>
          <w:tcPr>
            <w:tcW w:w="1080" w:type="dxa"/>
            <w:noWrap/>
            <w:vAlign w:val="center"/>
          </w:tcPr>
          <w:p w14:paraId="6481DC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w:t>
            </w:r>
          </w:p>
        </w:tc>
        <w:tc>
          <w:tcPr>
            <w:tcW w:w="1080" w:type="dxa"/>
            <w:noWrap/>
            <w:vAlign w:val="center"/>
          </w:tcPr>
          <w:p w14:paraId="0D8118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22C511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4.43</w:t>
            </w:r>
          </w:p>
        </w:tc>
        <w:tc>
          <w:tcPr>
            <w:tcW w:w="1540" w:type="dxa"/>
            <w:noWrap/>
            <w:vAlign w:val="center"/>
          </w:tcPr>
          <w:p w14:paraId="01261E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2.33</w:t>
            </w:r>
          </w:p>
        </w:tc>
        <w:tc>
          <w:tcPr>
            <w:tcW w:w="1360" w:type="dxa"/>
            <w:noWrap/>
            <w:vAlign w:val="center"/>
          </w:tcPr>
          <w:p w14:paraId="7A36D7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11249</w:t>
            </w:r>
          </w:p>
        </w:tc>
      </w:tr>
      <w:tr w14:paraId="14BA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4DE0C5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主田镇</w:t>
            </w:r>
          </w:p>
        </w:tc>
        <w:tc>
          <w:tcPr>
            <w:tcW w:w="1080" w:type="dxa"/>
            <w:noWrap/>
            <w:vAlign w:val="center"/>
          </w:tcPr>
          <w:p w14:paraId="746C90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80" w:type="dxa"/>
            <w:noWrap/>
            <w:vAlign w:val="center"/>
          </w:tcPr>
          <w:p w14:paraId="062E09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7699E6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1.46</w:t>
            </w:r>
          </w:p>
        </w:tc>
        <w:tc>
          <w:tcPr>
            <w:tcW w:w="1540" w:type="dxa"/>
            <w:noWrap/>
            <w:vAlign w:val="center"/>
          </w:tcPr>
          <w:p w14:paraId="732CAF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0.98</w:t>
            </w:r>
          </w:p>
        </w:tc>
        <w:tc>
          <w:tcPr>
            <w:tcW w:w="1360" w:type="dxa"/>
            <w:noWrap/>
            <w:vAlign w:val="center"/>
          </w:tcPr>
          <w:p w14:paraId="2F76CC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3183</w:t>
            </w:r>
          </w:p>
        </w:tc>
      </w:tr>
      <w:tr w14:paraId="0FC5D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6B0A95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古市镇</w:t>
            </w:r>
          </w:p>
        </w:tc>
        <w:tc>
          <w:tcPr>
            <w:tcW w:w="1080" w:type="dxa"/>
            <w:noWrap/>
            <w:vAlign w:val="center"/>
          </w:tcPr>
          <w:p w14:paraId="3BD28B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80" w:type="dxa"/>
            <w:noWrap/>
            <w:vAlign w:val="center"/>
          </w:tcPr>
          <w:p w14:paraId="246F24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36B4D1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w:t>
            </w:r>
          </w:p>
        </w:tc>
        <w:tc>
          <w:tcPr>
            <w:tcW w:w="1540" w:type="dxa"/>
            <w:noWrap/>
            <w:vAlign w:val="center"/>
          </w:tcPr>
          <w:p w14:paraId="38EB73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1.31</w:t>
            </w:r>
          </w:p>
        </w:tc>
        <w:tc>
          <w:tcPr>
            <w:tcW w:w="1360" w:type="dxa"/>
            <w:noWrap/>
            <w:vAlign w:val="center"/>
          </w:tcPr>
          <w:p w14:paraId="28817E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5130</w:t>
            </w:r>
          </w:p>
        </w:tc>
      </w:tr>
      <w:tr w14:paraId="56320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692644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全安镇</w:t>
            </w:r>
          </w:p>
        </w:tc>
        <w:tc>
          <w:tcPr>
            <w:tcW w:w="1080" w:type="dxa"/>
            <w:noWrap/>
            <w:vAlign w:val="center"/>
          </w:tcPr>
          <w:p w14:paraId="3DB5E0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80" w:type="dxa"/>
            <w:noWrap/>
            <w:vAlign w:val="center"/>
          </w:tcPr>
          <w:p w14:paraId="1693C3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7C6FE7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2.76</w:t>
            </w:r>
          </w:p>
        </w:tc>
        <w:tc>
          <w:tcPr>
            <w:tcW w:w="1540" w:type="dxa"/>
            <w:noWrap/>
            <w:vAlign w:val="center"/>
          </w:tcPr>
          <w:p w14:paraId="56C992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1.63</w:t>
            </w:r>
          </w:p>
        </w:tc>
        <w:tc>
          <w:tcPr>
            <w:tcW w:w="1360" w:type="dxa"/>
            <w:noWrap/>
            <w:vAlign w:val="center"/>
          </w:tcPr>
          <w:p w14:paraId="49635D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6207</w:t>
            </w:r>
          </w:p>
        </w:tc>
      </w:tr>
      <w:tr w14:paraId="74C72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19C6AE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百顺镇</w:t>
            </w:r>
          </w:p>
        </w:tc>
        <w:tc>
          <w:tcPr>
            <w:tcW w:w="1080" w:type="dxa"/>
            <w:noWrap/>
            <w:vAlign w:val="center"/>
          </w:tcPr>
          <w:p w14:paraId="5A5735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80" w:type="dxa"/>
            <w:noWrap/>
            <w:vAlign w:val="center"/>
          </w:tcPr>
          <w:p w14:paraId="588F38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22889F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1.32</w:t>
            </w:r>
          </w:p>
        </w:tc>
        <w:tc>
          <w:tcPr>
            <w:tcW w:w="1540" w:type="dxa"/>
            <w:noWrap/>
            <w:vAlign w:val="center"/>
          </w:tcPr>
          <w:p w14:paraId="017C9E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w:t>
            </w:r>
          </w:p>
        </w:tc>
        <w:tc>
          <w:tcPr>
            <w:tcW w:w="1360" w:type="dxa"/>
            <w:noWrap/>
            <w:vAlign w:val="center"/>
          </w:tcPr>
          <w:p w14:paraId="7502AE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3755</w:t>
            </w:r>
          </w:p>
        </w:tc>
      </w:tr>
      <w:tr w14:paraId="39C27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16D15C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澜河镇</w:t>
            </w:r>
          </w:p>
        </w:tc>
        <w:tc>
          <w:tcPr>
            <w:tcW w:w="1080" w:type="dxa"/>
            <w:noWrap/>
            <w:vAlign w:val="center"/>
          </w:tcPr>
          <w:p w14:paraId="16AE77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080" w:type="dxa"/>
            <w:noWrap/>
            <w:vAlign w:val="center"/>
          </w:tcPr>
          <w:p w14:paraId="34D67F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133621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w:t>
            </w:r>
          </w:p>
        </w:tc>
        <w:tc>
          <w:tcPr>
            <w:tcW w:w="1540" w:type="dxa"/>
            <w:noWrap/>
            <w:vAlign w:val="center"/>
          </w:tcPr>
          <w:p w14:paraId="5CCD32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0.70</w:t>
            </w:r>
          </w:p>
        </w:tc>
        <w:tc>
          <w:tcPr>
            <w:tcW w:w="1360" w:type="dxa"/>
            <w:noWrap/>
            <w:vAlign w:val="center"/>
          </w:tcPr>
          <w:p w14:paraId="052054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2692</w:t>
            </w:r>
          </w:p>
        </w:tc>
      </w:tr>
      <w:tr w14:paraId="78B39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7E0A20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帽子峰镇</w:t>
            </w:r>
          </w:p>
        </w:tc>
        <w:tc>
          <w:tcPr>
            <w:tcW w:w="1080" w:type="dxa"/>
            <w:noWrap/>
            <w:vAlign w:val="center"/>
          </w:tcPr>
          <w:p w14:paraId="65DA2E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080" w:type="dxa"/>
            <w:noWrap/>
            <w:vAlign w:val="center"/>
          </w:tcPr>
          <w:p w14:paraId="1AEC13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720" w:type="dxa"/>
            <w:noWrap/>
            <w:vAlign w:val="center"/>
          </w:tcPr>
          <w:p w14:paraId="5AF169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0.97</w:t>
            </w:r>
          </w:p>
        </w:tc>
        <w:tc>
          <w:tcPr>
            <w:tcW w:w="1540" w:type="dxa"/>
            <w:noWrap/>
            <w:vAlign w:val="center"/>
          </w:tcPr>
          <w:p w14:paraId="29D3F5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0.63</w:t>
            </w:r>
          </w:p>
        </w:tc>
        <w:tc>
          <w:tcPr>
            <w:tcW w:w="1360" w:type="dxa"/>
            <w:noWrap/>
            <w:vAlign w:val="center"/>
          </w:tcPr>
          <w:p w14:paraId="555ED8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2126</w:t>
            </w:r>
          </w:p>
        </w:tc>
      </w:tr>
      <w:tr w14:paraId="50125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noWrap/>
            <w:vAlign w:val="center"/>
          </w:tcPr>
          <w:p w14:paraId="17F0AB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雄州街道</w:t>
            </w:r>
          </w:p>
        </w:tc>
        <w:tc>
          <w:tcPr>
            <w:tcW w:w="1080" w:type="dxa"/>
            <w:noWrap/>
            <w:vAlign w:val="center"/>
          </w:tcPr>
          <w:p w14:paraId="3A94F5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80" w:type="dxa"/>
            <w:noWrap/>
            <w:vAlign w:val="center"/>
          </w:tcPr>
          <w:p w14:paraId="3262BC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c>
          <w:tcPr>
            <w:tcW w:w="1720" w:type="dxa"/>
            <w:noWrap/>
            <w:vAlign w:val="center"/>
          </w:tcPr>
          <w:p w14:paraId="413BEB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9.36</w:t>
            </w:r>
          </w:p>
        </w:tc>
        <w:tc>
          <w:tcPr>
            <w:tcW w:w="1540" w:type="dxa"/>
            <w:noWrap/>
            <w:vAlign w:val="center"/>
          </w:tcPr>
          <w:p w14:paraId="455641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9.54</w:t>
            </w:r>
          </w:p>
        </w:tc>
        <w:tc>
          <w:tcPr>
            <w:tcW w:w="1360" w:type="dxa"/>
            <w:noWrap/>
            <w:vAlign w:val="center"/>
          </w:tcPr>
          <w:p w14:paraId="4EB2A6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23103</w:t>
            </w:r>
          </w:p>
        </w:tc>
      </w:tr>
    </w:tbl>
    <w:p w14:paraId="023DC01B">
      <w:pPr>
        <w:jc w:val="center"/>
        <w:rPr>
          <w:rFonts w:hint="eastAsia" w:hAnsi="宋体" w:cs="宋体"/>
          <w:highlight w:val="none"/>
        </w:rPr>
      </w:pPr>
      <w:r>
        <w:rPr>
          <w:rFonts w:hint="eastAsia" w:hAnsi="宋体" w:cs="宋体"/>
          <w:highlight w:val="none"/>
        </w:rPr>
        <w:t>全市分镇</w:t>
      </w:r>
      <w:r>
        <w:rPr>
          <w:rFonts w:hint="eastAsia" w:hAnsi="宋体" w:cs="宋体"/>
          <w:highlight w:val="none"/>
          <w:lang w:eastAsia="zh-CN"/>
        </w:rPr>
        <w:t>（</w:t>
      </w:r>
      <w:r>
        <w:rPr>
          <w:rFonts w:hint="eastAsia" w:hAnsi="宋体" w:cs="宋体"/>
          <w:highlight w:val="none"/>
        </w:rPr>
        <w:t>街道）人口计划生育主要指标</w:t>
      </w:r>
    </w:p>
    <w:p w14:paraId="6C2F7459">
      <w:pPr>
        <w:rPr>
          <w:rFonts w:hint="eastAsia" w:hAnsi="宋体" w:eastAsia="宋体" w:cs="宋体"/>
          <w:highlight w:val="none"/>
          <w:lang w:eastAsia="zh-CN"/>
        </w:rPr>
      </w:pPr>
      <w:r>
        <w:rPr>
          <w:rFonts w:hint="eastAsia" w:hAnsi="宋体" w:cs="宋体"/>
          <w:highlight w:val="none"/>
        </w:rPr>
        <w:t>表44</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0"/>
        <w:gridCol w:w="1031"/>
        <w:gridCol w:w="905"/>
        <w:gridCol w:w="905"/>
        <w:gridCol w:w="905"/>
        <w:gridCol w:w="905"/>
        <w:gridCol w:w="825"/>
        <w:gridCol w:w="825"/>
        <w:gridCol w:w="905"/>
      </w:tblGrid>
      <w:tr w14:paraId="5C56E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vMerge w:val="restart"/>
            <w:noWrap/>
            <w:vAlign w:val="center"/>
          </w:tcPr>
          <w:p w14:paraId="7CBCDF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31" w:type="dxa"/>
            <w:vMerge w:val="restart"/>
            <w:noWrap w:val="0"/>
            <w:vAlign w:val="center"/>
          </w:tcPr>
          <w:p w14:paraId="3C18D7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总人口数（人）</w:t>
            </w:r>
          </w:p>
        </w:tc>
        <w:tc>
          <w:tcPr>
            <w:tcW w:w="905" w:type="dxa"/>
            <w:vMerge w:val="restart"/>
            <w:noWrap w:val="0"/>
            <w:vAlign w:val="center"/>
          </w:tcPr>
          <w:p w14:paraId="619B00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出生人数（人）</w:t>
            </w:r>
          </w:p>
        </w:tc>
        <w:tc>
          <w:tcPr>
            <w:tcW w:w="1810" w:type="dxa"/>
            <w:gridSpan w:val="2"/>
            <w:noWrap/>
            <w:vAlign w:val="center"/>
          </w:tcPr>
          <w:p w14:paraId="48A139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5" w:type="dxa"/>
            <w:vMerge w:val="restart"/>
            <w:noWrap w:val="0"/>
            <w:vAlign w:val="center"/>
          </w:tcPr>
          <w:p w14:paraId="13E0C2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出生率（‰）</w:t>
            </w:r>
          </w:p>
        </w:tc>
        <w:tc>
          <w:tcPr>
            <w:tcW w:w="825" w:type="dxa"/>
            <w:vMerge w:val="restart"/>
            <w:noWrap w:val="0"/>
            <w:vAlign w:val="center"/>
          </w:tcPr>
          <w:p w14:paraId="67C8DD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死亡人数（人）</w:t>
            </w:r>
          </w:p>
        </w:tc>
        <w:tc>
          <w:tcPr>
            <w:tcW w:w="825" w:type="dxa"/>
            <w:vMerge w:val="restart"/>
            <w:noWrap w:val="0"/>
            <w:vAlign w:val="center"/>
          </w:tcPr>
          <w:p w14:paraId="726473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死亡率（‰）</w:t>
            </w:r>
          </w:p>
        </w:tc>
        <w:tc>
          <w:tcPr>
            <w:tcW w:w="905" w:type="dxa"/>
            <w:vMerge w:val="restart"/>
            <w:noWrap w:val="0"/>
            <w:vAlign w:val="center"/>
          </w:tcPr>
          <w:p w14:paraId="3CF10A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自然增长率（‰）</w:t>
            </w:r>
          </w:p>
        </w:tc>
      </w:tr>
      <w:tr w14:paraId="0B7CE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vMerge w:val="continue"/>
            <w:noWrap w:val="0"/>
            <w:vAlign w:val="center"/>
          </w:tcPr>
          <w:p w14:paraId="7CA900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31" w:type="dxa"/>
            <w:vMerge w:val="continue"/>
            <w:noWrap w:val="0"/>
            <w:vAlign w:val="center"/>
          </w:tcPr>
          <w:p w14:paraId="7C754C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5" w:type="dxa"/>
            <w:vMerge w:val="continue"/>
            <w:noWrap w:val="0"/>
            <w:vAlign w:val="center"/>
          </w:tcPr>
          <w:p w14:paraId="669C88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5" w:type="dxa"/>
            <w:noWrap/>
            <w:vAlign w:val="center"/>
          </w:tcPr>
          <w:p w14:paraId="547404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男</w:t>
            </w:r>
          </w:p>
        </w:tc>
        <w:tc>
          <w:tcPr>
            <w:tcW w:w="905" w:type="dxa"/>
            <w:noWrap/>
            <w:vAlign w:val="center"/>
          </w:tcPr>
          <w:p w14:paraId="3A1426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女</w:t>
            </w:r>
          </w:p>
        </w:tc>
        <w:tc>
          <w:tcPr>
            <w:tcW w:w="905" w:type="dxa"/>
            <w:vMerge w:val="continue"/>
            <w:noWrap w:val="0"/>
            <w:vAlign w:val="center"/>
          </w:tcPr>
          <w:p w14:paraId="240E8B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25" w:type="dxa"/>
            <w:vMerge w:val="continue"/>
            <w:noWrap w:val="0"/>
            <w:vAlign w:val="center"/>
          </w:tcPr>
          <w:p w14:paraId="3C9366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25" w:type="dxa"/>
            <w:vMerge w:val="continue"/>
            <w:noWrap w:val="0"/>
            <w:vAlign w:val="center"/>
          </w:tcPr>
          <w:p w14:paraId="5DE78C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05" w:type="dxa"/>
            <w:vMerge w:val="continue"/>
            <w:noWrap w:val="0"/>
            <w:vAlign w:val="center"/>
          </w:tcPr>
          <w:p w14:paraId="13E8B0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DD1F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31E4B8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 市</w:t>
            </w:r>
          </w:p>
        </w:tc>
        <w:tc>
          <w:tcPr>
            <w:tcW w:w="1031" w:type="dxa"/>
            <w:noWrap/>
            <w:vAlign w:val="center"/>
          </w:tcPr>
          <w:p w14:paraId="41281E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494026</w:t>
            </w:r>
          </w:p>
        </w:tc>
        <w:tc>
          <w:tcPr>
            <w:tcW w:w="905" w:type="dxa"/>
            <w:noWrap/>
            <w:vAlign w:val="center"/>
          </w:tcPr>
          <w:p w14:paraId="528354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6120</w:t>
            </w:r>
          </w:p>
        </w:tc>
        <w:tc>
          <w:tcPr>
            <w:tcW w:w="905" w:type="dxa"/>
            <w:noWrap/>
            <w:vAlign w:val="center"/>
          </w:tcPr>
          <w:p w14:paraId="0D1379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3151</w:t>
            </w:r>
          </w:p>
        </w:tc>
        <w:tc>
          <w:tcPr>
            <w:tcW w:w="905" w:type="dxa"/>
            <w:noWrap/>
            <w:vAlign w:val="center"/>
          </w:tcPr>
          <w:p w14:paraId="1712A3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2969</w:t>
            </w:r>
          </w:p>
        </w:tc>
        <w:tc>
          <w:tcPr>
            <w:tcW w:w="905" w:type="dxa"/>
            <w:noWrap/>
            <w:vAlign w:val="center"/>
          </w:tcPr>
          <w:p w14:paraId="3DE336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12.42</w:t>
            </w:r>
          </w:p>
        </w:tc>
        <w:tc>
          <w:tcPr>
            <w:tcW w:w="825" w:type="dxa"/>
            <w:noWrap/>
            <w:vAlign w:val="center"/>
          </w:tcPr>
          <w:p w14:paraId="1BC4E3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2579</w:t>
            </w:r>
          </w:p>
        </w:tc>
        <w:tc>
          <w:tcPr>
            <w:tcW w:w="825" w:type="dxa"/>
            <w:noWrap/>
            <w:vAlign w:val="center"/>
          </w:tcPr>
          <w:p w14:paraId="3C83A2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5.23</w:t>
            </w:r>
          </w:p>
        </w:tc>
        <w:tc>
          <w:tcPr>
            <w:tcW w:w="905" w:type="dxa"/>
            <w:noWrap/>
            <w:vAlign w:val="center"/>
          </w:tcPr>
          <w:p w14:paraId="6E5AFF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7.19</w:t>
            </w:r>
          </w:p>
        </w:tc>
      </w:tr>
      <w:tr w14:paraId="1E621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618654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乌迳镇</w:t>
            </w:r>
          </w:p>
        </w:tc>
        <w:tc>
          <w:tcPr>
            <w:tcW w:w="1031" w:type="dxa"/>
            <w:noWrap/>
            <w:vAlign w:val="center"/>
          </w:tcPr>
          <w:p w14:paraId="454713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46441</w:t>
            </w:r>
          </w:p>
        </w:tc>
        <w:tc>
          <w:tcPr>
            <w:tcW w:w="905" w:type="dxa"/>
            <w:noWrap/>
            <w:vAlign w:val="center"/>
          </w:tcPr>
          <w:p w14:paraId="52C029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867</w:t>
            </w:r>
          </w:p>
        </w:tc>
        <w:tc>
          <w:tcPr>
            <w:tcW w:w="905" w:type="dxa"/>
            <w:noWrap/>
            <w:vAlign w:val="center"/>
          </w:tcPr>
          <w:p w14:paraId="1A71F5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447</w:t>
            </w:r>
          </w:p>
        </w:tc>
        <w:tc>
          <w:tcPr>
            <w:tcW w:w="905" w:type="dxa"/>
            <w:noWrap/>
            <w:vAlign w:val="center"/>
          </w:tcPr>
          <w:p w14:paraId="5B4099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420</w:t>
            </w:r>
          </w:p>
        </w:tc>
        <w:tc>
          <w:tcPr>
            <w:tcW w:w="905" w:type="dxa"/>
            <w:noWrap/>
            <w:vAlign w:val="center"/>
          </w:tcPr>
          <w:p w14:paraId="457BA2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9.02</w:t>
            </w:r>
          </w:p>
        </w:tc>
        <w:tc>
          <w:tcPr>
            <w:tcW w:w="825" w:type="dxa"/>
            <w:noWrap/>
            <w:vAlign w:val="center"/>
          </w:tcPr>
          <w:p w14:paraId="7CFB9C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407</w:t>
            </w:r>
          </w:p>
        </w:tc>
        <w:tc>
          <w:tcPr>
            <w:tcW w:w="825" w:type="dxa"/>
            <w:noWrap/>
            <w:vAlign w:val="center"/>
          </w:tcPr>
          <w:p w14:paraId="474BA6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4.24</w:t>
            </w:r>
          </w:p>
        </w:tc>
        <w:tc>
          <w:tcPr>
            <w:tcW w:w="905" w:type="dxa"/>
            <w:noWrap/>
            <w:vAlign w:val="center"/>
          </w:tcPr>
          <w:p w14:paraId="126931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4.79</w:t>
            </w:r>
          </w:p>
        </w:tc>
      </w:tr>
      <w:tr w14:paraId="35084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0B5014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界址镇</w:t>
            </w:r>
          </w:p>
        </w:tc>
        <w:tc>
          <w:tcPr>
            <w:tcW w:w="1031" w:type="dxa"/>
            <w:noWrap/>
            <w:vAlign w:val="center"/>
          </w:tcPr>
          <w:p w14:paraId="7A1FC4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15149</w:t>
            </w:r>
          </w:p>
        </w:tc>
        <w:tc>
          <w:tcPr>
            <w:tcW w:w="905" w:type="dxa"/>
            <w:noWrap/>
            <w:vAlign w:val="center"/>
          </w:tcPr>
          <w:p w14:paraId="7C8E2C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637</w:t>
            </w:r>
          </w:p>
        </w:tc>
        <w:tc>
          <w:tcPr>
            <w:tcW w:w="905" w:type="dxa"/>
            <w:noWrap/>
            <w:vAlign w:val="center"/>
          </w:tcPr>
          <w:p w14:paraId="5EAA7B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326</w:t>
            </w:r>
          </w:p>
        </w:tc>
        <w:tc>
          <w:tcPr>
            <w:tcW w:w="905" w:type="dxa"/>
            <w:noWrap/>
            <w:vAlign w:val="center"/>
          </w:tcPr>
          <w:p w14:paraId="19CE54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311</w:t>
            </w:r>
          </w:p>
        </w:tc>
        <w:tc>
          <w:tcPr>
            <w:tcW w:w="905" w:type="dxa"/>
            <w:noWrap/>
            <w:vAlign w:val="center"/>
          </w:tcPr>
          <w:p w14:paraId="789B94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13.75</w:t>
            </w:r>
          </w:p>
        </w:tc>
        <w:tc>
          <w:tcPr>
            <w:tcW w:w="825" w:type="dxa"/>
            <w:noWrap/>
            <w:vAlign w:val="center"/>
          </w:tcPr>
          <w:p w14:paraId="6EC622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267</w:t>
            </w:r>
          </w:p>
        </w:tc>
        <w:tc>
          <w:tcPr>
            <w:tcW w:w="825" w:type="dxa"/>
            <w:noWrap/>
            <w:vAlign w:val="center"/>
          </w:tcPr>
          <w:p w14:paraId="3AE63D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5.76</w:t>
            </w:r>
          </w:p>
        </w:tc>
        <w:tc>
          <w:tcPr>
            <w:tcW w:w="905" w:type="dxa"/>
            <w:noWrap/>
            <w:vAlign w:val="center"/>
          </w:tcPr>
          <w:p w14:paraId="4A941F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7.99</w:t>
            </w:r>
          </w:p>
        </w:tc>
      </w:tr>
      <w:tr w14:paraId="06362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3A98C3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坪田镇</w:t>
            </w:r>
          </w:p>
        </w:tc>
        <w:tc>
          <w:tcPr>
            <w:tcW w:w="1031" w:type="dxa"/>
            <w:noWrap/>
            <w:vAlign w:val="center"/>
          </w:tcPr>
          <w:p w14:paraId="08CA4A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26131</w:t>
            </w:r>
          </w:p>
        </w:tc>
        <w:tc>
          <w:tcPr>
            <w:tcW w:w="905" w:type="dxa"/>
            <w:noWrap/>
            <w:vAlign w:val="center"/>
          </w:tcPr>
          <w:p w14:paraId="7A9E4F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w:t>
            </w:r>
          </w:p>
        </w:tc>
        <w:tc>
          <w:tcPr>
            <w:tcW w:w="905" w:type="dxa"/>
            <w:noWrap/>
            <w:vAlign w:val="center"/>
          </w:tcPr>
          <w:p w14:paraId="11BC6B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w:t>
            </w:r>
          </w:p>
        </w:tc>
        <w:tc>
          <w:tcPr>
            <w:tcW w:w="905" w:type="dxa"/>
            <w:noWrap/>
            <w:vAlign w:val="center"/>
          </w:tcPr>
          <w:p w14:paraId="76FA74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98</w:t>
            </w:r>
          </w:p>
        </w:tc>
        <w:tc>
          <w:tcPr>
            <w:tcW w:w="905" w:type="dxa"/>
            <w:noWrap/>
            <w:vAlign w:val="center"/>
          </w:tcPr>
          <w:p w14:paraId="7D3E3A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13.33</w:t>
            </w:r>
          </w:p>
        </w:tc>
        <w:tc>
          <w:tcPr>
            <w:tcW w:w="825" w:type="dxa"/>
            <w:noWrap/>
            <w:vAlign w:val="center"/>
          </w:tcPr>
          <w:p w14:paraId="2267B6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w:t>
            </w:r>
          </w:p>
        </w:tc>
        <w:tc>
          <w:tcPr>
            <w:tcW w:w="825" w:type="dxa"/>
            <w:noWrap/>
            <w:vAlign w:val="center"/>
          </w:tcPr>
          <w:p w14:paraId="56E223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5.37</w:t>
            </w:r>
          </w:p>
        </w:tc>
        <w:tc>
          <w:tcPr>
            <w:tcW w:w="905" w:type="dxa"/>
            <w:noWrap/>
            <w:vAlign w:val="center"/>
          </w:tcPr>
          <w:p w14:paraId="40B5C2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7.96</w:t>
            </w:r>
          </w:p>
        </w:tc>
      </w:tr>
      <w:tr w14:paraId="4FC33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548DF4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黄坑镇</w:t>
            </w:r>
          </w:p>
        </w:tc>
        <w:tc>
          <w:tcPr>
            <w:tcW w:w="1031" w:type="dxa"/>
            <w:noWrap/>
            <w:vAlign w:val="center"/>
          </w:tcPr>
          <w:p w14:paraId="7A3981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25602</w:t>
            </w:r>
          </w:p>
        </w:tc>
        <w:tc>
          <w:tcPr>
            <w:tcW w:w="905" w:type="dxa"/>
            <w:noWrap/>
            <w:vAlign w:val="center"/>
          </w:tcPr>
          <w:p w14:paraId="2B0A76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335</w:t>
            </w:r>
          </w:p>
        </w:tc>
        <w:tc>
          <w:tcPr>
            <w:tcW w:w="905" w:type="dxa"/>
            <w:noWrap/>
            <w:vAlign w:val="center"/>
          </w:tcPr>
          <w:p w14:paraId="01FC06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173</w:t>
            </w:r>
          </w:p>
        </w:tc>
        <w:tc>
          <w:tcPr>
            <w:tcW w:w="905" w:type="dxa"/>
            <w:noWrap/>
            <w:vAlign w:val="center"/>
          </w:tcPr>
          <w:p w14:paraId="4C4C39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w:t>
            </w:r>
          </w:p>
        </w:tc>
        <w:tc>
          <w:tcPr>
            <w:tcW w:w="905" w:type="dxa"/>
            <w:noWrap/>
            <w:vAlign w:val="center"/>
          </w:tcPr>
          <w:p w14:paraId="56147C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12.87</w:t>
            </w:r>
          </w:p>
        </w:tc>
        <w:tc>
          <w:tcPr>
            <w:tcW w:w="825" w:type="dxa"/>
            <w:noWrap/>
            <w:vAlign w:val="center"/>
          </w:tcPr>
          <w:p w14:paraId="2BE013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140</w:t>
            </w:r>
          </w:p>
        </w:tc>
        <w:tc>
          <w:tcPr>
            <w:tcW w:w="825" w:type="dxa"/>
            <w:noWrap/>
            <w:vAlign w:val="center"/>
          </w:tcPr>
          <w:p w14:paraId="194A0F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5.38</w:t>
            </w:r>
          </w:p>
        </w:tc>
        <w:tc>
          <w:tcPr>
            <w:tcW w:w="905" w:type="dxa"/>
            <w:noWrap/>
            <w:vAlign w:val="center"/>
          </w:tcPr>
          <w:p w14:paraId="628E14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7.49</w:t>
            </w:r>
          </w:p>
        </w:tc>
      </w:tr>
      <w:tr w14:paraId="4ED2B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22A632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邓坊镇</w:t>
            </w:r>
          </w:p>
        </w:tc>
        <w:tc>
          <w:tcPr>
            <w:tcW w:w="1031" w:type="dxa"/>
            <w:noWrap/>
            <w:vAlign w:val="center"/>
          </w:tcPr>
          <w:p w14:paraId="317920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16404</w:t>
            </w:r>
          </w:p>
        </w:tc>
        <w:tc>
          <w:tcPr>
            <w:tcW w:w="905" w:type="dxa"/>
            <w:noWrap/>
            <w:vAlign w:val="center"/>
          </w:tcPr>
          <w:p w14:paraId="0EC47E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347</w:t>
            </w:r>
          </w:p>
        </w:tc>
        <w:tc>
          <w:tcPr>
            <w:tcW w:w="905" w:type="dxa"/>
            <w:noWrap/>
            <w:vAlign w:val="center"/>
          </w:tcPr>
          <w:p w14:paraId="33711D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178</w:t>
            </w:r>
          </w:p>
        </w:tc>
        <w:tc>
          <w:tcPr>
            <w:tcW w:w="905" w:type="dxa"/>
            <w:noWrap/>
            <w:vAlign w:val="center"/>
          </w:tcPr>
          <w:p w14:paraId="6FB75A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169</w:t>
            </w:r>
          </w:p>
        </w:tc>
        <w:tc>
          <w:tcPr>
            <w:tcW w:w="905" w:type="dxa"/>
            <w:noWrap/>
            <w:vAlign w:val="center"/>
          </w:tcPr>
          <w:p w14:paraId="24A0FC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13.60</w:t>
            </w:r>
          </w:p>
        </w:tc>
        <w:tc>
          <w:tcPr>
            <w:tcW w:w="825" w:type="dxa"/>
            <w:noWrap/>
            <w:vAlign w:val="center"/>
          </w:tcPr>
          <w:p w14:paraId="5827A1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135</w:t>
            </w:r>
          </w:p>
        </w:tc>
        <w:tc>
          <w:tcPr>
            <w:tcW w:w="825" w:type="dxa"/>
            <w:noWrap/>
            <w:vAlign w:val="center"/>
          </w:tcPr>
          <w:p w14:paraId="4EAE52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5.29</w:t>
            </w:r>
          </w:p>
        </w:tc>
        <w:tc>
          <w:tcPr>
            <w:tcW w:w="905" w:type="dxa"/>
            <w:noWrap/>
            <w:vAlign w:val="center"/>
          </w:tcPr>
          <w:p w14:paraId="3A0FB1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8.31</w:t>
            </w:r>
          </w:p>
        </w:tc>
      </w:tr>
      <w:tr w14:paraId="6CA55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08D0ED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油山镇</w:t>
            </w:r>
          </w:p>
        </w:tc>
        <w:tc>
          <w:tcPr>
            <w:tcW w:w="1031" w:type="dxa"/>
            <w:noWrap/>
            <w:vAlign w:val="center"/>
          </w:tcPr>
          <w:p w14:paraId="21F92A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33980</w:t>
            </w:r>
          </w:p>
        </w:tc>
        <w:tc>
          <w:tcPr>
            <w:tcW w:w="905" w:type="dxa"/>
            <w:noWrap/>
            <w:vAlign w:val="center"/>
          </w:tcPr>
          <w:p w14:paraId="5A8595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212</w:t>
            </w:r>
          </w:p>
        </w:tc>
        <w:tc>
          <w:tcPr>
            <w:tcW w:w="905" w:type="dxa"/>
            <w:noWrap/>
            <w:vAlign w:val="center"/>
          </w:tcPr>
          <w:p w14:paraId="25F044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109</w:t>
            </w:r>
          </w:p>
        </w:tc>
        <w:tc>
          <w:tcPr>
            <w:tcW w:w="905" w:type="dxa"/>
            <w:noWrap/>
            <w:vAlign w:val="center"/>
          </w:tcPr>
          <w:p w14:paraId="67F48F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w:t>
            </w:r>
          </w:p>
        </w:tc>
        <w:tc>
          <w:tcPr>
            <w:tcW w:w="905" w:type="dxa"/>
            <w:noWrap/>
            <w:vAlign w:val="center"/>
          </w:tcPr>
          <w:p w14:paraId="1E046E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12.96</w:t>
            </w:r>
          </w:p>
        </w:tc>
        <w:tc>
          <w:tcPr>
            <w:tcW w:w="825" w:type="dxa"/>
            <w:noWrap/>
            <w:vAlign w:val="center"/>
          </w:tcPr>
          <w:p w14:paraId="3128B4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104</w:t>
            </w:r>
          </w:p>
        </w:tc>
        <w:tc>
          <w:tcPr>
            <w:tcW w:w="825" w:type="dxa"/>
            <w:noWrap/>
            <w:vAlign w:val="center"/>
          </w:tcPr>
          <w:p w14:paraId="714787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6.36</w:t>
            </w:r>
          </w:p>
        </w:tc>
        <w:tc>
          <w:tcPr>
            <w:tcW w:w="905" w:type="dxa"/>
            <w:noWrap/>
            <w:vAlign w:val="center"/>
          </w:tcPr>
          <w:p w14:paraId="116940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6.60</w:t>
            </w:r>
          </w:p>
        </w:tc>
      </w:tr>
      <w:tr w14:paraId="3FBED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2F4D28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南亩镇</w:t>
            </w:r>
          </w:p>
        </w:tc>
        <w:tc>
          <w:tcPr>
            <w:tcW w:w="1031" w:type="dxa"/>
            <w:noWrap/>
            <w:vAlign w:val="center"/>
          </w:tcPr>
          <w:p w14:paraId="2882CA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16882</w:t>
            </w:r>
          </w:p>
        </w:tc>
        <w:tc>
          <w:tcPr>
            <w:tcW w:w="905" w:type="dxa"/>
            <w:noWrap/>
            <w:vAlign w:val="center"/>
          </w:tcPr>
          <w:p w14:paraId="271D20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453</w:t>
            </w:r>
          </w:p>
        </w:tc>
        <w:tc>
          <w:tcPr>
            <w:tcW w:w="905" w:type="dxa"/>
            <w:noWrap/>
            <w:vAlign w:val="center"/>
          </w:tcPr>
          <w:p w14:paraId="032EDA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233</w:t>
            </w:r>
          </w:p>
        </w:tc>
        <w:tc>
          <w:tcPr>
            <w:tcW w:w="905" w:type="dxa"/>
            <w:noWrap/>
            <w:vAlign w:val="center"/>
          </w:tcPr>
          <w:p w14:paraId="1DE947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220</w:t>
            </w:r>
          </w:p>
        </w:tc>
        <w:tc>
          <w:tcPr>
            <w:tcW w:w="905" w:type="dxa"/>
            <w:noWrap/>
            <w:vAlign w:val="center"/>
          </w:tcPr>
          <w:p w14:paraId="312878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13.37</w:t>
            </w:r>
          </w:p>
        </w:tc>
        <w:tc>
          <w:tcPr>
            <w:tcW w:w="825" w:type="dxa"/>
            <w:noWrap/>
            <w:vAlign w:val="center"/>
          </w:tcPr>
          <w:p w14:paraId="2060FE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w:t>
            </w:r>
          </w:p>
        </w:tc>
        <w:tc>
          <w:tcPr>
            <w:tcW w:w="825" w:type="dxa"/>
            <w:noWrap/>
            <w:vAlign w:val="center"/>
          </w:tcPr>
          <w:p w14:paraId="033ED1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3.84</w:t>
            </w:r>
          </w:p>
        </w:tc>
        <w:tc>
          <w:tcPr>
            <w:tcW w:w="905" w:type="dxa"/>
            <w:noWrap/>
            <w:vAlign w:val="center"/>
          </w:tcPr>
          <w:p w14:paraId="2C8368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9.53</w:t>
            </w:r>
          </w:p>
        </w:tc>
      </w:tr>
      <w:tr w14:paraId="6D346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78412D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水口镇</w:t>
            </w:r>
          </w:p>
        </w:tc>
        <w:tc>
          <w:tcPr>
            <w:tcW w:w="1031" w:type="dxa"/>
            <w:noWrap/>
            <w:vAlign w:val="center"/>
          </w:tcPr>
          <w:p w14:paraId="56F089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24897</w:t>
            </w:r>
          </w:p>
        </w:tc>
        <w:tc>
          <w:tcPr>
            <w:tcW w:w="905" w:type="dxa"/>
            <w:noWrap/>
            <w:vAlign w:val="center"/>
          </w:tcPr>
          <w:p w14:paraId="1891DD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225</w:t>
            </w:r>
          </w:p>
        </w:tc>
        <w:tc>
          <w:tcPr>
            <w:tcW w:w="905" w:type="dxa"/>
            <w:noWrap/>
            <w:vAlign w:val="center"/>
          </w:tcPr>
          <w:p w14:paraId="5AAE77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116</w:t>
            </w:r>
          </w:p>
        </w:tc>
        <w:tc>
          <w:tcPr>
            <w:tcW w:w="905" w:type="dxa"/>
            <w:noWrap/>
            <w:vAlign w:val="center"/>
          </w:tcPr>
          <w:p w14:paraId="0D8964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109</w:t>
            </w:r>
          </w:p>
        </w:tc>
        <w:tc>
          <w:tcPr>
            <w:tcW w:w="905" w:type="dxa"/>
            <w:noWrap/>
            <w:vAlign w:val="center"/>
          </w:tcPr>
          <w:p w14:paraId="143D2D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13.38</w:t>
            </w:r>
          </w:p>
        </w:tc>
        <w:tc>
          <w:tcPr>
            <w:tcW w:w="825" w:type="dxa"/>
            <w:noWrap/>
            <w:vAlign w:val="center"/>
          </w:tcPr>
          <w:p w14:paraId="303993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w:t>
            </w:r>
          </w:p>
        </w:tc>
        <w:tc>
          <w:tcPr>
            <w:tcW w:w="825" w:type="dxa"/>
            <w:noWrap/>
            <w:vAlign w:val="center"/>
          </w:tcPr>
          <w:p w14:paraId="4EE644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4.40</w:t>
            </w:r>
          </w:p>
        </w:tc>
        <w:tc>
          <w:tcPr>
            <w:tcW w:w="905" w:type="dxa"/>
            <w:noWrap/>
            <w:vAlign w:val="center"/>
          </w:tcPr>
          <w:p w14:paraId="28E171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8.98</w:t>
            </w:r>
          </w:p>
        </w:tc>
      </w:tr>
      <w:tr w14:paraId="42891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77F1FE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江头镇</w:t>
            </w:r>
          </w:p>
        </w:tc>
        <w:tc>
          <w:tcPr>
            <w:tcW w:w="1031" w:type="dxa"/>
            <w:noWrap/>
            <w:vAlign w:val="center"/>
          </w:tcPr>
          <w:p w14:paraId="7B7117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12471</w:t>
            </w:r>
          </w:p>
        </w:tc>
        <w:tc>
          <w:tcPr>
            <w:tcW w:w="905" w:type="dxa"/>
            <w:noWrap/>
            <w:vAlign w:val="center"/>
          </w:tcPr>
          <w:p w14:paraId="68DD18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274</w:t>
            </w:r>
          </w:p>
        </w:tc>
        <w:tc>
          <w:tcPr>
            <w:tcW w:w="905" w:type="dxa"/>
            <w:noWrap/>
            <w:vAlign w:val="center"/>
          </w:tcPr>
          <w:p w14:paraId="658542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141</w:t>
            </w:r>
          </w:p>
        </w:tc>
        <w:tc>
          <w:tcPr>
            <w:tcW w:w="905" w:type="dxa"/>
            <w:noWrap/>
            <w:vAlign w:val="center"/>
          </w:tcPr>
          <w:p w14:paraId="199E95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w:t>
            </w:r>
          </w:p>
        </w:tc>
        <w:tc>
          <w:tcPr>
            <w:tcW w:w="905" w:type="dxa"/>
            <w:noWrap/>
            <w:vAlign w:val="center"/>
          </w:tcPr>
          <w:p w14:paraId="4E4DA2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11.04</w:t>
            </w:r>
          </w:p>
        </w:tc>
        <w:tc>
          <w:tcPr>
            <w:tcW w:w="825" w:type="dxa"/>
            <w:noWrap/>
            <w:vAlign w:val="center"/>
          </w:tcPr>
          <w:p w14:paraId="03A759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132</w:t>
            </w:r>
          </w:p>
        </w:tc>
        <w:tc>
          <w:tcPr>
            <w:tcW w:w="825" w:type="dxa"/>
            <w:noWrap/>
            <w:vAlign w:val="center"/>
          </w:tcPr>
          <w:p w14:paraId="42F19B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5.32</w:t>
            </w:r>
          </w:p>
        </w:tc>
        <w:tc>
          <w:tcPr>
            <w:tcW w:w="905" w:type="dxa"/>
            <w:noWrap/>
            <w:vAlign w:val="center"/>
          </w:tcPr>
          <w:p w14:paraId="351023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5.72</w:t>
            </w:r>
          </w:p>
        </w:tc>
      </w:tr>
      <w:tr w14:paraId="38D36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3D39A5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湖口镇</w:t>
            </w:r>
          </w:p>
        </w:tc>
        <w:tc>
          <w:tcPr>
            <w:tcW w:w="1031" w:type="dxa"/>
            <w:noWrap/>
            <w:vAlign w:val="center"/>
          </w:tcPr>
          <w:p w14:paraId="0D7E5D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36285</w:t>
            </w:r>
          </w:p>
        </w:tc>
        <w:tc>
          <w:tcPr>
            <w:tcW w:w="905" w:type="dxa"/>
            <w:noWrap/>
            <w:vAlign w:val="center"/>
          </w:tcPr>
          <w:p w14:paraId="055E77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137</w:t>
            </w:r>
          </w:p>
        </w:tc>
        <w:tc>
          <w:tcPr>
            <w:tcW w:w="905" w:type="dxa"/>
            <w:noWrap/>
            <w:vAlign w:val="center"/>
          </w:tcPr>
          <w:p w14:paraId="6AA57D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w:t>
            </w:r>
          </w:p>
        </w:tc>
        <w:tc>
          <w:tcPr>
            <w:tcW w:w="905" w:type="dxa"/>
            <w:noWrap/>
            <w:vAlign w:val="center"/>
          </w:tcPr>
          <w:p w14:paraId="2D2224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w:t>
            </w:r>
          </w:p>
        </w:tc>
        <w:tc>
          <w:tcPr>
            <w:tcW w:w="905" w:type="dxa"/>
            <w:noWrap/>
            <w:vAlign w:val="center"/>
          </w:tcPr>
          <w:p w14:paraId="0AFF5F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11.00</w:t>
            </w:r>
          </w:p>
        </w:tc>
        <w:tc>
          <w:tcPr>
            <w:tcW w:w="825" w:type="dxa"/>
            <w:noWrap/>
            <w:vAlign w:val="center"/>
          </w:tcPr>
          <w:p w14:paraId="28DA36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w:t>
            </w:r>
          </w:p>
        </w:tc>
        <w:tc>
          <w:tcPr>
            <w:tcW w:w="825" w:type="dxa"/>
            <w:noWrap/>
            <w:vAlign w:val="center"/>
          </w:tcPr>
          <w:p w14:paraId="3DC860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6.10</w:t>
            </w:r>
          </w:p>
        </w:tc>
        <w:tc>
          <w:tcPr>
            <w:tcW w:w="905" w:type="dxa"/>
            <w:noWrap/>
            <w:vAlign w:val="center"/>
          </w:tcPr>
          <w:p w14:paraId="123D78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4.90</w:t>
            </w:r>
          </w:p>
        </w:tc>
      </w:tr>
      <w:tr w14:paraId="34180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08ED20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珠玑镇</w:t>
            </w:r>
          </w:p>
        </w:tc>
        <w:tc>
          <w:tcPr>
            <w:tcW w:w="1031" w:type="dxa"/>
            <w:noWrap/>
            <w:vAlign w:val="center"/>
          </w:tcPr>
          <w:p w14:paraId="277D9E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44786</w:t>
            </w:r>
          </w:p>
        </w:tc>
        <w:tc>
          <w:tcPr>
            <w:tcW w:w="905" w:type="dxa"/>
            <w:noWrap/>
            <w:vAlign w:val="center"/>
          </w:tcPr>
          <w:p w14:paraId="24BF9D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484</w:t>
            </w:r>
          </w:p>
        </w:tc>
        <w:tc>
          <w:tcPr>
            <w:tcW w:w="905" w:type="dxa"/>
            <w:noWrap/>
            <w:vAlign w:val="center"/>
          </w:tcPr>
          <w:p w14:paraId="499992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251</w:t>
            </w:r>
          </w:p>
        </w:tc>
        <w:tc>
          <w:tcPr>
            <w:tcW w:w="905" w:type="dxa"/>
            <w:noWrap/>
            <w:vAlign w:val="center"/>
          </w:tcPr>
          <w:p w14:paraId="1CDBFD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233</w:t>
            </w:r>
          </w:p>
        </w:tc>
        <w:tc>
          <w:tcPr>
            <w:tcW w:w="905" w:type="dxa"/>
            <w:noWrap/>
            <w:vAlign w:val="center"/>
          </w:tcPr>
          <w:p w14:paraId="7FE0CA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13.38</w:t>
            </w:r>
          </w:p>
        </w:tc>
        <w:tc>
          <w:tcPr>
            <w:tcW w:w="825" w:type="dxa"/>
            <w:noWrap/>
            <w:vAlign w:val="center"/>
          </w:tcPr>
          <w:p w14:paraId="757C14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191</w:t>
            </w:r>
          </w:p>
        </w:tc>
        <w:tc>
          <w:tcPr>
            <w:tcW w:w="825" w:type="dxa"/>
            <w:noWrap/>
            <w:vAlign w:val="center"/>
          </w:tcPr>
          <w:p w14:paraId="3A073E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5.28</w:t>
            </w:r>
          </w:p>
        </w:tc>
        <w:tc>
          <w:tcPr>
            <w:tcW w:w="905" w:type="dxa"/>
            <w:noWrap/>
            <w:vAlign w:val="center"/>
          </w:tcPr>
          <w:p w14:paraId="4127BB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8.10</w:t>
            </w:r>
          </w:p>
        </w:tc>
      </w:tr>
      <w:tr w14:paraId="13758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0A2047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主田镇</w:t>
            </w:r>
          </w:p>
        </w:tc>
        <w:tc>
          <w:tcPr>
            <w:tcW w:w="1031" w:type="dxa"/>
            <w:noWrap/>
            <w:vAlign w:val="center"/>
          </w:tcPr>
          <w:p w14:paraId="132172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14481</w:t>
            </w:r>
          </w:p>
        </w:tc>
        <w:tc>
          <w:tcPr>
            <w:tcW w:w="905" w:type="dxa"/>
            <w:noWrap/>
            <w:vAlign w:val="center"/>
          </w:tcPr>
          <w:p w14:paraId="3AC287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672</w:t>
            </w:r>
          </w:p>
        </w:tc>
        <w:tc>
          <w:tcPr>
            <w:tcW w:w="905" w:type="dxa"/>
            <w:noWrap/>
            <w:vAlign w:val="center"/>
          </w:tcPr>
          <w:p w14:paraId="3AD8B3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347</w:t>
            </w:r>
          </w:p>
        </w:tc>
        <w:tc>
          <w:tcPr>
            <w:tcW w:w="905" w:type="dxa"/>
            <w:noWrap/>
            <w:vAlign w:val="center"/>
          </w:tcPr>
          <w:p w14:paraId="40B955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325</w:t>
            </w:r>
          </w:p>
        </w:tc>
        <w:tc>
          <w:tcPr>
            <w:tcW w:w="905" w:type="dxa"/>
            <w:noWrap/>
            <w:vAlign w:val="center"/>
          </w:tcPr>
          <w:p w14:paraId="5174C9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15.06</w:t>
            </w:r>
          </w:p>
        </w:tc>
        <w:tc>
          <w:tcPr>
            <w:tcW w:w="825" w:type="dxa"/>
            <w:noWrap/>
            <w:vAlign w:val="center"/>
          </w:tcPr>
          <w:p w14:paraId="08215C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270</w:t>
            </w:r>
          </w:p>
        </w:tc>
        <w:tc>
          <w:tcPr>
            <w:tcW w:w="825" w:type="dxa"/>
            <w:noWrap/>
            <w:vAlign w:val="center"/>
          </w:tcPr>
          <w:p w14:paraId="3A6F92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6.05</w:t>
            </w:r>
          </w:p>
        </w:tc>
        <w:tc>
          <w:tcPr>
            <w:tcW w:w="905" w:type="dxa"/>
            <w:noWrap/>
            <w:vAlign w:val="center"/>
          </w:tcPr>
          <w:p w14:paraId="59ADEB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9.01</w:t>
            </w:r>
          </w:p>
        </w:tc>
      </w:tr>
      <w:tr w14:paraId="2CA23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7444B1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古市镇</w:t>
            </w:r>
          </w:p>
        </w:tc>
        <w:tc>
          <w:tcPr>
            <w:tcW w:w="1031" w:type="dxa"/>
            <w:noWrap/>
            <w:vAlign w:val="center"/>
          </w:tcPr>
          <w:p w14:paraId="3CC46B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21335</w:t>
            </w:r>
          </w:p>
        </w:tc>
        <w:tc>
          <w:tcPr>
            <w:tcW w:w="905" w:type="dxa"/>
            <w:noWrap/>
            <w:vAlign w:val="center"/>
          </w:tcPr>
          <w:p w14:paraId="53D9A7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195</w:t>
            </w:r>
          </w:p>
        </w:tc>
        <w:tc>
          <w:tcPr>
            <w:tcW w:w="905" w:type="dxa"/>
            <w:noWrap/>
            <w:vAlign w:val="center"/>
          </w:tcPr>
          <w:p w14:paraId="6B8407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w:t>
            </w:r>
          </w:p>
        </w:tc>
        <w:tc>
          <w:tcPr>
            <w:tcW w:w="905" w:type="dxa"/>
            <w:noWrap/>
            <w:vAlign w:val="center"/>
          </w:tcPr>
          <w:p w14:paraId="1FE955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w:t>
            </w:r>
          </w:p>
        </w:tc>
        <w:tc>
          <w:tcPr>
            <w:tcW w:w="905" w:type="dxa"/>
            <w:noWrap/>
            <w:vAlign w:val="center"/>
          </w:tcPr>
          <w:p w14:paraId="30967D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13.48</w:t>
            </w:r>
          </w:p>
        </w:tc>
        <w:tc>
          <w:tcPr>
            <w:tcW w:w="825" w:type="dxa"/>
            <w:noWrap/>
            <w:vAlign w:val="center"/>
          </w:tcPr>
          <w:p w14:paraId="5CF570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w:t>
            </w:r>
          </w:p>
        </w:tc>
        <w:tc>
          <w:tcPr>
            <w:tcW w:w="825" w:type="dxa"/>
            <w:noWrap/>
            <w:vAlign w:val="center"/>
          </w:tcPr>
          <w:p w14:paraId="274D86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6.08</w:t>
            </w:r>
          </w:p>
        </w:tc>
        <w:tc>
          <w:tcPr>
            <w:tcW w:w="905" w:type="dxa"/>
            <w:noWrap/>
            <w:vAlign w:val="center"/>
          </w:tcPr>
          <w:p w14:paraId="3F0651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7.40</w:t>
            </w:r>
          </w:p>
        </w:tc>
      </w:tr>
      <w:tr w14:paraId="0BAA3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5D9AE2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全安镇</w:t>
            </w:r>
          </w:p>
        </w:tc>
        <w:tc>
          <w:tcPr>
            <w:tcW w:w="1031" w:type="dxa"/>
            <w:noWrap/>
            <w:vAlign w:val="center"/>
          </w:tcPr>
          <w:p w14:paraId="66EE58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29716</w:t>
            </w:r>
          </w:p>
        </w:tc>
        <w:tc>
          <w:tcPr>
            <w:tcW w:w="905" w:type="dxa"/>
            <w:noWrap/>
            <w:vAlign w:val="center"/>
          </w:tcPr>
          <w:p w14:paraId="4B0A61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273</w:t>
            </w:r>
          </w:p>
        </w:tc>
        <w:tc>
          <w:tcPr>
            <w:tcW w:w="905" w:type="dxa"/>
            <w:noWrap/>
            <w:vAlign w:val="center"/>
          </w:tcPr>
          <w:p w14:paraId="50F304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139</w:t>
            </w:r>
          </w:p>
        </w:tc>
        <w:tc>
          <w:tcPr>
            <w:tcW w:w="905" w:type="dxa"/>
            <w:noWrap/>
            <w:vAlign w:val="center"/>
          </w:tcPr>
          <w:p w14:paraId="74896F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134</w:t>
            </w:r>
          </w:p>
        </w:tc>
        <w:tc>
          <w:tcPr>
            <w:tcW w:w="905" w:type="dxa"/>
            <w:noWrap/>
            <w:vAlign w:val="center"/>
          </w:tcPr>
          <w:p w14:paraId="6B455C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12.83</w:t>
            </w:r>
          </w:p>
        </w:tc>
        <w:tc>
          <w:tcPr>
            <w:tcW w:w="825" w:type="dxa"/>
            <w:noWrap/>
            <w:vAlign w:val="center"/>
          </w:tcPr>
          <w:p w14:paraId="634CA2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127</w:t>
            </w:r>
          </w:p>
        </w:tc>
        <w:tc>
          <w:tcPr>
            <w:tcW w:w="825" w:type="dxa"/>
            <w:noWrap/>
            <w:vAlign w:val="center"/>
          </w:tcPr>
          <w:p w14:paraId="0D1553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5.97</w:t>
            </w:r>
          </w:p>
        </w:tc>
        <w:tc>
          <w:tcPr>
            <w:tcW w:w="905" w:type="dxa"/>
            <w:noWrap/>
            <w:vAlign w:val="center"/>
          </w:tcPr>
          <w:p w14:paraId="60DF3E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6.86</w:t>
            </w:r>
          </w:p>
        </w:tc>
      </w:tr>
      <w:tr w14:paraId="69AEB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7BAD22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百顺镇</w:t>
            </w:r>
          </w:p>
        </w:tc>
        <w:tc>
          <w:tcPr>
            <w:tcW w:w="1031" w:type="dxa"/>
            <w:noWrap/>
            <w:vAlign w:val="center"/>
          </w:tcPr>
          <w:p w14:paraId="1FA4D8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13009</w:t>
            </w:r>
          </w:p>
        </w:tc>
        <w:tc>
          <w:tcPr>
            <w:tcW w:w="905" w:type="dxa"/>
            <w:noWrap/>
            <w:vAlign w:val="center"/>
          </w:tcPr>
          <w:p w14:paraId="4445C7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407</w:t>
            </w:r>
          </w:p>
        </w:tc>
        <w:tc>
          <w:tcPr>
            <w:tcW w:w="905" w:type="dxa"/>
            <w:noWrap/>
            <w:vAlign w:val="center"/>
          </w:tcPr>
          <w:p w14:paraId="799C4C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210</w:t>
            </w:r>
          </w:p>
        </w:tc>
        <w:tc>
          <w:tcPr>
            <w:tcW w:w="905" w:type="dxa"/>
            <w:noWrap/>
            <w:vAlign w:val="center"/>
          </w:tcPr>
          <w:p w14:paraId="05AD9E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197</w:t>
            </w:r>
          </w:p>
        </w:tc>
        <w:tc>
          <w:tcPr>
            <w:tcW w:w="905" w:type="dxa"/>
            <w:noWrap/>
            <w:vAlign w:val="center"/>
          </w:tcPr>
          <w:p w14:paraId="2DF030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13.73</w:t>
            </w:r>
          </w:p>
        </w:tc>
        <w:tc>
          <w:tcPr>
            <w:tcW w:w="825" w:type="dxa"/>
            <w:noWrap/>
            <w:vAlign w:val="center"/>
          </w:tcPr>
          <w:p w14:paraId="63ED41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w:t>
            </w:r>
          </w:p>
        </w:tc>
        <w:tc>
          <w:tcPr>
            <w:tcW w:w="825" w:type="dxa"/>
            <w:noWrap/>
            <w:vAlign w:val="center"/>
          </w:tcPr>
          <w:p w14:paraId="35BC86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5.46</w:t>
            </w:r>
          </w:p>
        </w:tc>
        <w:tc>
          <w:tcPr>
            <w:tcW w:w="905" w:type="dxa"/>
            <w:noWrap/>
            <w:vAlign w:val="center"/>
          </w:tcPr>
          <w:p w14:paraId="1427B5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8.26</w:t>
            </w:r>
          </w:p>
        </w:tc>
      </w:tr>
      <w:tr w14:paraId="0B300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0E6DA0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澜河镇</w:t>
            </w:r>
          </w:p>
        </w:tc>
        <w:tc>
          <w:tcPr>
            <w:tcW w:w="1031" w:type="dxa"/>
            <w:noWrap/>
            <w:vAlign w:val="center"/>
          </w:tcPr>
          <w:p w14:paraId="20406A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10417</w:t>
            </w:r>
          </w:p>
        </w:tc>
        <w:tc>
          <w:tcPr>
            <w:tcW w:w="905" w:type="dxa"/>
            <w:noWrap/>
            <w:vAlign w:val="center"/>
          </w:tcPr>
          <w:p w14:paraId="34FEAE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164</w:t>
            </w:r>
          </w:p>
        </w:tc>
        <w:tc>
          <w:tcPr>
            <w:tcW w:w="905" w:type="dxa"/>
            <w:noWrap/>
            <w:vAlign w:val="center"/>
          </w:tcPr>
          <w:p w14:paraId="78364B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84</w:t>
            </w:r>
          </w:p>
        </w:tc>
        <w:tc>
          <w:tcPr>
            <w:tcW w:w="905" w:type="dxa"/>
            <w:noWrap/>
            <w:vAlign w:val="center"/>
          </w:tcPr>
          <w:p w14:paraId="7A7FA7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w:t>
            </w:r>
          </w:p>
        </w:tc>
        <w:tc>
          <w:tcPr>
            <w:tcW w:w="905" w:type="dxa"/>
            <w:noWrap/>
            <w:vAlign w:val="center"/>
          </w:tcPr>
          <w:p w14:paraId="14151C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12.60</w:t>
            </w:r>
          </w:p>
        </w:tc>
        <w:tc>
          <w:tcPr>
            <w:tcW w:w="825" w:type="dxa"/>
            <w:noWrap/>
            <w:vAlign w:val="center"/>
          </w:tcPr>
          <w:p w14:paraId="287369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84</w:t>
            </w:r>
          </w:p>
        </w:tc>
        <w:tc>
          <w:tcPr>
            <w:tcW w:w="825" w:type="dxa"/>
            <w:noWrap/>
            <w:vAlign w:val="center"/>
          </w:tcPr>
          <w:p w14:paraId="7C6398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6.45</w:t>
            </w:r>
          </w:p>
        </w:tc>
        <w:tc>
          <w:tcPr>
            <w:tcW w:w="905" w:type="dxa"/>
            <w:noWrap/>
            <w:vAlign w:val="center"/>
          </w:tcPr>
          <w:p w14:paraId="358E4F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6.15</w:t>
            </w:r>
          </w:p>
        </w:tc>
      </w:tr>
      <w:tr w14:paraId="75C9D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63FB23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帽子峰镇</w:t>
            </w:r>
          </w:p>
        </w:tc>
        <w:tc>
          <w:tcPr>
            <w:tcW w:w="1031" w:type="dxa"/>
            <w:noWrap/>
            <w:vAlign w:val="center"/>
          </w:tcPr>
          <w:p w14:paraId="3B1347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9747</w:t>
            </w:r>
          </w:p>
        </w:tc>
        <w:tc>
          <w:tcPr>
            <w:tcW w:w="905" w:type="dxa"/>
            <w:noWrap/>
            <w:vAlign w:val="center"/>
          </w:tcPr>
          <w:p w14:paraId="08CBA3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w:t>
            </w:r>
          </w:p>
        </w:tc>
        <w:tc>
          <w:tcPr>
            <w:tcW w:w="905" w:type="dxa"/>
            <w:noWrap/>
            <w:vAlign w:val="center"/>
          </w:tcPr>
          <w:p w14:paraId="1A5609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w:t>
            </w:r>
          </w:p>
        </w:tc>
        <w:tc>
          <w:tcPr>
            <w:tcW w:w="905" w:type="dxa"/>
            <w:noWrap/>
            <w:vAlign w:val="center"/>
          </w:tcPr>
          <w:p w14:paraId="46B88A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w:t>
            </w:r>
          </w:p>
        </w:tc>
        <w:tc>
          <w:tcPr>
            <w:tcW w:w="905" w:type="dxa"/>
            <w:noWrap/>
            <w:vAlign w:val="center"/>
          </w:tcPr>
          <w:p w14:paraId="0FF23B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12.12</w:t>
            </w:r>
          </w:p>
        </w:tc>
        <w:tc>
          <w:tcPr>
            <w:tcW w:w="825" w:type="dxa"/>
            <w:noWrap/>
            <w:vAlign w:val="center"/>
          </w:tcPr>
          <w:p w14:paraId="6FE2F7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w:t>
            </w:r>
          </w:p>
        </w:tc>
        <w:tc>
          <w:tcPr>
            <w:tcW w:w="825" w:type="dxa"/>
            <w:noWrap/>
            <w:vAlign w:val="center"/>
          </w:tcPr>
          <w:p w14:paraId="3B4C4F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5.10</w:t>
            </w:r>
          </w:p>
        </w:tc>
        <w:tc>
          <w:tcPr>
            <w:tcW w:w="905" w:type="dxa"/>
            <w:noWrap/>
            <w:vAlign w:val="center"/>
          </w:tcPr>
          <w:p w14:paraId="6ECC9A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7.02</w:t>
            </w:r>
          </w:p>
        </w:tc>
      </w:tr>
      <w:tr w14:paraId="64A07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0" w:type="dxa"/>
            <w:noWrap/>
            <w:vAlign w:val="center"/>
          </w:tcPr>
          <w:p w14:paraId="6350FD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雄州街道</w:t>
            </w:r>
          </w:p>
        </w:tc>
        <w:tc>
          <w:tcPr>
            <w:tcW w:w="1031" w:type="dxa"/>
            <w:noWrap/>
            <w:vAlign w:val="center"/>
          </w:tcPr>
          <w:p w14:paraId="0A4ABE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96293</w:t>
            </w:r>
          </w:p>
        </w:tc>
        <w:tc>
          <w:tcPr>
            <w:tcW w:w="905" w:type="dxa"/>
            <w:noWrap/>
            <w:vAlign w:val="center"/>
          </w:tcPr>
          <w:p w14:paraId="5CC08A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111</w:t>
            </w:r>
          </w:p>
        </w:tc>
        <w:tc>
          <w:tcPr>
            <w:tcW w:w="905" w:type="dxa"/>
            <w:noWrap/>
            <w:vAlign w:val="center"/>
          </w:tcPr>
          <w:p w14:paraId="5F1DF8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w:t>
            </w:r>
          </w:p>
        </w:tc>
        <w:tc>
          <w:tcPr>
            <w:tcW w:w="905" w:type="dxa"/>
            <w:noWrap/>
            <w:vAlign w:val="center"/>
          </w:tcPr>
          <w:p w14:paraId="5FFE0A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w:t>
            </w:r>
          </w:p>
        </w:tc>
        <w:tc>
          <w:tcPr>
            <w:tcW w:w="905" w:type="dxa"/>
            <w:noWrap/>
            <w:vAlign w:val="center"/>
          </w:tcPr>
          <w:p w14:paraId="6ABDB4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11.44</w:t>
            </w:r>
          </w:p>
        </w:tc>
        <w:tc>
          <w:tcPr>
            <w:tcW w:w="825" w:type="dxa"/>
            <w:noWrap/>
            <w:vAlign w:val="center"/>
          </w:tcPr>
          <w:p w14:paraId="60EA46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w:t>
            </w:r>
          </w:p>
        </w:tc>
        <w:tc>
          <w:tcPr>
            <w:tcW w:w="825" w:type="dxa"/>
            <w:noWrap/>
            <w:vAlign w:val="center"/>
          </w:tcPr>
          <w:p w14:paraId="359A63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5.98</w:t>
            </w:r>
          </w:p>
        </w:tc>
        <w:tc>
          <w:tcPr>
            <w:tcW w:w="905" w:type="dxa"/>
            <w:noWrap/>
            <w:vAlign w:val="center"/>
          </w:tcPr>
          <w:p w14:paraId="412234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5.46</w:t>
            </w:r>
          </w:p>
        </w:tc>
      </w:tr>
    </w:tbl>
    <w:p w14:paraId="1DDABB7F">
      <w:pPr>
        <w:rPr>
          <w:rFonts w:hint="eastAsia" w:hAnsi="宋体" w:cs="宋体"/>
          <w:kern w:val="0"/>
          <w:highlight w:val="none"/>
        </w:rPr>
      </w:pPr>
      <w:r>
        <w:rPr>
          <w:rFonts w:hint="eastAsia" w:hAnsi="宋体" w:cs="宋体"/>
          <w:kern w:val="0"/>
          <w:highlight w:val="none"/>
        </w:rPr>
        <w:t>备注：1、计划生育报表期限为2014年10月至2015年9月。</w:t>
      </w:r>
    </w:p>
    <w:p w14:paraId="143DDA19">
      <w:pPr>
        <w:jc w:val="left"/>
        <w:rPr>
          <w:rFonts w:hint="eastAsia" w:hAnsi="宋体" w:cs="宋体"/>
          <w:kern w:val="0"/>
          <w:highlight w:val="none"/>
        </w:rPr>
      </w:pPr>
      <w:r>
        <w:rPr>
          <w:rFonts w:hint="eastAsia" w:hAnsi="宋体" w:cs="宋体"/>
          <w:kern w:val="0"/>
          <w:highlight w:val="none"/>
        </w:rPr>
        <w:t>2、总人口为户籍人口和未入户人口之和，全市数据中出生人数、出生率、死亡人数、死亡率、自然增长率为评估数。</w:t>
      </w:r>
    </w:p>
    <w:p w14:paraId="4E9DBE00">
      <w:pPr>
        <w:jc w:val="center"/>
        <w:rPr>
          <w:rFonts w:hint="eastAsia" w:hAnsi="宋体" w:cs="宋体"/>
          <w:highlight w:val="none"/>
        </w:rPr>
      </w:pPr>
      <w:r>
        <w:rPr>
          <w:rFonts w:hint="eastAsia" w:hAnsi="宋体" w:cs="宋体"/>
          <w:highlight w:val="none"/>
        </w:rPr>
        <w:t>全市分镇（街道）行政区面积</w:t>
      </w:r>
    </w:p>
    <w:p w14:paraId="05CB4A2B">
      <w:pPr>
        <w:rPr>
          <w:rFonts w:hint="eastAsia" w:hAnsi="宋体" w:eastAsia="宋体" w:cs="宋体"/>
          <w:highlight w:val="none"/>
          <w:lang w:eastAsia="zh-CN"/>
        </w:rPr>
      </w:pPr>
      <w:r>
        <w:rPr>
          <w:rFonts w:hint="eastAsia" w:hAnsi="宋体" w:cs="宋体"/>
          <w:highlight w:val="none"/>
        </w:rPr>
        <w:t>表45</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46"/>
        <w:gridCol w:w="3151"/>
        <w:gridCol w:w="2019"/>
      </w:tblGrid>
      <w:tr w14:paraId="15B5D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vMerge w:val="restart"/>
            <w:noWrap w:val="0"/>
            <w:vAlign w:val="center"/>
          </w:tcPr>
          <w:p w14:paraId="68BBEC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行政区域名称</w:t>
            </w:r>
          </w:p>
        </w:tc>
        <w:tc>
          <w:tcPr>
            <w:tcW w:w="2560" w:type="dxa"/>
            <w:vMerge w:val="restart"/>
            <w:noWrap w:val="0"/>
            <w:vAlign w:val="center"/>
          </w:tcPr>
          <w:p w14:paraId="773676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行政区域总面积           （公顷）</w:t>
            </w:r>
          </w:p>
        </w:tc>
        <w:tc>
          <w:tcPr>
            <w:tcW w:w="1640" w:type="dxa"/>
            <w:vMerge w:val="restart"/>
            <w:noWrap w:val="0"/>
            <w:vAlign w:val="center"/>
          </w:tcPr>
          <w:p w14:paraId="1672D4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备注</w:t>
            </w:r>
          </w:p>
        </w:tc>
      </w:tr>
      <w:tr w14:paraId="54A55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vMerge w:val="continue"/>
            <w:noWrap w:val="0"/>
            <w:vAlign w:val="center"/>
          </w:tcPr>
          <w:p w14:paraId="540614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p>
        </w:tc>
        <w:tc>
          <w:tcPr>
            <w:tcW w:w="2560" w:type="dxa"/>
            <w:vMerge w:val="continue"/>
            <w:noWrap w:val="0"/>
            <w:vAlign w:val="center"/>
          </w:tcPr>
          <w:p w14:paraId="090EA2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p>
        </w:tc>
        <w:tc>
          <w:tcPr>
            <w:tcW w:w="1640" w:type="dxa"/>
            <w:vMerge w:val="continue"/>
            <w:noWrap w:val="0"/>
            <w:vAlign w:val="center"/>
          </w:tcPr>
          <w:p w14:paraId="2E129A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DFC0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5183CC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合      计</w:t>
            </w:r>
          </w:p>
        </w:tc>
        <w:tc>
          <w:tcPr>
            <w:tcW w:w="2560" w:type="dxa"/>
            <w:noWrap w:val="0"/>
            <w:vAlign w:val="center"/>
          </w:tcPr>
          <w:p w14:paraId="2642E0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232618.32</w:t>
            </w:r>
          </w:p>
        </w:tc>
        <w:tc>
          <w:tcPr>
            <w:tcW w:w="1640" w:type="dxa"/>
            <w:noWrap w:val="0"/>
            <w:vAlign w:val="center"/>
          </w:tcPr>
          <w:p w14:paraId="59C66C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A2A3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004E2C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乌      迳</w:t>
            </w:r>
          </w:p>
        </w:tc>
        <w:tc>
          <w:tcPr>
            <w:tcW w:w="2560" w:type="dxa"/>
            <w:noWrap w:val="0"/>
            <w:vAlign w:val="center"/>
          </w:tcPr>
          <w:p w14:paraId="07106E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15701.71</w:t>
            </w:r>
          </w:p>
        </w:tc>
        <w:tc>
          <w:tcPr>
            <w:tcW w:w="1640" w:type="dxa"/>
            <w:noWrap w:val="0"/>
            <w:vAlign w:val="center"/>
          </w:tcPr>
          <w:p w14:paraId="2FFA96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8E3F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5A2553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界      址</w:t>
            </w:r>
          </w:p>
        </w:tc>
        <w:tc>
          <w:tcPr>
            <w:tcW w:w="2560" w:type="dxa"/>
            <w:noWrap w:val="0"/>
            <w:vAlign w:val="center"/>
          </w:tcPr>
          <w:p w14:paraId="7FE27B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5638.57</w:t>
            </w:r>
          </w:p>
        </w:tc>
        <w:tc>
          <w:tcPr>
            <w:tcW w:w="1640" w:type="dxa"/>
            <w:noWrap w:val="0"/>
            <w:vAlign w:val="center"/>
          </w:tcPr>
          <w:p w14:paraId="6670C4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D78B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389E9A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坪      田</w:t>
            </w:r>
          </w:p>
        </w:tc>
        <w:tc>
          <w:tcPr>
            <w:tcW w:w="2560" w:type="dxa"/>
            <w:noWrap w:val="0"/>
            <w:vAlign w:val="center"/>
          </w:tcPr>
          <w:p w14:paraId="442096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13826.14</w:t>
            </w:r>
          </w:p>
        </w:tc>
        <w:tc>
          <w:tcPr>
            <w:tcW w:w="1640" w:type="dxa"/>
            <w:noWrap w:val="0"/>
            <w:vAlign w:val="center"/>
          </w:tcPr>
          <w:p w14:paraId="508620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0193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25F852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黄      坑</w:t>
            </w:r>
          </w:p>
        </w:tc>
        <w:tc>
          <w:tcPr>
            <w:tcW w:w="2560" w:type="dxa"/>
            <w:noWrap w:val="0"/>
            <w:vAlign w:val="center"/>
          </w:tcPr>
          <w:p w14:paraId="06C09A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5826.46</w:t>
            </w:r>
          </w:p>
        </w:tc>
        <w:tc>
          <w:tcPr>
            <w:tcW w:w="1640" w:type="dxa"/>
            <w:noWrap w:val="0"/>
            <w:vAlign w:val="center"/>
          </w:tcPr>
          <w:p w14:paraId="492DE8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E102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2FF31B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邓      坊</w:t>
            </w:r>
          </w:p>
        </w:tc>
        <w:tc>
          <w:tcPr>
            <w:tcW w:w="2560" w:type="dxa"/>
            <w:noWrap w:val="0"/>
            <w:vAlign w:val="center"/>
          </w:tcPr>
          <w:p w14:paraId="2DF0C5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11804.16</w:t>
            </w:r>
          </w:p>
        </w:tc>
        <w:tc>
          <w:tcPr>
            <w:tcW w:w="1640" w:type="dxa"/>
            <w:noWrap w:val="0"/>
            <w:vAlign w:val="center"/>
          </w:tcPr>
          <w:p w14:paraId="08DDB4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C0AD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537A0B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油      山</w:t>
            </w:r>
          </w:p>
        </w:tc>
        <w:tc>
          <w:tcPr>
            <w:tcW w:w="2560" w:type="dxa"/>
            <w:noWrap w:val="0"/>
            <w:vAlign w:val="center"/>
          </w:tcPr>
          <w:p w14:paraId="03E5EC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14662.79</w:t>
            </w:r>
          </w:p>
        </w:tc>
        <w:tc>
          <w:tcPr>
            <w:tcW w:w="1640" w:type="dxa"/>
            <w:noWrap w:val="0"/>
            <w:vAlign w:val="center"/>
          </w:tcPr>
          <w:p w14:paraId="30765B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A455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443298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南      亩</w:t>
            </w:r>
          </w:p>
        </w:tc>
        <w:tc>
          <w:tcPr>
            <w:tcW w:w="2560" w:type="dxa"/>
            <w:noWrap w:val="0"/>
            <w:vAlign w:val="center"/>
          </w:tcPr>
          <w:p w14:paraId="48BEC7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11126.07</w:t>
            </w:r>
          </w:p>
        </w:tc>
        <w:tc>
          <w:tcPr>
            <w:tcW w:w="1640" w:type="dxa"/>
            <w:noWrap w:val="0"/>
            <w:vAlign w:val="center"/>
          </w:tcPr>
          <w:p w14:paraId="29B30A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1FD6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41E5D7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水      口</w:t>
            </w:r>
          </w:p>
        </w:tc>
        <w:tc>
          <w:tcPr>
            <w:tcW w:w="2560" w:type="dxa"/>
            <w:noWrap w:val="0"/>
            <w:vAlign w:val="center"/>
          </w:tcPr>
          <w:p w14:paraId="4FF058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10679.98</w:t>
            </w:r>
          </w:p>
        </w:tc>
        <w:tc>
          <w:tcPr>
            <w:tcW w:w="1640" w:type="dxa"/>
            <w:noWrap w:val="0"/>
            <w:vAlign w:val="center"/>
          </w:tcPr>
          <w:p w14:paraId="27E41A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0420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61EE8F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江      头</w:t>
            </w:r>
          </w:p>
        </w:tc>
        <w:tc>
          <w:tcPr>
            <w:tcW w:w="2560" w:type="dxa"/>
            <w:noWrap w:val="0"/>
            <w:vAlign w:val="center"/>
          </w:tcPr>
          <w:p w14:paraId="59CAD1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13213.29</w:t>
            </w:r>
          </w:p>
        </w:tc>
        <w:tc>
          <w:tcPr>
            <w:tcW w:w="1640" w:type="dxa"/>
            <w:noWrap w:val="0"/>
            <w:vAlign w:val="center"/>
          </w:tcPr>
          <w:p w14:paraId="5E5B00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5810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0EB33A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湖      口</w:t>
            </w:r>
          </w:p>
        </w:tc>
        <w:tc>
          <w:tcPr>
            <w:tcW w:w="2560" w:type="dxa"/>
            <w:noWrap w:val="0"/>
            <w:vAlign w:val="center"/>
          </w:tcPr>
          <w:p w14:paraId="153F63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7364.42</w:t>
            </w:r>
          </w:p>
        </w:tc>
        <w:tc>
          <w:tcPr>
            <w:tcW w:w="1640" w:type="dxa"/>
            <w:noWrap w:val="0"/>
            <w:vAlign w:val="center"/>
          </w:tcPr>
          <w:p w14:paraId="2F07E2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47CD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3681ED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珠      玑</w:t>
            </w:r>
          </w:p>
        </w:tc>
        <w:tc>
          <w:tcPr>
            <w:tcW w:w="2560" w:type="dxa"/>
            <w:noWrap w:val="0"/>
            <w:vAlign w:val="center"/>
          </w:tcPr>
          <w:p w14:paraId="3875ED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19752.96</w:t>
            </w:r>
          </w:p>
        </w:tc>
        <w:tc>
          <w:tcPr>
            <w:tcW w:w="1640" w:type="dxa"/>
            <w:noWrap w:val="0"/>
            <w:vAlign w:val="center"/>
          </w:tcPr>
          <w:p w14:paraId="6507DC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7A87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7BADFE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主      田</w:t>
            </w:r>
          </w:p>
        </w:tc>
        <w:tc>
          <w:tcPr>
            <w:tcW w:w="2560" w:type="dxa"/>
            <w:noWrap w:val="0"/>
            <w:vAlign w:val="center"/>
          </w:tcPr>
          <w:p w14:paraId="3B7545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16566.56</w:t>
            </w:r>
          </w:p>
        </w:tc>
        <w:tc>
          <w:tcPr>
            <w:tcW w:w="1640" w:type="dxa"/>
            <w:noWrap w:val="0"/>
            <w:vAlign w:val="center"/>
          </w:tcPr>
          <w:p w14:paraId="1BD2AF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7B8A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21699C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古      市</w:t>
            </w:r>
          </w:p>
        </w:tc>
        <w:tc>
          <w:tcPr>
            <w:tcW w:w="2560" w:type="dxa"/>
            <w:noWrap w:val="0"/>
            <w:vAlign w:val="center"/>
          </w:tcPr>
          <w:p w14:paraId="485A96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9862.61</w:t>
            </w:r>
          </w:p>
        </w:tc>
        <w:tc>
          <w:tcPr>
            <w:tcW w:w="1640" w:type="dxa"/>
            <w:noWrap w:val="0"/>
            <w:vAlign w:val="center"/>
          </w:tcPr>
          <w:p w14:paraId="1823B3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291C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1DF674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全      安</w:t>
            </w:r>
          </w:p>
        </w:tc>
        <w:tc>
          <w:tcPr>
            <w:tcW w:w="2560" w:type="dxa"/>
            <w:noWrap w:val="0"/>
            <w:vAlign w:val="center"/>
          </w:tcPr>
          <w:p w14:paraId="7F9DB0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19044.23</w:t>
            </w:r>
          </w:p>
        </w:tc>
        <w:tc>
          <w:tcPr>
            <w:tcW w:w="1640" w:type="dxa"/>
            <w:noWrap w:val="0"/>
            <w:vAlign w:val="center"/>
          </w:tcPr>
          <w:p w14:paraId="697AF0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60AA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0441F4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百      顺</w:t>
            </w:r>
          </w:p>
        </w:tc>
        <w:tc>
          <w:tcPr>
            <w:tcW w:w="2560" w:type="dxa"/>
            <w:noWrap w:val="0"/>
            <w:vAlign w:val="center"/>
          </w:tcPr>
          <w:p w14:paraId="799EE1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19141.81</w:t>
            </w:r>
          </w:p>
        </w:tc>
        <w:tc>
          <w:tcPr>
            <w:tcW w:w="1640" w:type="dxa"/>
            <w:noWrap w:val="0"/>
            <w:vAlign w:val="center"/>
          </w:tcPr>
          <w:p w14:paraId="4F054F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9D86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61E866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澜      河</w:t>
            </w:r>
          </w:p>
        </w:tc>
        <w:tc>
          <w:tcPr>
            <w:tcW w:w="2560" w:type="dxa"/>
            <w:noWrap w:val="0"/>
            <w:vAlign w:val="center"/>
          </w:tcPr>
          <w:p w14:paraId="711266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13925.25</w:t>
            </w:r>
          </w:p>
        </w:tc>
        <w:tc>
          <w:tcPr>
            <w:tcW w:w="1640" w:type="dxa"/>
            <w:noWrap w:val="0"/>
            <w:vAlign w:val="center"/>
          </w:tcPr>
          <w:p w14:paraId="766501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C49E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5BB0B4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帽  子  峰</w:t>
            </w:r>
          </w:p>
        </w:tc>
        <w:tc>
          <w:tcPr>
            <w:tcW w:w="2560" w:type="dxa"/>
            <w:noWrap w:val="0"/>
            <w:vAlign w:val="center"/>
          </w:tcPr>
          <w:p w14:paraId="3092A4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b w:val="0"/>
                <w:bCs w:val="0"/>
                <w:highlight w:val="none"/>
              </w:rPr>
            </w:pPr>
            <w:r>
              <w:rPr>
                <w:rFonts w:hint="eastAsia"/>
                <w:b w:val="0"/>
                <w:bCs w:val="0"/>
                <w:highlight w:val="none"/>
              </w:rPr>
              <w:t>9721.14</w:t>
            </w:r>
          </w:p>
        </w:tc>
        <w:tc>
          <w:tcPr>
            <w:tcW w:w="1640" w:type="dxa"/>
            <w:noWrap w:val="0"/>
            <w:vAlign w:val="center"/>
          </w:tcPr>
          <w:p w14:paraId="1FA27D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186B6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0"/>
            <w:vAlign w:val="center"/>
          </w:tcPr>
          <w:p w14:paraId="778E57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 州 街 道</w:t>
            </w:r>
          </w:p>
        </w:tc>
        <w:tc>
          <w:tcPr>
            <w:tcW w:w="2560" w:type="dxa"/>
            <w:noWrap w:val="0"/>
            <w:vAlign w:val="center"/>
          </w:tcPr>
          <w:p w14:paraId="1BC9B6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9693.91</w:t>
            </w:r>
          </w:p>
        </w:tc>
        <w:tc>
          <w:tcPr>
            <w:tcW w:w="1640" w:type="dxa"/>
            <w:noWrap w:val="0"/>
            <w:vAlign w:val="center"/>
          </w:tcPr>
          <w:p w14:paraId="0D46E8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4A25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ign w:val="center"/>
          </w:tcPr>
          <w:p w14:paraId="1E1A73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帽子峰林场</w:t>
            </w:r>
          </w:p>
        </w:tc>
        <w:tc>
          <w:tcPr>
            <w:tcW w:w="2560" w:type="dxa"/>
            <w:noWrap/>
            <w:vAlign w:val="center"/>
          </w:tcPr>
          <w:p w14:paraId="1709DE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2876.14</w:t>
            </w:r>
          </w:p>
        </w:tc>
        <w:tc>
          <w:tcPr>
            <w:tcW w:w="1640" w:type="dxa"/>
            <w:noWrap/>
            <w:vAlign w:val="center"/>
          </w:tcPr>
          <w:p w14:paraId="6B76E0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B37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ign w:val="center"/>
          </w:tcPr>
          <w:p w14:paraId="3DA357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山门林场</w:t>
            </w:r>
          </w:p>
        </w:tc>
        <w:tc>
          <w:tcPr>
            <w:tcW w:w="2560" w:type="dxa"/>
            <w:noWrap/>
            <w:vAlign w:val="center"/>
          </w:tcPr>
          <w:p w14:paraId="5AD03B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1414.06</w:t>
            </w:r>
          </w:p>
        </w:tc>
        <w:tc>
          <w:tcPr>
            <w:tcW w:w="1640" w:type="dxa"/>
            <w:noWrap/>
            <w:vAlign w:val="center"/>
          </w:tcPr>
          <w:p w14:paraId="64C176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C7D1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00" w:type="dxa"/>
            <w:noWrap/>
            <w:vAlign w:val="center"/>
          </w:tcPr>
          <w:p w14:paraId="0F0F23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泷头林场</w:t>
            </w:r>
          </w:p>
        </w:tc>
        <w:tc>
          <w:tcPr>
            <w:tcW w:w="2560" w:type="dxa"/>
            <w:noWrap/>
            <w:vAlign w:val="center"/>
          </w:tcPr>
          <w:p w14:paraId="51130C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776.06</w:t>
            </w:r>
          </w:p>
        </w:tc>
        <w:tc>
          <w:tcPr>
            <w:tcW w:w="1640" w:type="dxa"/>
            <w:noWrap/>
            <w:vAlign w:val="center"/>
          </w:tcPr>
          <w:p w14:paraId="26AEA3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bl>
    <w:p w14:paraId="2F901D8D">
      <w:pPr>
        <w:jc w:val="center"/>
        <w:rPr>
          <w:rFonts w:hint="eastAsia" w:hAnsi="宋体" w:cs="宋体"/>
          <w:highlight w:val="none"/>
        </w:rPr>
      </w:pPr>
      <w:r>
        <w:rPr>
          <w:rFonts w:hint="eastAsia" w:hAnsi="宋体" w:cs="宋体"/>
          <w:highlight w:val="none"/>
        </w:rPr>
        <w:t>全市环境保护情况</w:t>
      </w:r>
    </w:p>
    <w:p w14:paraId="16D68EA7">
      <w:pPr>
        <w:ind w:firstLine="405"/>
        <w:rPr>
          <w:rFonts w:hint="eastAsia" w:hAnsi="宋体" w:cs="宋体"/>
          <w:highlight w:val="none"/>
        </w:rPr>
      </w:pPr>
      <w:r>
        <w:rPr>
          <w:rFonts w:hint="eastAsia" w:hAnsi="宋体" w:cs="宋体"/>
          <w:highlight w:val="none"/>
        </w:rPr>
        <w:t>表46</w:t>
      </w:r>
    </w:p>
    <w:tbl>
      <w:tblPr>
        <w:tblStyle w:val="7"/>
        <w:tblW w:w="326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9"/>
        <w:gridCol w:w="1125"/>
        <w:gridCol w:w="1106"/>
        <w:gridCol w:w="1069"/>
        <w:gridCol w:w="1107"/>
      </w:tblGrid>
      <w:tr w14:paraId="11D61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5" w:hRule="atLeast"/>
          <w:jc w:val="center"/>
        </w:trPr>
        <w:tc>
          <w:tcPr>
            <w:tcW w:w="4540" w:type="dxa"/>
            <w:shd w:val="clear" w:color="000000" w:fill="FFFFFF"/>
            <w:noWrap/>
            <w:vAlign w:val="center"/>
          </w:tcPr>
          <w:p w14:paraId="0CCCFA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指标名称</w:t>
            </w:r>
          </w:p>
        </w:tc>
        <w:tc>
          <w:tcPr>
            <w:tcW w:w="1200" w:type="dxa"/>
            <w:shd w:val="clear" w:color="000000" w:fill="FFFFFF"/>
            <w:noWrap/>
            <w:vAlign w:val="center"/>
          </w:tcPr>
          <w:p w14:paraId="4DA59E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计量单位</w:t>
            </w:r>
          </w:p>
        </w:tc>
        <w:tc>
          <w:tcPr>
            <w:tcW w:w="1180" w:type="dxa"/>
            <w:shd w:val="clear" w:color="000000" w:fill="FFFFFF"/>
            <w:noWrap/>
            <w:vAlign w:val="center"/>
          </w:tcPr>
          <w:p w14:paraId="0E3C0F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c>
          <w:tcPr>
            <w:tcW w:w="1140" w:type="dxa"/>
            <w:shd w:val="clear" w:color="000000" w:fill="FFFFFF"/>
            <w:noWrap/>
            <w:vAlign w:val="center"/>
          </w:tcPr>
          <w:p w14:paraId="632613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2014年</w:t>
            </w:r>
          </w:p>
        </w:tc>
        <w:tc>
          <w:tcPr>
            <w:tcW w:w="1180" w:type="dxa"/>
            <w:shd w:val="clear" w:color="000000" w:fill="FFFFFF"/>
            <w:noWrap w:val="0"/>
            <w:vAlign w:val="center"/>
          </w:tcPr>
          <w:p w14:paraId="7DB8E2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比上年增长（%）</w:t>
            </w:r>
          </w:p>
        </w:tc>
      </w:tr>
      <w:tr w14:paraId="4C687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25ADB0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1、废水排放总量</w:t>
            </w:r>
          </w:p>
        </w:tc>
        <w:tc>
          <w:tcPr>
            <w:tcW w:w="1200" w:type="dxa"/>
            <w:shd w:val="clear" w:color="000000" w:fill="FFFFFF"/>
            <w:noWrap/>
            <w:vAlign w:val="bottom"/>
          </w:tcPr>
          <w:p w14:paraId="679E47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w:t>
            </w:r>
          </w:p>
        </w:tc>
        <w:tc>
          <w:tcPr>
            <w:tcW w:w="1180" w:type="dxa"/>
            <w:shd w:val="clear" w:color="000000" w:fill="FFFFFF"/>
            <w:noWrap/>
            <w:vAlign w:val="bottom"/>
          </w:tcPr>
          <w:p w14:paraId="7BD558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849.15</w:t>
            </w:r>
          </w:p>
        </w:tc>
        <w:tc>
          <w:tcPr>
            <w:tcW w:w="1140" w:type="dxa"/>
            <w:shd w:val="clear" w:color="000000" w:fill="FFFFFF"/>
            <w:noWrap/>
            <w:vAlign w:val="bottom"/>
          </w:tcPr>
          <w:p w14:paraId="726439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987.72</w:t>
            </w:r>
          </w:p>
        </w:tc>
        <w:tc>
          <w:tcPr>
            <w:tcW w:w="1180" w:type="dxa"/>
            <w:shd w:val="clear" w:color="000000" w:fill="FFFFFF"/>
            <w:noWrap/>
            <w:vAlign w:val="bottom"/>
          </w:tcPr>
          <w:p w14:paraId="0C21FC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-14.0</w:t>
            </w:r>
          </w:p>
        </w:tc>
      </w:tr>
      <w:tr w14:paraId="790BA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05A264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#工业废水排放总量</w:t>
            </w:r>
          </w:p>
        </w:tc>
        <w:tc>
          <w:tcPr>
            <w:tcW w:w="1200" w:type="dxa"/>
            <w:shd w:val="clear" w:color="000000" w:fill="FFFFFF"/>
            <w:noWrap/>
            <w:vAlign w:val="bottom"/>
          </w:tcPr>
          <w:p w14:paraId="0B1538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w:t>
            </w:r>
          </w:p>
        </w:tc>
        <w:tc>
          <w:tcPr>
            <w:tcW w:w="1180" w:type="dxa"/>
            <w:shd w:val="clear" w:color="000000" w:fill="FFFFFF"/>
            <w:noWrap/>
            <w:vAlign w:val="bottom"/>
          </w:tcPr>
          <w:p w14:paraId="33C0B6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189.66</w:t>
            </w:r>
          </w:p>
        </w:tc>
        <w:tc>
          <w:tcPr>
            <w:tcW w:w="1140" w:type="dxa"/>
            <w:shd w:val="clear" w:color="000000" w:fill="FFFFFF"/>
            <w:noWrap/>
            <w:vAlign w:val="bottom"/>
          </w:tcPr>
          <w:p w14:paraId="0B7320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360.62</w:t>
            </w:r>
          </w:p>
        </w:tc>
        <w:tc>
          <w:tcPr>
            <w:tcW w:w="1180" w:type="dxa"/>
            <w:shd w:val="clear" w:color="000000" w:fill="FFFFFF"/>
            <w:noWrap/>
            <w:vAlign w:val="bottom"/>
          </w:tcPr>
          <w:p w14:paraId="601F9E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-47.4</w:t>
            </w:r>
          </w:p>
        </w:tc>
      </w:tr>
      <w:tr w14:paraId="7F8E4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57E9D7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工业废水排放达标率</w:t>
            </w:r>
          </w:p>
        </w:tc>
        <w:tc>
          <w:tcPr>
            <w:tcW w:w="1200" w:type="dxa"/>
            <w:shd w:val="clear" w:color="000000" w:fill="FFFFFF"/>
            <w:noWrap/>
            <w:vAlign w:val="bottom"/>
          </w:tcPr>
          <w:p w14:paraId="326129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80" w:type="dxa"/>
            <w:shd w:val="clear" w:color="000000" w:fill="FFFFFF"/>
            <w:noWrap/>
            <w:vAlign w:val="bottom"/>
          </w:tcPr>
          <w:p w14:paraId="26F561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w:t>
            </w:r>
          </w:p>
        </w:tc>
        <w:tc>
          <w:tcPr>
            <w:tcW w:w="1140" w:type="dxa"/>
            <w:shd w:val="clear" w:color="000000" w:fill="FFFFFF"/>
            <w:noWrap/>
            <w:vAlign w:val="bottom"/>
          </w:tcPr>
          <w:p w14:paraId="261CDE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98</w:t>
            </w:r>
          </w:p>
        </w:tc>
        <w:tc>
          <w:tcPr>
            <w:tcW w:w="1180" w:type="dxa"/>
            <w:shd w:val="clear" w:color="000000" w:fill="FFFFFF"/>
            <w:noWrap/>
            <w:vAlign w:val="bottom"/>
          </w:tcPr>
          <w:p w14:paraId="426F44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w:t>
            </w:r>
          </w:p>
        </w:tc>
      </w:tr>
      <w:tr w14:paraId="74FF8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5B1054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生活废水排放总量</w:t>
            </w:r>
          </w:p>
        </w:tc>
        <w:tc>
          <w:tcPr>
            <w:tcW w:w="1200" w:type="dxa"/>
            <w:shd w:val="clear" w:color="000000" w:fill="FFFFFF"/>
            <w:noWrap/>
            <w:vAlign w:val="bottom"/>
          </w:tcPr>
          <w:p w14:paraId="49C2AE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w:t>
            </w:r>
          </w:p>
        </w:tc>
        <w:tc>
          <w:tcPr>
            <w:tcW w:w="1180" w:type="dxa"/>
            <w:shd w:val="clear" w:color="000000" w:fill="FFFFFF"/>
            <w:noWrap/>
            <w:vAlign w:val="bottom"/>
          </w:tcPr>
          <w:p w14:paraId="03537D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659.49</w:t>
            </w:r>
          </w:p>
        </w:tc>
        <w:tc>
          <w:tcPr>
            <w:tcW w:w="1140" w:type="dxa"/>
            <w:shd w:val="clear" w:color="000000" w:fill="FFFFFF"/>
            <w:noWrap/>
            <w:vAlign w:val="bottom"/>
          </w:tcPr>
          <w:p w14:paraId="41BD80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627.1</w:t>
            </w:r>
          </w:p>
        </w:tc>
        <w:tc>
          <w:tcPr>
            <w:tcW w:w="1180" w:type="dxa"/>
            <w:shd w:val="clear" w:color="000000" w:fill="FFFFFF"/>
            <w:noWrap/>
            <w:vAlign w:val="bottom"/>
          </w:tcPr>
          <w:p w14:paraId="6F0C34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w:t>
            </w:r>
          </w:p>
        </w:tc>
      </w:tr>
      <w:tr w14:paraId="6F2EE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4DEBAC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2、废水处理总量</w:t>
            </w:r>
          </w:p>
        </w:tc>
        <w:tc>
          <w:tcPr>
            <w:tcW w:w="1200" w:type="dxa"/>
            <w:shd w:val="clear" w:color="000000" w:fill="FFFFFF"/>
            <w:noWrap/>
            <w:vAlign w:val="bottom"/>
          </w:tcPr>
          <w:p w14:paraId="1EE152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w:t>
            </w:r>
          </w:p>
        </w:tc>
        <w:tc>
          <w:tcPr>
            <w:tcW w:w="1180" w:type="dxa"/>
            <w:shd w:val="clear" w:color="000000" w:fill="FFFFFF"/>
            <w:noWrap/>
            <w:vAlign w:val="bottom"/>
          </w:tcPr>
          <w:p w14:paraId="540354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754.26</w:t>
            </w:r>
          </w:p>
        </w:tc>
        <w:tc>
          <w:tcPr>
            <w:tcW w:w="1140" w:type="dxa"/>
            <w:shd w:val="clear" w:color="000000" w:fill="FFFFFF"/>
            <w:noWrap/>
            <w:vAlign w:val="bottom"/>
          </w:tcPr>
          <w:p w14:paraId="26E8E7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832.6</w:t>
            </w:r>
          </w:p>
        </w:tc>
        <w:tc>
          <w:tcPr>
            <w:tcW w:w="1180" w:type="dxa"/>
            <w:shd w:val="clear" w:color="000000" w:fill="FFFFFF"/>
            <w:noWrap/>
            <w:vAlign w:val="bottom"/>
          </w:tcPr>
          <w:p w14:paraId="3FDEAE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w:t>
            </w:r>
          </w:p>
        </w:tc>
      </w:tr>
      <w:tr w14:paraId="69601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4A0EAF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#工业废水处理量</w:t>
            </w:r>
          </w:p>
        </w:tc>
        <w:tc>
          <w:tcPr>
            <w:tcW w:w="1200" w:type="dxa"/>
            <w:shd w:val="clear" w:color="000000" w:fill="FFFFFF"/>
            <w:noWrap/>
            <w:vAlign w:val="bottom"/>
          </w:tcPr>
          <w:p w14:paraId="0DDCAA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w:t>
            </w:r>
          </w:p>
        </w:tc>
        <w:tc>
          <w:tcPr>
            <w:tcW w:w="1180" w:type="dxa"/>
            <w:shd w:val="clear" w:color="000000" w:fill="FFFFFF"/>
            <w:noWrap/>
            <w:vAlign w:val="bottom"/>
          </w:tcPr>
          <w:p w14:paraId="1A5E54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189.66</w:t>
            </w:r>
          </w:p>
        </w:tc>
        <w:tc>
          <w:tcPr>
            <w:tcW w:w="1140" w:type="dxa"/>
            <w:shd w:val="clear" w:color="000000" w:fill="FFFFFF"/>
            <w:noWrap/>
            <w:vAlign w:val="bottom"/>
          </w:tcPr>
          <w:p w14:paraId="7F076D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331.3</w:t>
            </w:r>
          </w:p>
        </w:tc>
        <w:tc>
          <w:tcPr>
            <w:tcW w:w="1180" w:type="dxa"/>
            <w:shd w:val="clear" w:color="000000" w:fill="FFFFFF"/>
            <w:noWrap/>
            <w:vAlign w:val="bottom"/>
          </w:tcPr>
          <w:p w14:paraId="24235A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-42.8</w:t>
            </w:r>
          </w:p>
        </w:tc>
      </w:tr>
      <w:tr w14:paraId="4EEED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00B262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生活废水处理量</w:t>
            </w:r>
          </w:p>
        </w:tc>
        <w:tc>
          <w:tcPr>
            <w:tcW w:w="1200" w:type="dxa"/>
            <w:shd w:val="clear" w:color="000000" w:fill="FFFFFF"/>
            <w:noWrap/>
            <w:vAlign w:val="bottom"/>
          </w:tcPr>
          <w:p w14:paraId="7DFA29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w:t>
            </w:r>
          </w:p>
        </w:tc>
        <w:tc>
          <w:tcPr>
            <w:tcW w:w="1180" w:type="dxa"/>
            <w:shd w:val="clear" w:color="000000" w:fill="FFFFFF"/>
            <w:noWrap/>
            <w:vAlign w:val="bottom"/>
          </w:tcPr>
          <w:p w14:paraId="239777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564.6</w:t>
            </w:r>
          </w:p>
        </w:tc>
        <w:tc>
          <w:tcPr>
            <w:tcW w:w="1140" w:type="dxa"/>
            <w:shd w:val="clear" w:color="000000" w:fill="FFFFFF"/>
            <w:noWrap/>
            <w:vAlign w:val="bottom"/>
          </w:tcPr>
          <w:p w14:paraId="6A6E6F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501.3</w:t>
            </w:r>
          </w:p>
        </w:tc>
        <w:tc>
          <w:tcPr>
            <w:tcW w:w="1180" w:type="dxa"/>
            <w:shd w:val="clear" w:color="000000" w:fill="FFFFFF"/>
            <w:noWrap/>
            <w:vAlign w:val="bottom"/>
          </w:tcPr>
          <w:p w14:paraId="3C58E8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w:t>
            </w:r>
          </w:p>
        </w:tc>
      </w:tr>
      <w:tr w14:paraId="3500D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6AFD90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3、生活污水处理率</w:t>
            </w:r>
          </w:p>
        </w:tc>
        <w:tc>
          <w:tcPr>
            <w:tcW w:w="1200" w:type="dxa"/>
            <w:shd w:val="clear" w:color="000000" w:fill="FFFFFF"/>
            <w:noWrap/>
            <w:vAlign w:val="bottom"/>
          </w:tcPr>
          <w:p w14:paraId="361606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80" w:type="dxa"/>
            <w:shd w:val="clear" w:color="000000" w:fill="FFFFFF"/>
            <w:noWrap/>
            <w:vAlign w:val="bottom"/>
          </w:tcPr>
          <w:p w14:paraId="550D1E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85.62</w:t>
            </w:r>
          </w:p>
        </w:tc>
        <w:tc>
          <w:tcPr>
            <w:tcW w:w="1140" w:type="dxa"/>
            <w:shd w:val="clear" w:color="000000" w:fill="FFFFFF"/>
            <w:noWrap/>
            <w:vAlign w:val="bottom"/>
          </w:tcPr>
          <w:p w14:paraId="1A0691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79.94</w:t>
            </w:r>
          </w:p>
        </w:tc>
        <w:tc>
          <w:tcPr>
            <w:tcW w:w="1180" w:type="dxa"/>
            <w:shd w:val="clear" w:color="000000" w:fill="FFFFFF"/>
            <w:noWrap/>
            <w:vAlign w:val="bottom"/>
          </w:tcPr>
          <w:p w14:paraId="700119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w:t>
            </w:r>
          </w:p>
        </w:tc>
      </w:tr>
      <w:tr w14:paraId="43EC0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2EEE84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4、废气排放总量</w:t>
            </w:r>
          </w:p>
        </w:tc>
        <w:tc>
          <w:tcPr>
            <w:tcW w:w="1200" w:type="dxa"/>
            <w:shd w:val="clear" w:color="000000" w:fill="FFFFFF"/>
            <w:noWrap/>
            <w:vAlign w:val="bottom"/>
          </w:tcPr>
          <w:p w14:paraId="1BD888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万标立方</w:t>
            </w:r>
          </w:p>
        </w:tc>
        <w:tc>
          <w:tcPr>
            <w:tcW w:w="1180" w:type="dxa"/>
            <w:shd w:val="clear" w:color="000000" w:fill="FFFFFF"/>
            <w:noWrap/>
            <w:vAlign w:val="bottom"/>
          </w:tcPr>
          <w:p w14:paraId="77E384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367326</w:t>
            </w:r>
          </w:p>
        </w:tc>
        <w:tc>
          <w:tcPr>
            <w:tcW w:w="1140" w:type="dxa"/>
            <w:shd w:val="clear" w:color="000000" w:fill="FFFFFF"/>
            <w:noWrap/>
            <w:vAlign w:val="bottom"/>
          </w:tcPr>
          <w:p w14:paraId="728889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352789</w:t>
            </w:r>
          </w:p>
        </w:tc>
        <w:tc>
          <w:tcPr>
            <w:tcW w:w="1180" w:type="dxa"/>
            <w:shd w:val="clear" w:color="000000" w:fill="FFFFFF"/>
            <w:noWrap/>
            <w:vAlign w:val="bottom"/>
          </w:tcPr>
          <w:p w14:paraId="55D6FF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w:t>
            </w:r>
          </w:p>
        </w:tc>
      </w:tr>
      <w:tr w14:paraId="0AD4A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4AE990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#工业废气排放量</w:t>
            </w:r>
          </w:p>
        </w:tc>
        <w:tc>
          <w:tcPr>
            <w:tcW w:w="1200" w:type="dxa"/>
            <w:shd w:val="clear" w:color="000000" w:fill="FFFFFF"/>
            <w:noWrap/>
            <w:vAlign w:val="bottom"/>
          </w:tcPr>
          <w:p w14:paraId="2565AB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万标立方</w:t>
            </w:r>
          </w:p>
        </w:tc>
        <w:tc>
          <w:tcPr>
            <w:tcW w:w="1180" w:type="dxa"/>
            <w:shd w:val="clear" w:color="000000" w:fill="FFFFFF"/>
            <w:noWrap/>
            <w:vAlign w:val="bottom"/>
          </w:tcPr>
          <w:p w14:paraId="048242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367326</w:t>
            </w:r>
          </w:p>
        </w:tc>
        <w:tc>
          <w:tcPr>
            <w:tcW w:w="1140" w:type="dxa"/>
            <w:shd w:val="clear" w:color="000000" w:fill="FFFFFF"/>
            <w:noWrap/>
            <w:vAlign w:val="bottom"/>
          </w:tcPr>
          <w:p w14:paraId="07ACE5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352789</w:t>
            </w:r>
          </w:p>
        </w:tc>
        <w:tc>
          <w:tcPr>
            <w:tcW w:w="1180" w:type="dxa"/>
            <w:shd w:val="clear" w:color="000000" w:fill="FFFFFF"/>
            <w:noWrap/>
            <w:vAlign w:val="bottom"/>
          </w:tcPr>
          <w:p w14:paraId="2EAB63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w:t>
            </w:r>
          </w:p>
        </w:tc>
      </w:tr>
      <w:tr w14:paraId="680C9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6AD63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5、工业二氧化硫去除量</w:t>
            </w:r>
          </w:p>
        </w:tc>
        <w:tc>
          <w:tcPr>
            <w:tcW w:w="1200" w:type="dxa"/>
            <w:shd w:val="clear" w:color="000000" w:fill="FFFFFF"/>
            <w:noWrap/>
            <w:vAlign w:val="bottom"/>
          </w:tcPr>
          <w:p w14:paraId="25AE10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29D15A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1098.69</w:t>
            </w:r>
          </w:p>
        </w:tc>
        <w:tc>
          <w:tcPr>
            <w:tcW w:w="1140" w:type="dxa"/>
            <w:shd w:val="clear" w:color="000000" w:fill="FFFFFF"/>
            <w:noWrap/>
            <w:vAlign w:val="bottom"/>
          </w:tcPr>
          <w:p w14:paraId="75E210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1044.58</w:t>
            </w:r>
          </w:p>
        </w:tc>
        <w:tc>
          <w:tcPr>
            <w:tcW w:w="1180" w:type="dxa"/>
            <w:shd w:val="clear" w:color="000000" w:fill="FFFFFF"/>
            <w:noWrap/>
            <w:vAlign w:val="bottom"/>
          </w:tcPr>
          <w:p w14:paraId="1F06F2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w:t>
            </w:r>
          </w:p>
        </w:tc>
      </w:tr>
      <w:tr w14:paraId="424EE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00227E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6、工业二氧化硫排放量</w:t>
            </w:r>
          </w:p>
        </w:tc>
        <w:tc>
          <w:tcPr>
            <w:tcW w:w="1200" w:type="dxa"/>
            <w:shd w:val="clear" w:color="000000" w:fill="FFFFFF"/>
            <w:noWrap/>
            <w:vAlign w:val="bottom"/>
          </w:tcPr>
          <w:p w14:paraId="115B83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7799F1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412.3</w:t>
            </w:r>
          </w:p>
        </w:tc>
        <w:tc>
          <w:tcPr>
            <w:tcW w:w="1140" w:type="dxa"/>
            <w:shd w:val="clear" w:color="000000" w:fill="FFFFFF"/>
            <w:noWrap/>
            <w:vAlign w:val="bottom"/>
          </w:tcPr>
          <w:p w14:paraId="7AF012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396.66</w:t>
            </w:r>
          </w:p>
        </w:tc>
        <w:tc>
          <w:tcPr>
            <w:tcW w:w="1180" w:type="dxa"/>
            <w:shd w:val="clear" w:color="000000" w:fill="FFFFFF"/>
            <w:noWrap/>
            <w:vAlign w:val="bottom"/>
          </w:tcPr>
          <w:p w14:paraId="59CFD3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3.9</w:t>
            </w:r>
          </w:p>
        </w:tc>
      </w:tr>
      <w:tr w14:paraId="3C548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AB56E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7、工业烟尘去除量</w:t>
            </w:r>
          </w:p>
        </w:tc>
        <w:tc>
          <w:tcPr>
            <w:tcW w:w="1200" w:type="dxa"/>
            <w:shd w:val="clear" w:color="000000" w:fill="FFFFFF"/>
            <w:noWrap/>
            <w:vAlign w:val="bottom"/>
          </w:tcPr>
          <w:p w14:paraId="5D1237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3E6A57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1328.19</w:t>
            </w:r>
          </w:p>
        </w:tc>
        <w:tc>
          <w:tcPr>
            <w:tcW w:w="1140" w:type="dxa"/>
            <w:shd w:val="clear" w:color="000000" w:fill="FFFFFF"/>
            <w:noWrap/>
            <w:vAlign w:val="bottom"/>
          </w:tcPr>
          <w:p w14:paraId="7DC6C5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1760.52</w:t>
            </w:r>
          </w:p>
        </w:tc>
        <w:tc>
          <w:tcPr>
            <w:tcW w:w="1180" w:type="dxa"/>
            <w:shd w:val="clear" w:color="000000" w:fill="FFFFFF"/>
            <w:noWrap/>
            <w:vAlign w:val="bottom"/>
          </w:tcPr>
          <w:p w14:paraId="32DBFE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-24.6</w:t>
            </w:r>
          </w:p>
        </w:tc>
      </w:tr>
      <w:tr w14:paraId="054E5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4240BC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8、工业烟尘排放量</w:t>
            </w:r>
          </w:p>
        </w:tc>
        <w:tc>
          <w:tcPr>
            <w:tcW w:w="1200" w:type="dxa"/>
            <w:shd w:val="clear" w:color="000000" w:fill="FFFFFF"/>
            <w:noWrap/>
            <w:vAlign w:val="bottom"/>
          </w:tcPr>
          <w:p w14:paraId="4A1C1F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0BAEFF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318.405</w:t>
            </w:r>
          </w:p>
        </w:tc>
        <w:tc>
          <w:tcPr>
            <w:tcW w:w="1140" w:type="dxa"/>
            <w:shd w:val="clear" w:color="000000" w:fill="FFFFFF"/>
            <w:noWrap/>
            <w:vAlign w:val="bottom"/>
          </w:tcPr>
          <w:p w14:paraId="78CAB8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298.061</w:t>
            </w:r>
          </w:p>
        </w:tc>
        <w:tc>
          <w:tcPr>
            <w:tcW w:w="1180" w:type="dxa"/>
            <w:shd w:val="clear" w:color="000000" w:fill="FFFFFF"/>
            <w:noWrap/>
            <w:vAlign w:val="bottom"/>
          </w:tcPr>
          <w:p w14:paraId="6FDDB4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w:t>
            </w:r>
          </w:p>
        </w:tc>
      </w:tr>
      <w:tr w14:paraId="20A38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7A54BB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9、工业烟尘排放量达标率</w:t>
            </w:r>
          </w:p>
        </w:tc>
        <w:tc>
          <w:tcPr>
            <w:tcW w:w="1200" w:type="dxa"/>
            <w:shd w:val="clear" w:color="000000" w:fill="FFFFFF"/>
            <w:noWrap/>
            <w:vAlign w:val="bottom"/>
          </w:tcPr>
          <w:p w14:paraId="1A1BA2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80" w:type="dxa"/>
            <w:shd w:val="clear" w:color="000000" w:fill="FFFFFF"/>
            <w:noWrap/>
            <w:vAlign w:val="bottom"/>
          </w:tcPr>
          <w:p w14:paraId="1C0C71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88.5</w:t>
            </w:r>
          </w:p>
        </w:tc>
        <w:tc>
          <w:tcPr>
            <w:tcW w:w="1140" w:type="dxa"/>
            <w:shd w:val="clear" w:color="000000" w:fill="FFFFFF"/>
            <w:noWrap/>
            <w:vAlign w:val="bottom"/>
          </w:tcPr>
          <w:p w14:paraId="56F313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91.5</w:t>
            </w:r>
          </w:p>
        </w:tc>
        <w:tc>
          <w:tcPr>
            <w:tcW w:w="1180" w:type="dxa"/>
            <w:shd w:val="clear" w:color="000000" w:fill="FFFFFF"/>
            <w:noWrap/>
            <w:vAlign w:val="bottom"/>
          </w:tcPr>
          <w:p w14:paraId="16CAB4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w:t>
            </w:r>
          </w:p>
        </w:tc>
      </w:tr>
      <w:tr w14:paraId="4EE0A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3D093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10、工业固体废物综合利用率</w:t>
            </w:r>
          </w:p>
        </w:tc>
        <w:tc>
          <w:tcPr>
            <w:tcW w:w="1200" w:type="dxa"/>
            <w:shd w:val="clear" w:color="000000" w:fill="FFFFFF"/>
            <w:noWrap/>
            <w:vAlign w:val="bottom"/>
          </w:tcPr>
          <w:p w14:paraId="2B5DEC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80" w:type="dxa"/>
            <w:shd w:val="clear" w:color="000000" w:fill="FFFFFF"/>
            <w:noWrap/>
            <w:vAlign w:val="bottom"/>
          </w:tcPr>
          <w:p w14:paraId="41D473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81.97</w:t>
            </w:r>
          </w:p>
        </w:tc>
        <w:tc>
          <w:tcPr>
            <w:tcW w:w="1140" w:type="dxa"/>
            <w:shd w:val="clear" w:color="000000" w:fill="FFFFFF"/>
            <w:noWrap/>
            <w:vAlign w:val="bottom"/>
          </w:tcPr>
          <w:p w14:paraId="0E1B4E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94.12</w:t>
            </w:r>
          </w:p>
        </w:tc>
        <w:tc>
          <w:tcPr>
            <w:tcW w:w="1180" w:type="dxa"/>
            <w:shd w:val="clear" w:color="000000" w:fill="FFFFFF"/>
            <w:noWrap/>
            <w:vAlign w:val="bottom"/>
          </w:tcPr>
          <w:p w14:paraId="73BEB1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-12.9</w:t>
            </w:r>
          </w:p>
        </w:tc>
      </w:tr>
      <w:tr w14:paraId="4A3F6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4484E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11、环境噪声达标面积</w:t>
            </w:r>
          </w:p>
        </w:tc>
        <w:tc>
          <w:tcPr>
            <w:tcW w:w="1200" w:type="dxa"/>
            <w:shd w:val="clear" w:color="000000" w:fill="FFFFFF"/>
            <w:noWrap/>
            <w:vAlign w:val="bottom"/>
          </w:tcPr>
          <w:p w14:paraId="64E793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平方公里</w:t>
            </w:r>
          </w:p>
        </w:tc>
        <w:tc>
          <w:tcPr>
            <w:tcW w:w="1180" w:type="dxa"/>
            <w:shd w:val="clear" w:color="000000" w:fill="FFFFFF"/>
            <w:noWrap/>
            <w:vAlign w:val="bottom"/>
          </w:tcPr>
          <w:p w14:paraId="799BC1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12.49</w:t>
            </w:r>
          </w:p>
        </w:tc>
        <w:tc>
          <w:tcPr>
            <w:tcW w:w="1140" w:type="dxa"/>
            <w:shd w:val="clear" w:color="000000" w:fill="FFFFFF"/>
            <w:noWrap/>
            <w:vAlign w:val="bottom"/>
          </w:tcPr>
          <w:p w14:paraId="31ECFC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12.49</w:t>
            </w:r>
          </w:p>
        </w:tc>
        <w:tc>
          <w:tcPr>
            <w:tcW w:w="1180" w:type="dxa"/>
            <w:shd w:val="clear" w:color="000000" w:fill="FFFFFF"/>
            <w:noWrap/>
            <w:vAlign w:val="bottom"/>
          </w:tcPr>
          <w:p w14:paraId="6349BF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w:t>
            </w:r>
          </w:p>
        </w:tc>
      </w:tr>
      <w:tr w14:paraId="0F7CC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00B6EB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12、环境污染治理投资额</w:t>
            </w:r>
          </w:p>
        </w:tc>
        <w:tc>
          <w:tcPr>
            <w:tcW w:w="1200" w:type="dxa"/>
            <w:shd w:val="clear" w:color="000000" w:fill="FFFFFF"/>
            <w:noWrap/>
            <w:vAlign w:val="bottom"/>
          </w:tcPr>
          <w:p w14:paraId="55CD58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万元</w:t>
            </w:r>
          </w:p>
        </w:tc>
        <w:tc>
          <w:tcPr>
            <w:tcW w:w="1180" w:type="dxa"/>
            <w:shd w:val="clear" w:color="000000" w:fill="FFFFFF"/>
            <w:noWrap/>
            <w:vAlign w:val="bottom"/>
          </w:tcPr>
          <w:p w14:paraId="1E2339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2866.8</w:t>
            </w:r>
          </w:p>
        </w:tc>
        <w:tc>
          <w:tcPr>
            <w:tcW w:w="1140" w:type="dxa"/>
            <w:shd w:val="clear" w:color="000000" w:fill="FFFFFF"/>
            <w:noWrap/>
            <w:vAlign w:val="bottom"/>
          </w:tcPr>
          <w:p w14:paraId="699C2C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783.3</w:t>
            </w:r>
          </w:p>
        </w:tc>
        <w:tc>
          <w:tcPr>
            <w:tcW w:w="1180" w:type="dxa"/>
            <w:shd w:val="clear" w:color="000000" w:fill="FFFFFF"/>
            <w:noWrap/>
            <w:vAlign w:val="bottom"/>
          </w:tcPr>
          <w:p w14:paraId="396C3F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266.0</w:t>
            </w:r>
          </w:p>
        </w:tc>
      </w:tr>
      <w:tr w14:paraId="017E2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59BCF4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13、当年安排治理项目</w:t>
            </w:r>
          </w:p>
        </w:tc>
        <w:tc>
          <w:tcPr>
            <w:tcW w:w="1200" w:type="dxa"/>
            <w:shd w:val="clear" w:color="000000" w:fill="FFFFFF"/>
            <w:noWrap/>
            <w:vAlign w:val="bottom"/>
          </w:tcPr>
          <w:p w14:paraId="1FC056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180" w:type="dxa"/>
            <w:shd w:val="clear" w:color="000000" w:fill="FFFFFF"/>
            <w:noWrap/>
            <w:vAlign w:val="bottom"/>
          </w:tcPr>
          <w:p w14:paraId="5E0477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140" w:type="dxa"/>
            <w:shd w:val="clear" w:color="000000" w:fill="FFFFFF"/>
            <w:noWrap/>
            <w:vAlign w:val="bottom"/>
          </w:tcPr>
          <w:p w14:paraId="2BF135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180" w:type="dxa"/>
            <w:shd w:val="clear" w:color="000000" w:fill="FFFFFF"/>
            <w:noWrap/>
            <w:vAlign w:val="bottom"/>
          </w:tcPr>
          <w:p w14:paraId="72CE54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60.0</w:t>
            </w:r>
          </w:p>
        </w:tc>
      </w:tr>
      <w:tr w14:paraId="1D751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4E906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14、三废综合利用产品产值</w:t>
            </w:r>
          </w:p>
        </w:tc>
        <w:tc>
          <w:tcPr>
            <w:tcW w:w="1200" w:type="dxa"/>
            <w:shd w:val="clear" w:color="000000" w:fill="FFFFFF"/>
            <w:noWrap/>
            <w:vAlign w:val="bottom"/>
          </w:tcPr>
          <w:p w14:paraId="5FB033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万元</w:t>
            </w:r>
          </w:p>
        </w:tc>
        <w:tc>
          <w:tcPr>
            <w:tcW w:w="1180" w:type="dxa"/>
            <w:shd w:val="clear" w:color="000000" w:fill="FFFFFF"/>
            <w:noWrap/>
            <w:vAlign w:val="bottom"/>
          </w:tcPr>
          <w:p w14:paraId="1B13AF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1400</w:t>
            </w:r>
          </w:p>
        </w:tc>
        <w:tc>
          <w:tcPr>
            <w:tcW w:w="1140" w:type="dxa"/>
            <w:shd w:val="clear" w:color="000000" w:fill="FFFFFF"/>
            <w:noWrap/>
            <w:vAlign w:val="bottom"/>
          </w:tcPr>
          <w:p w14:paraId="5BF365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1500</w:t>
            </w:r>
          </w:p>
        </w:tc>
        <w:tc>
          <w:tcPr>
            <w:tcW w:w="1180" w:type="dxa"/>
            <w:shd w:val="clear" w:color="000000" w:fill="FFFFFF"/>
            <w:noWrap/>
            <w:vAlign w:val="bottom"/>
          </w:tcPr>
          <w:p w14:paraId="7DCE36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w:t>
            </w:r>
          </w:p>
        </w:tc>
      </w:tr>
      <w:tr w14:paraId="69695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2A3E91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15、烟尘控制面积</w:t>
            </w:r>
          </w:p>
        </w:tc>
        <w:tc>
          <w:tcPr>
            <w:tcW w:w="1200" w:type="dxa"/>
            <w:shd w:val="clear" w:color="000000" w:fill="FFFFFF"/>
            <w:noWrap/>
            <w:vAlign w:val="bottom"/>
          </w:tcPr>
          <w:p w14:paraId="58C9AF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平方公里</w:t>
            </w:r>
          </w:p>
        </w:tc>
        <w:tc>
          <w:tcPr>
            <w:tcW w:w="1180" w:type="dxa"/>
            <w:shd w:val="clear" w:color="000000" w:fill="FFFFFF"/>
            <w:noWrap/>
            <w:vAlign w:val="bottom"/>
          </w:tcPr>
          <w:p w14:paraId="14C960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12.49</w:t>
            </w:r>
          </w:p>
        </w:tc>
        <w:tc>
          <w:tcPr>
            <w:tcW w:w="1140" w:type="dxa"/>
            <w:shd w:val="clear" w:color="000000" w:fill="FFFFFF"/>
            <w:noWrap/>
            <w:vAlign w:val="bottom"/>
          </w:tcPr>
          <w:p w14:paraId="3449B1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12.49</w:t>
            </w:r>
          </w:p>
        </w:tc>
        <w:tc>
          <w:tcPr>
            <w:tcW w:w="1180" w:type="dxa"/>
            <w:shd w:val="clear" w:color="000000" w:fill="FFFFFF"/>
            <w:noWrap/>
            <w:vAlign w:val="bottom"/>
          </w:tcPr>
          <w:p w14:paraId="36BDA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w:t>
            </w:r>
          </w:p>
        </w:tc>
      </w:tr>
      <w:tr w14:paraId="3660E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428305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16、烟尘达标排放率</w:t>
            </w:r>
          </w:p>
        </w:tc>
        <w:tc>
          <w:tcPr>
            <w:tcW w:w="1200" w:type="dxa"/>
            <w:shd w:val="clear" w:color="000000" w:fill="FFFFFF"/>
            <w:noWrap/>
            <w:vAlign w:val="bottom"/>
          </w:tcPr>
          <w:p w14:paraId="1418F1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80" w:type="dxa"/>
            <w:shd w:val="clear" w:color="000000" w:fill="FFFFFF"/>
            <w:noWrap/>
            <w:vAlign w:val="bottom"/>
          </w:tcPr>
          <w:p w14:paraId="7E355E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91.51</w:t>
            </w:r>
          </w:p>
        </w:tc>
        <w:tc>
          <w:tcPr>
            <w:tcW w:w="1140" w:type="dxa"/>
            <w:shd w:val="clear" w:color="000000" w:fill="FFFFFF"/>
            <w:noWrap/>
            <w:vAlign w:val="bottom"/>
          </w:tcPr>
          <w:p w14:paraId="52ADBF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94.51</w:t>
            </w:r>
          </w:p>
        </w:tc>
        <w:tc>
          <w:tcPr>
            <w:tcW w:w="1180" w:type="dxa"/>
            <w:shd w:val="clear" w:color="000000" w:fill="FFFFFF"/>
            <w:noWrap/>
            <w:vAlign w:val="bottom"/>
          </w:tcPr>
          <w:p w14:paraId="412676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w:t>
            </w:r>
          </w:p>
        </w:tc>
      </w:tr>
      <w:tr w14:paraId="5B1D2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323CC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17、污水处理厂</w:t>
            </w:r>
          </w:p>
        </w:tc>
        <w:tc>
          <w:tcPr>
            <w:tcW w:w="1200" w:type="dxa"/>
            <w:shd w:val="clear" w:color="000000" w:fill="FFFFFF"/>
            <w:noWrap/>
            <w:vAlign w:val="bottom"/>
          </w:tcPr>
          <w:p w14:paraId="44CAB0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180" w:type="dxa"/>
            <w:shd w:val="clear" w:color="000000" w:fill="FFFFFF"/>
            <w:noWrap/>
            <w:vAlign w:val="bottom"/>
          </w:tcPr>
          <w:p w14:paraId="20C166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1140" w:type="dxa"/>
            <w:shd w:val="clear" w:color="000000" w:fill="FFFFFF"/>
            <w:noWrap/>
            <w:vAlign w:val="bottom"/>
          </w:tcPr>
          <w:p w14:paraId="1D92F0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180" w:type="dxa"/>
            <w:shd w:val="clear" w:color="000000" w:fill="FFFFFF"/>
            <w:noWrap/>
            <w:vAlign w:val="bottom"/>
          </w:tcPr>
          <w:p w14:paraId="024096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300.0</w:t>
            </w:r>
          </w:p>
        </w:tc>
      </w:tr>
      <w:tr w14:paraId="17A81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2A8E91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18、垃圾处理站</w:t>
            </w:r>
          </w:p>
        </w:tc>
        <w:tc>
          <w:tcPr>
            <w:tcW w:w="1200" w:type="dxa"/>
            <w:shd w:val="clear" w:color="000000" w:fill="FFFFFF"/>
            <w:noWrap/>
            <w:vAlign w:val="bottom"/>
          </w:tcPr>
          <w:p w14:paraId="5C76E6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180" w:type="dxa"/>
            <w:shd w:val="clear" w:color="000000" w:fill="FFFFFF"/>
            <w:noWrap/>
            <w:vAlign w:val="bottom"/>
          </w:tcPr>
          <w:p w14:paraId="1F4A40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140" w:type="dxa"/>
            <w:shd w:val="clear" w:color="000000" w:fill="FFFFFF"/>
            <w:noWrap/>
            <w:vAlign w:val="bottom"/>
          </w:tcPr>
          <w:p w14:paraId="4A3168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180" w:type="dxa"/>
            <w:shd w:val="clear" w:color="000000" w:fill="FFFFFF"/>
            <w:noWrap/>
            <w:vAlign w:val="bottom"/>
          </w:tcPr>
          <w:p w14:paraId="4E33D6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w:t>
            </w:r>
          </w:p>
        </w:tc>
      </w:tr>
      <w:tr w14:paraId="6730C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7ED5A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19.化学需氧量排放量</w:t>
            </w:r>
          </w:p>
        </w:tc>
        <w:tc>
          <w:tcPr>
            <w:tcW w:w="1200" w:type="dxa"/>
            <w:shd w:val="clear" w:color="000000" w:fill="FFFFFF"/>
            <w:noWrap/>
            <w:vAlign w:val="bottom"/>
          </w:tcPr>
          <w:p w14:paraId="365DCC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3D977B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6347</w:t>
            </w:r>
          </w:p>
        </w:tc>
        <w:tc>
          <w:tcPr>
            <w:tcW w:w="1140" w:type="dxa"/>
            <w:shd w:val="clear" w:color="000000" w:fill="FFFFFF"/>
            <w:noWrap/>
            <w:vAlign w:val="bottom"/>
          </w:tcPr>
          <w:p w14:paraId="271B77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7261</w:t>
            </w:r>
          </w:p>
        </w:tc>
        <w:tc>
          <w:tcPr>
            <w:tcW w:w="1180" w:type="dxa"/>
            <w:shd w:val="clear" w:color="000000" w:fill="FFFFFF"/>
            <w:noWrap/>
            <w:vAlign w:val="bottom"/>
          </w:tcPr>
          <w:p w14:paraId="19D81A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w:t>
            </w:r>
          </w:p>
        </w:tc>
      </w:tr>
      <w:tr w14:paraId="75A82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2EF8D4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20.二氧化硫排放量</w:t>
            </w:r>
          </w:p>
        </w:tc>
        <w:tc>
          <w:tcPr>
            <w:tcW w:w="1200" w:type="dxa"/>
            <w:shd w:val="clear" w:color="000000" w:fill="FFFFFF"/>
            <w:noWrap/>
            <w:vAlign w:val="bottom"/>
          </w:tcPr>
          <w:p w14:paraId="22D395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63C3CF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685</w:t>
            </w:r>
          </w:p>
        </w:tc>
        <w:tc>
          <w:tcPr>
            <w:tcW w:w="1140" w:type="dxa"/>
            <w:shd w:val="clear" w:color="000000" w:fill="FFFFFF"/>
            <w:noWrap/>
            <w:vAlign w:val="bottom"/>
          </w:tcPr>
          <w:p w14:paraId="4A5F7D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685</w:t>
            </w:r>
          </w:p>
        </w:tc>
        <w:tc>
          <w:tcPr>
            <w:tcW w:w="1180" w:type="dxa"/>
            <w:shd w:val="clear" w:color="000000" w:fill="FFFFFF"/>
            <w:noWrap/>
            <w:vAlign w:val="bottom"/>
          </w:tcPr>
          <w:p w14:paraId="65548E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w:t>
            </w:r>
          </w:p>
        </w:tc>
      </w:tr>
      <w:tr w14:paraId="3197B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1F9BED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21.氨氮排放量</w:t>
            </w:r>
          </w:p>
        </w:tc>
        <w:tc>
          <w:tcPr>
            <w:tcW w:w="1200" w:type="dxa"/>
            <w:shd w:val="clear" w:color="000000" w:fill="FFFFFF"/>
            <w:noWrap/>
            <w:vAlign w:val="bottom"/>
          </w:tcPr>
          <w:p w14:paraId="1EC82E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216ABA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413.8</w:t>
            </w:r>
          </w:p>
        </w:tc>
        <w:tc>
          <w:tcPr>
            <w:tcW w:w="1140" w:type="dxa"/>
            <w:shd w:val="clear" w:color="000000" w:fill="FFFFFF"/>
            <w:noWrap/>
            <w:vAlign w:val="bottom"/>
          </w:tcPr>
          <w:p w14:paraId="27AC2F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577.8</w:t>
            </w:r>
          </w:p>
        </w:tc>
        <w:tc>
          <w:tcPr>
            <w:tcW w:w="1180" w:type="dxa"/>
            <w:shd w:val="clear" w:color="000000" w:fill="FFFFFF"/>
            <w:noWrap/>
            <w:vAlign w:val="bottom"/>
          </w:tcPr>
          <w:p w14:paraId="1C0A9D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-28.4</w:t>
            </w:r>
          </w:p>
        </w:tc>
      </w:tr>
      <w:tr w14:paraId="66E6C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544E11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22.氮氧化物排放量</w:t>
            </w:r>
          </w:p>
        </w:tc>
        <w:tc>
          <w:tcPr>
            <w:tcW w:w="1200" w:type="dxa"/>
            <w:shd w:val="clear" w:color="000000" w:fill="FFFFFF"/>
            <w:noWrap/>
            <w:vAlign w:val="bottom"/>
          </w:tcPr>
          <w:p w14:paraId="2EDF6A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180" w:type="dxa"/>
            <w:shd w:val="clear" w:color="000000" w:fill="FFFFFF"/>
            <w:noWrap/>
            <w:vAlign w:val="bottom"/>
          </w:tcPr>
          <w:p w14:paraId="2BC01F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195</w:t>
            </w:r>
          </w:p>
        </w:tc>
        <w:tc>
          <w:tcPr>
            <w:tcW w:w="1140" w:type="dxa"/>
            <w:shd w:val="clear" w:color="000000" w:fill="FFFFFF"/>
            <w:noWrap/>
            <w:vAlign w:val="bottom"/>
          </w:tcPr>
          <w:p w14:paraId="5F5B47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195</w:t>
            </w:r>
          </w:p>
        </w:tc>
        <w:tc>
          <w:tcPr>
            <w:tcW w:w="1180" w:type="dxa"/>
            <w:shd w:val="clear" w:color="000000" w:fill="FFFFFF"/>
            <w:noWrap/>
            <w:vAlign w:val="bottom"/>
          </w:tcPr>
          <w:p w14:paraId="54886F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w:t>
            </w:r>
          </w:p>
        </w:tc>
      </w:tr>
      <w:tr w14:paraId="6983D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540" w:type="dxa"/>
            <w:shd w:val="clear" w:color="000000" w:fill="FFFFFF"/>
            <w:noWrap/>
            <w:vAlign w:val="bottom"/>
          </w:tcPr>
          <w:p w14:paraId="2C25AC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23.建成区绿化覆盖率</w:t>
            </w:r>
          </w:p>
        </w:tc>
        <w:tc>
          <w:tcPr>
            <w:tcW w:w="1200" w:type="dxa"/>
            <w:shd w:val="clear" w:color="000000" w:fill="FFFFFF"/>
            <w:noWrap/>
            <w:vAlign w:val="bottom"/>
          </w:tcPr>
          <w:p w14:paraId="168B3E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c>
          <w:tcPr>
            <w:tcW w:w="1180" w:type="dxa"/>
            <w:shd w:val="clear" w:color="000000" w:fill="FFFFFF"/>
            <w:noWrap/>
            <w:vAlign w:val="bottom"/>
          </w:tcPr>
          <w:p w14:paraId="2C4AFD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35.71</w:t>
            </w:r>
          </w:p>
        </w:tc>
        <w:tc>
          <w:tcPr>
            <w:tcW w:w="1140" w:type="dxa"/>
            <w:shd w:val="clear" w:color="000000" w:fill="FFFFFF"/>
            <w:noWrap/>
            <w:vAlign w:val="bottom"/>
          </w:tcPr>
          <w:p w14:paraId="6761F5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35.67</w:t>
            </w:r>
          </w:p>
        </w:tc>
        <w:tc>
          <w:tcPr>
            <w:tcW w:w="1180" w:type="dxa"/>
            <w:shd w:val="clear" w:color="000000" w:fill="FFFFFF"/>
            <w:noWrap/>
            <w:vAlign w:val="bottom"/>
          </w:tcPr>
          <w:p w14:paraId="7939D0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w:t>
            </w:r>
          </w:p>
        </w:tc>
      </w:tr>
      <w:tr w14:paraId="58FD7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540" w:type="dxa"/>
            <w:shd w:val="clear" w:color="000000" w:fill="FFFFFF"/>
            <w:noWrap/>
            <w:vAlign w:val="bottom"/>
          </w:tcPr>
          <w:p w14:paraId="50E1A7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水土流失与治理</w:t>
            </w:r>
          </w:p>
        </w:tc>
        <w:tc>
          <w:tcPr>
            <w:tcW w:w="1200" w:type="dxa"/>
            <w:shd w:val="clear" w:color="000000" w:fill="FFFFFF"/>
            <w:noWrap/>
            <w:vAlign w:val="bottom"/>
          </w:tcPr>
          <w:p w14:paraId="6AA5DE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80" w:type="dxa"/>
            <w:shd w:val="clear" w:color="000000" w:fill="FFFFFF"/>
            <w:noWrap/>
            <w:vAlign w:val="bottom"/>
          </w:tcPr>
          <w:p w14:paraId="2AAE21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40" w:type="dxa"/>
            <w:shd w:val="clear" w:color="000000" w:fill="FFFFFF"/>
            <w:noWrap/>
            <w:vAlign w:val="bottom"/>
          </w:tcPr>
          <w:p w14:paraId="0970E5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80" w:type="dxa"/>
            <w:shd w:val="clear" w:color="000000" w:fill="FFFFFF"/>
            <w:noWrap/>
            <w:vAlign w:val="bottom"/>
          </w:tcPr>
          <w:p w14:paraId="69E87E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6A10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540" w:type="dxa"/>
            <w:shd w:val="clear" w:color="000000" w:fill="FFFFFF"/>
            <w:noWrap/>
            <w:vAlign w:val="bottom"/>
          </w:tcPr>
          <w:p w14:paraId="630B0F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1、全市水土流失面积</w:t>
            </w:r>
          </w:p>
        </w:tc>
        <w:tc>
          <w:tcPr>
            <w:tcW w:w="1200" w:type="dxa"/>
            <w:shd w:val="clear" w:color="000000" w:fill="FFFFFF"/>
            <w:noWrap/>
            <w:vAlign w:val="bottom"/>
          </w:tcPr>
          <w:p w14:paraId="57CC95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平方公里</w:t>
            </w:r>
          </w:p>
        </w:tc>
        <w:tc>
          <w:tcPr>
            <w:tcW w:w="1180" w:type="dxa"/>
            <w:shd w:val="clear" w:color="000000" w:fill="FFFFFF"/>
            <w:noWrap/>
            <w:vAlign w:val="bottom"/>
          </w:tcPr>
          <w:p w14:paraId="66A07A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296.08</w:t>
            </w:r>
          </w:p>
        </w:tc>
        <w:tc>
          <w:tcPr>
            <w:tcW w:w="1140" w:type="dxa"/>
            <w:shd w:val="clear" w:color="000000" w:fill="FFFFFF"/>
            <w:noWrap/>
            <w:vAlign w:val="bottom"/>
          </w:tcPr>
          <w:p w14:paraId="79C84A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296.33</w:t>
            </w:r>
          </w:p>
        </w:tc>
        <w:tc>
          <w:tcPr>
            <w:tcW w:w="1180" w:type="dxa"/>
            <w:shd w:val="clear" w:color="000000" w:fill="FFFFFF"/>
            <w:noWrap/>
            <w:vAlign w:val="bottom"/>
          </w:tcPr>
          <w:p w14:paraId="59A588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w:t>
            </w:r>
          </w:p>
        </w:tc>
      </w:tr>
      <w:tr w14:paraId="39030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540" w:type="dxa"/>
            <w:shd w:val="clear" w:color="000000" w:fill="FFFFFF"/>
            <w:noWrap/>
            <w:vAlign w:val="bottom"/>
          </w:tcPr>
          <w:p w14:paraId="67944F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2、治理水土流失面积</w:t>
            </w:r>
          </w:p>
        </w:tc>
        <w:tc>
          <w:tcPr>
            <w:tcW w:w="1200" w:type="dxa"/>
            <w:shd w:val="clear" w:color="000000" w:fill="FFFFFF"/>
            <w:noWrap/>
            <w:vAlign w:val="bottom"/>
          </w:tcPr>
          <w:p w14:paraId="2124ED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平方公里</w:t>
            </w:r>
          </w:p>
        </w:tc>
        <w:tc>
          <w:tcPr>
            <w:tcW w:w="1180" w:type="dxa"/>
            <w:shd w:val="clear" w:color="000000" w:fill="FFFFFF"/>
            <w:noWrap/>
            <w:vAlign w:val="bottom"/>
          </w:tcPr>
          <w:p w14:paraId="3FD4EB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0.25</w:t>
            </w:r>
          </w:p>
        </w:tc>
        <w:tc>
          <w:tcPr>
            <w:tcW w:w="1140" w:type="dxa"/>
            <w:shd w:val="clear" w:color="000000" w:fill="FFFFFF"/>
            <w:noWrap/>
            <w:vAlign w:val="bottom"/>
          </w:tcPr>
          <w:p w14:paraId="2DB02B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0.15</w:t>
            </w:r>
          </w:p>
        </w:tc>
        <w:tc>
          <w:tcPr>
            <w:tcW w:w="1180" w:type="dxa"/>
            <w:shd w:val="clear" w:color="000000" w:fill="FFFFFF"/>
            <w:noWrap/>
            <w:vAlign w:val="bottom"/>
          </w:tcPr>
          <w:p w14:paraId="09B13C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66.7</w:t>
            </w:r>
          </w:p>
        </w:tc>
      </w:tr>
      <w:tr w14:paraId="6C8E0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540" w:type="dxa"/>
            <w:shd w:val="clear" w:color="000000" w:fill="FFFFFF"/>
            <w:noWrap/>
            <w:vAlign w:val="bottom"/>
          </w:tcPr>
          <w:p w14:paraId="7DC443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3、治理崩岗工程</w:t>
            </w:r>
          </w:p>
        </w:tc>
        <w:tc>
          <w:tcPr>
            <w:tcW w:w="1200" w:type="dxa"/>
            <w:shd w:val="clear" w:color="000000" w:fill="FFFFFF"/>
            <w:noWrap/>
            <w:vAlign w:val="bottom"/>
          </w:tcPr>
          <w:p w14:paraId="68794A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180" w:type="dxa"/>
            <w:shd w:val="clear" w:color="000000" w:fill="FFFFFF"/>
            <w:noWrap/>
            <w:vAlign w:val="bottom"/>
          </w:tcPr>
          <w:p w14:paraId="5328E0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p>
        </w:tc>
        <w:tc>
          <w:tcPr>
            <w:tcW w:w="1140" w:type="dxa"/>
            <w:shd w:val="clear" w:color="000000" w:fill="FFFFFF"/>
            <w:noWrap/>
            <w:vAlign w:val="bottom"/>
          </w:tcPr>
          <w:p w14:paraId="04C22A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c>
          <w:tcPr>
            <w:tcW w:w="1180" w:type="dxa"/>
            <w:shd w:val="clear" w:color="000000" w:fill="FFFFFF"/>
            <w:noWrap/>
            <w:vAlign w:val="bottom"/>
          </w:tcPr>
          <w:p w14:paraId="176885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114.3</w:t>
            </w:r>
          </w:p>
        </w:tc>
      </w:tr>
      <w:tr w14:paraId="3AC37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540" w:type="dxa"/>
            <w:shd w:val="clear" w:color="000000" w:fill="FFFFFF"/>
            <w:noWrap/>
            <w:vAlign w:val="bottom"/>
          </w:tcPr>
          <w:p w14:paraId="7B1BDD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4、审批开发建设项目水土保持方案</w:t>
            </w:r>
          </w:p>
        </w:tc>
        <w:tc>
          <w:tcPr>
            <w:tcW w:w="1200" w:type="dxa"/>
            <w:shd w:val="clear" w:color="000000" w:fill="FFFFFF"/>
            <w:noWrap/>
            <w:vAlign w:val="bottom"/>
          </w:tcPr>
          <w:p w14:paraId="51770C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宗</w:t>
            </w:r>
          </w:p>
        </w:tc>
        <w:tc>
          <w:tcPr>
            <w:tcW w:w="1180" w:type="dxa"/>
            <w:shd w:val="clear" w:color="000000" w:fill="FFFFFF"/>
            <w:noWrap/>
            <w:vAlign w:val="bottom"/>
          </w:tcPr>
          <w:p w14:paraId="1A0A82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140" w:type="dxa"/>
            <w:shd w:val="clear" w:color="000000" w:fill="FFFFFF"/>
            <w:noWrap/>
            <w:vAlign w:val="bottom"/>
          </w:tcPr>
          <w:p w14:paraId="767B7F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180" w:type="dxa"/>
            <w:shd w:val="clear" w:color="000000" w:fill="FFFFFF"/>
            <w:noWrap/>
            <w:vAlign w:val="bottom"/>
          </w:tcPr>
          <w:p w14:paraId="395C47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160.0</w:t>
            </w:r>
          </w:p>
        </w:tc>
      </w:tr>
      <w:tr w14:paraId="13132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540" w:type="dxa"/>
            <w:shd w:val="clear" w:color="000000" w:fill="FFFFFF"/>
            <w:noWrap/>
            <w:vAlign w:val="bottom"/>
          </w:tcPr>
          <w:p w14:paraId="084DCD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5、水土流失治理投资额</w:t>
            </w:r>
          </w:p>
        </w:tc>
        <w:tc>
          <w:tcPr>
            <w:tcW w:w="1200" w:type="dxa"/>
            <w:shd w:val="clear" w:color="000000" w:fill="FFFFFF"/>
            <w:noWrap/>
            <w:vAlign w:val="bottom"/>
          </w:tcPr>
          <w:p w14:paraId="6D1E0E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万元</w:t>
            </w:r>
          </w:p>
        </w:tc>
        <w:tc>
          <w:tcPr>
            <w:tcW w:w="1180" w:type="dxa"/>
            <w:shd w:val="clear" w:color="000000" w:fill="FFFFFF"/>
            <w:noWrap/>
            <w:vAlign w:val="bottom"/>
          </w:tcPr>
          <w:p w14:paraId="715B87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480</w:t>
            </w:r>
          </w:p>
        </w:tc>
        <w:tc>
          <w:tcPr>
            <w:tcW w:w="1140" w:type="dxa"/>
            <w:shd w:val="clear" w:color="000000" w:fill="FFFFFF"/>
            <w:noWrap/>
            <w:vAlign w:val="bottom"/>
          </w:tcPr>
          <w:p w14:paraId="799129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180" w:type="dxa"/>
            <w:shd w:val="clear" w:color="000000" w:fill="FFFFFF"/>
            <w:noWrap/>
            <w:vAlign w:val="bottom"/>
          </w:tcPr>
          <w:p w14:paraId="0CA8D3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w:t>
            </w:r>
          </w:p>
        </w:tc>
      </w:tr>
    </w:tbl>
    <w:p w14:paraId="74D39657">
      <w:pPr>
        <w:jc w:val="center"/>
        <w:rPr>
          <w:rFonts w:hint="eastAsia" w:hAnsi="宋体" w:cs="宋体"/>
          <w:highlight w:val="none"/>
        </w:rPr>
      </w:pPr>
      <w:r>
        <w:rPr>
          <w:rFonts w:hint="eastAsia" w:hAnsi="宋体" w:cs="宋体"/>
          <w:highlight w:val="none"/>
        </w:rPr>
        <w:t>全市法人与产业活动单位数情况</w:t>
      </w:r>
    </w:p>
    <w:p w14:paraId="0923AD05">
      <w:pPr>
        <w:ind w:firstLine="405"/>
        <w:rPr>
          <w:rFonts w:hint="eastAsia" w:hAnsi="宋体" w:cs="宋体"/>
          <w:highlight w:val="none"/>
        </w:rPr>
      </w:pPr>
      <w:r>
        <w:rPr>
          <w:rFonts w:hint="eastAsia" w:hAnsi="宋体" w:cs="宋体"/>
          <w:highlight w:val="none"/>
        </w:rPr>
        <w:t>表47</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410"/>
        <w:gridCol w:w="850"/>
        <w:gridCol w:w="850"/>
        <w:gridCol w:w="851"/>
        <w:gridCol w:w="851"/>
        <w:gridCol w:w="851"/>
        <w:gridCol w:w="851"/>
      </w:tblGrid>
      <w:tr w14:paraId="2FAFC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65" w:hRule="atLeast"/>
          <w:jc w:val="center"/>
        </w:trPr>
        <w:tc>
          <w:tcPr>
            <w:tcW w:w="4460" w:type="dxa"/>
            <w:vMerge w:val="restart"/>
            <w:noWrap w:val="0"/>
            <w:vAlign w:val="center"/>
          </w:tcPr>
          <w:p w14:paraId="5B703C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指 标 名 称</w:t>
            </w:r>
          </w:p>
        </w:tc>
        <w:tc>
          <w:tcPr>
            <w:tcW w:w="1080" w:type="dxa"/>
            <w:vMerge w:val="restart"/>
            <w:noWrap w:val="0"/>
            <w:vAlign w:val="center"/>
          </w:tcPr>
          <w:p w14:paraId="5B4D8F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法人单位数（个）</w:t>
            </w:r>
          </w:p>
        </w:tc>
        <w:tc>
          <w:tcPr>
            <w:tcW w:w="2160" w:type="dxa"/>
            <w:gridSpan w:val="2"/>
            <w:noWrap/>
            <w:vAlign w:val="center"/>
          </w:tcPr>
          <w:p w14:paraId="5C1F0C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restart"/>
            <w:noWrap w:val="0"/>
            <w:vAlign w:val="center"/>
          </w:tcPr>
          <w:p w14:paraId="2C1406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法人单位就业人数（人）</w:t>
            </w:r>
          </w:p>
        </w:tc>
        <w:tc>
          <w:tcPr>
            <w:tcW w:w="1080" w:type="dxa"/>
            <w:noWrap/>
            <w:vAlign w:val="center"/>
          </w:tcPr>
          <w:p w14:paraId="661122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restart"/>
            <w:noWrap w:val="0"/>
            <w:vAlign w:val="center"/>
          </w:tcPr>
          <w:p w14:paraId="430730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产业活动单位数（个）</w:t>
            </w:r>
          </w:p>
        </w:tc>
      </w:tr>
      <w:tr w14:paraId="68320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65" w:hRule="atLeast"/>
          <w:jc w:val="center"/>
        </w:trPr>
        <w:tc>
          <w:tcPr>
            <w:tcW w:w="4460" w:type="dxa"/>
            <w:vMerge w:val="continue"/>
            <w:noWrap w:val="0"/>
            <w:vAlign w:val="center"/>
          </w:tcPr>
          <w:p w14:paraId="6292F6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continue"/>
            <w:noWrap w:val="0"/>
            <w:vAlign w:val="center"/>
          </w:tcPr>
          <w:p w14:paraId="5E8F03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noWrap w:val="0"/>
            <w:vAlign w:val="center"/>
          </w:tcPr>
          <w:p w14:paraId="174EAE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单产业法人单位</w:t>
            </w:r>
          </w:p>
        </w:tc>
        <w:tc>
          <w:tcPr>
            <w:tcW w:w="1080" w:type="dxa"/>
            <w:noWrap w:val="0"/>
            <w:vAlign w:val="center"/>
          </w:tcPr>
          <w:p w14:paraId="7D051F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多产业法人单位</w:t>
            </w:r>
          </w:p>
        </w:tc>
        <w:tc>
          <w:tcPr>
            <w:tcW w:w="1080" w:type="dxa"/>
            <w:vMerge w:val="continue"/>
            <w:noWrap w:val="0"/>
            <w:vAlign w:val="center"/>
          </w:tcPr>
          <w:p w14:paraId="7C7374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noWrap w:val="0"/>
            <w:vAlign w:val="center"/>
          </w:tcPr>
          <w:p w14:paraId="38DCCD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女  性</w:t>
            </w:r>
          </w:p>
        </w:tc>
        <w:tc>
          <w:tcPr>
            <w:tcW w:w="1080" w:type="dxa"/>
            <w:vMerge w:val="continue"/>
            <w:noWrap w:val="0"/>
            <w:vAlign w:val="center"/>
          </w:tcPr>
          <w:p w14:paraId="22DB1D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82D1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8A7E7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合计</w:t>
            </w:r>
          </w:p>
        </w:tc>
        <w:tc>
          <w:tcPr>
            <w:tcW w:w="1080" w:type="dxa"/>
            <w:noWrap w:val="0"/>
            <w:vAlign w:val="center"/>
          </w:tcPr>
          <w:p w14:paraId="39A1AD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2304</w:t>
            </w:r>
          </w:p>
        </w:tc>
        <w:tc>
          <w:tcPr>
            <w:tcW w:w="1080" w:type="dxa"/>
            <w:noWrap w:val="0"/>
            <w:vAlign w:val="center"/>
          </w:tcPr>
          <w:p w14:paraId="0ADA04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1992</w:t>
            </w:r>
          </w:p>
        </w:tc>
        <w:tc>
          <w:tcPr>
            <w:tcW w:w="1080" w:type="dxa"/>
            <w:noWrap w:val="0"/>
            <w:vAlign w:val="center"/>
          </w:tcPr>
          <w:p w14:paraId="2E85F8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312</w:t>
            </w:r>
          </w:p>
        </w:tc>
        <w:tc>
          <w:tcPr>
            <w:tcW w:w="1080" w:type="dxa"/>
            <w:noWrap w:val="0"/>
            <w:vAlign w:val="center"/>
          </w:tcPr>
          <w:p w14:paraId="500AA6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80948</w:t>
            </w:r>
          </w:p>
        </w:tc>
        <w:tc>
          <w:tcPr>
            <w:tcW w:w="1080" w:type="dxa"/>
            <w:noWrap w:val="0"/>
            <w:vAlign w:val="center"/>
          </w:tcPr>
          <w:p w14:paraId="47024B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26238</w:t>
            </w:r>
          </w:p>
        </w:tc>
        <w:tc>
          <w:tcPr>
            <w:tcW w:w="1080" w:type="dxa"/>
            <w:noWrap w:val="0"/>
            <w:vAlign w:val="center"/>
          </w:tcPr>
          <w:p w14:paraId="63B561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3501</w:t>
            </w:r>
          </w:p>
        </w:tc>
      </w:tr>
      <w:tr w14:paraId="0F9B0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10940" w:type="dxa"/>
            <w:gridSpan w:val="7"/>
            <w:noWrap w:val="0"/>
            <w:vAlign w:val="center"/>
          </w:tcPr>
          <w:p w14:paraId="7411FF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一、按国民经济行业分组</w:t>
            </w:r>
          </w:p>
        </w:tc>
      </w:tr>
      <w:tr w14:paraId="03DF8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5F2B9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农、林、牧、渔业</w:t>
            </w:r>
          </w:p>
        </w:tc>
        <w:tc>
          <w:tcPr>
            <w:tcW w:w="1080" w:type="dxa"/>
            <w:noWrap w:val="0"/>
            <w:vAlign w:val="center"/>
          </w:tcPr>
          <w:p w14:paraId="54FECC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143</w:t>
            </w:r>
          </w:p>
        </w:tc>
        <w:tc>
          <w:tcPr>
            <w:tcW w:w="1080" w:type="dxa"/>
            <w:noWrap w:val="0"/>
            <w:vAlign w:val="center"/>
          </w:tcPr>
          <w:p w14:paraId="3B3463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141</w:t>
            </w:r>
          </w:p>
        </w:tc>
        <w:tc>
          <w:tcPr>
            <w:tcW w:w="1080" w:type="dxa"/>
            <w:noWrap w:val="0"/>
            <w:vAlign w:val="center"/>
          </w:tcPr>
          <w:p w14:paraId="29C7DD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382320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1524</w:t>
            </w:r>
          </w:p>
        </w:tc>
        <w:tc>
          <w:tcPr>
            <w:tcW w:w="1080" w:type="dxa"/>
            <w:noWrap w:val="0"/>
            <w:vAlign w:val="center"/>
          </w:tcPr>
          <w:p w14:paraId="6BE237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458</w:t>
            </w:r>
          </w:p>
        </w:tc>
        <w:tc>
          <w:tcPr>
            <w:tcW w:w="1080" w:type="dxa"/>
            <w:noWrap w:val="0"/>
            <w:vAlign w:val="center"/>
          </w:tcPr>
          <w:p w14:paraId="0CEDEA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178</w:t>
            </w:r>
          </w:p>
        </w:tc>
      </w:tr>
      <w:tr w14:paraId="78A9B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DD9C9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农业</w:t>
            </w:r>
          </w:p>
        </w:tc>
        <w:tc>
          <w:tcPr>
            <w:tcW w:w="1080" w:type="dxa"/>
            <w:noWrap w:val="0"/>
            <w:vAlign w:val="center"/>
          </w:tcPr>
          <w:p w14:paraId="4B9A61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w:t>
            </w:r>
          </w:p>
        </w:tc>
        <w:tc>
          <w:tcPr>
            <w:tcW w:w="1080" w:type="dxa"/>
            <w:noWrap w:val="0"/>
            <w:vAlign w:val="center"/>
          </w:tcPr>
          <w:p w14:paraId="504DD1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w:t>
            </w:r>
          </w:p>
        </w:tc>
        <w:tc>
          <w:tcPr>
            <w:tcW w:w="1080" w:type="dxa"/>
            <w:noWrap w:val="0"/>
            <w:vAlign w:val="center"/>
          </w:tcPr>
          <w:p w14:paraId="0A815C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381D34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580</w:t>
            </w:r>
          </w:p>
        </w:tc>
        <w:tc>
          <w:tcPr>
            <w:tcW w:w="1080" w:type="dxa"/>
            <w:noWrap w:val="0"/>
            <w:vAlign w:val="center"/>
          </w:tcPr>
          <w:p w14:paraId="0F73AA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155</w:t>
            </w:r>
          </w:p>
        </w:tc>
        <w:tc>
          <w:tcPr>
            <w:tcW w:w="1080" w:type="dxa"/>
            <w:noWrap w:val="0"/>
            <w:vAlign w:val="center"/>
          </w:tcPr>
          <w:p w14:paraId="254CA7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w:t>
            </w:r>
          </w:p>
        </w:tc>
      </w:tr>
      <w:tr w14:paraId="0FC74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FD269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林业</w:t>
            </w:r>
          </w:p>
        </w:tc>
        <w:tc>
          <w:tcPr>
            <w:tcW w:w="1080" w:type="dxa"/>
            <w:noWrap w:val="0"/>
            <w:vAlign w:val="center"/>
          </w:tcPr>
          <w:p w14:paraId="3B05BD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40</w:t>
            </w:r>
          </w:p>
        </w:tc>
        <w:tc>
          <w:tcPr>
            <w:tcW w:w="1080" w:type="dxa"/>
            <w:noWrap w:val="0"/>
            <w:vAlign w:val="center"/>
          </w:tcPr>
          <w:p w14:paraId="4D9DF4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w:t>
            </w:r>
          </w:p>
        </w:tc>
        <w:tc>
          <w:tcPr>
            <w:tcW w:w="1080" w:type="dxa"/>
            <w:noWrap w:val="0"/>
            <w:vAlign w:val="center"/>
          </w:tcPr>
          <w:p w14:paraId="4846B9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69D002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575</w:t>
            </w:r>
          </w:p>
        </w:tc>
        <w:tc>
          <w:tcPr>
            <w:tcW w:w="1080" w:type="dxa"/>
            <w:noWrap w:val="0"/>
            <w:vAlign w:val="center"/>
          </w:tcPr>
          <w:p w14:paraId="39F46C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196</w:t>
            </w:r>
          </w:p>
        </w:tc>
        <w:tc>
          <w:tcPr>
            <w:tcW w:w="1080" w:type="dxa"/>
            <w:noWrap w:val="0"/>
            <w:vAlign w:val="center"/>
          </w:tcPr>
          <w:p w14:paraId="151849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w:t>
            </w:r>
          </w:p>
        </w:tc>
      </w:tr>
      <w:tr w14:paraId="0D23A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56385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畜牧业</w:t>
            </w:r>
          </w:p>
        </w:tc>
        <w:tc>
          <w:tcPr>
            <w:tcW w:w="1080" w:type="dxa"/>
            <w:noWrap w:val="0"/>
            <w:vAlign w:val="center"/>
          </w:tcPr>
          <w:p w14:paraId="6326D2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w:t>
            </w:r>
          </w:p>
        </w:tc>
        <w:tc>
          <w:tcPr>
            <w:tcW w:w="1080" w:type="dxa"/>
            <w:noWrap w:val="0"/>
            <w:vAlign w:val="center"/>
          </w:tcPr>
          <w:p w14:paraId="5F7330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0D4229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321EB2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119</w:t>
            </w:r>
          </w:p>
        </w:tc>
        <w:tc>
          <w:tcPr>
            <w:tcW w:w="1080" w:type="dxa"/>
            <w:noWrap w:val="0"/>
            <w:vAlign w:val="center"/>
          </w:tcPr>
          <w:p w14:paraId="587CA9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w:t>
            </w:r>
          </w:p>
        </w:tc>
        <w:tc>
          <w:tcPr>
            <w:tcW w:w="1080" w:type="dxa"/>
            <w:noWrap w:val="0"/>
            <w:vAlign w:val="center"/>
          </w:tcPr>
          <w:p w14:paraId="291139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w:t>
            </w:r>
          </w:p>
        </w:tc>
      </w:tr>
      <w:tr w14:paraId="2E97F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EFC81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渔业</w:t>
            </w:r>
          </w:p>
        </w:tc>
        <w:tc>
          <w:tcPr>
            <w:tcW w:w="1080" w:type="dxa"/>
            <w:noWrap w:val="0"/>
            <w:vAlign w:val="center"/>
          </w:tcPr>
          <w:p w14:paraId="29BB29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4189D0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283C84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33BE7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100</w:t>
            </w:r>
          </w:p>
        </w:tc>
        <w:tc>
          <w:tcPr>
            <w:tcW w:w="1080" w:type="dxa"/>
            <w:noWrap w:val="0"/>
            <w:vAlign w:val="center"/>
          </w:tcPr>
          <w:p w14:paraId="6B1397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35</w:t>
            </w:r>
          </w:p>
        </w:tc>
        <w:tc>
          <w:tcPr>
            <w:tcW w:w="1080" w:type="dxa"/>
            <w:noWrap w:val="0"/>
            <w:vAlign w:val="center"/>
          </w:tcPr>
          <w:p w14:paraId="4693A1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r>
      <w:tr w14:paraId="49C11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D1B3B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农、林、牧、渔服务业</w:t>
            </w:r>
          </w:p>
        </w:tc>
        <w:tc>
          <w:tcPr>
            <w:tcW w:w="1080" w:type="dxa"/>
            <w:noWrap w:val="0"/>
            <w:vAlign w:val="center"/>
          </w:tcPr>
          <w:p w14:paraId="16019A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4A9267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66FE15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2C365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150</w:t>
            </w:r>
          </w:p>
        </w:tc>
        <w:tc>
          <w:tcPr>
            <w:tcW w:w="1080" w:type="dxa"/>
            <w:noWrap w:val="0"/>
            <w:vAlign w:val="center"/>
          </w:tcPr>
          <w:p w14:paraId="5A1A5A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46</w:t>
            </w:r>
          </w:p>
        </w:tc>
        <w:tc>
          <w:tcPr>
            <w:tcW w:w="1080" w:type="dxa"/>
            <w:noWrap w:val="0"/>
            <w:vAlign w:val="center"/>
          </w:tcPr>
          <w:p w14:paraId="7DDF81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w:t>
            </w:r>
          </w:p>
        </w:tc>
      </w:tr>
      <w:tr w14:paraId="2B385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305DF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采矿业</w:t>
            </w:r>
          </w:p>
        </w:tc>
        <w:tc>
          <w:tcPr>
            <w:tcW w:w="1080" w:type="dxa"/>
            <w:noWrap w:val="0"/>
            <w:vAlign w:val="center"/>
          </w:tcPr>
          <w:p w14:paraId="1F19B2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49976D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w:t>
            </w:r>
          </w:p>
        </w:tc>
        <w:tc>
          <w:tcPr>
            <w:tcW w:w="1080" w:type="dxa"/>
            <w:noWrap w:val="0"/>
            <w:vAlign w:val="center"/>
          </w:tcPr>
          <w:p w14:paraId="136866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1BAD92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924</w:t>
            </w:r>
          </w:p>
        </w:tc>
        <w:tc>
          <w:tcPr>
            <w:tcW w:w="1080" w:type="dxa"/>
            <w:noWrap w:val="0"/>
            <w:vAlign w:val="center"/>
          </w:tcPr>
          <w:p w14:paraId="5EF4B3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157</w:t>
            </w:r>
          </w:p>
        </w:tc>
        <w:tc>
          <w:tcPr>
            <w:tcW w:w="1080" w:type="dxa"/>
            <w:noWrap w:val="0"/>
            <w:vAlign w:val="center"/>
          </w:tcPr>
          <w:p w14:paraId="0F004E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w:t>
            </w:r>
          </w:p>
        </w:tc>
      </w:tr>
      <w:tr w14:paraId="740B9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DB456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有色金属矿采选业</w:t>
            </w:r>
          </w:p>
        </w:tc>
        <w:tc>
          <w:tcPr>
            <w:tcW w:w="1080" w:type="dxa"/>
            <w:noWrap w:val="0"/>
            <w:vAlign w:val="center"/>
          </w:tcPr>
          <w:p w14:paraId="4FE80F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12BC3D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6C532A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42EB67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509</w:t>
            </w:r>
          </w:p>
        </w:tc>
        <w:tc>
          <w:tcPr>
            <w:tcW w:w="1080" w:type="dxa"/>
            <w:noWrap w:val="0"/>
            <w:vAlign w:val="center"/>
          </w:tcPr>
          <w:p w14:paraId="46B666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70</w:t>
            </w:r>
          </w:p>
        </w:tc>
        <w:tc>
          <w:tcPr>
            <w:tcW w:w="1080" w:type="dxa"/>
            <w:noWrap w:val="0"/>
            <w:vAlign w:val="center"/>
          </w:tcPr>
          <w:p w14:paraId="0F92C8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r>
      <w:tr w14:paraId="1F8E1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8A8B2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非金属矿采选业</w:t>
            </w:r>
          </w:p>
        </w:tc>
        <w:tc>
          <w:tcPr>
            <w:tcW w:w="1080" w:type="dxa"/>
            <w:noWrap w:val="0"/>
            <w:vAlign w:val="center"/>
          </w:tcPr>
          <w:p w14:paraId="172629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46386F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104BB7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748EB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402</w:t>
            </w:r>
          </w:p>
        </w:tc>
        <w:tc>
          <w:tcPr>
            <w:tcW w:w="1080" w:type="dxa"/>
            <w:noWrap w:val="0"/>
            <w:vAlign w:val="center"/>
          </w:tcPr>
          <w:p w14:paraId="323274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86</w:t>
            </w:r>
          </w:p>
        </w:tc>
        <w:tc>
          <w:tcPr>
            <w:tcW w:w="1080" w:type="dxa"/>
            <w:noWrap w:val="0"/>
            <w:vAlign w:val="center"/>
          </w:tcPr>
          <w:p w14:paraId="6F4F64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w:t>
            </w:r>
          </w:p>
        </w:tc>
      </w:tr>
      <w:tr w14:paraId="73797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CFD45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其他采矿业</w:t>
            </w:r>
          </w:p>
        </w:tc>
        <w:tc>
          <w:tcPr>
            <w:tcW w:w="1080" w:type="dxa"/>
            <w:noWrap w:val="0"/>
            <w:vAlign w:val="center"/>
          </w:tcPr>
          <w:p w14:paraId="52C91D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7F73AA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3A097B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F428C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1080" w:type="dxa"/>
            <w:noWrap w:val="0"/>
            <w:vAlign w:val="center"/>
          </w:tcPr>
          <w:p w14:paraId="3FCA0A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842FD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r>
      <w:tr w14:paraId="31C96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19A17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制造业</w:t>
            </w:r>
          </w:p>
        </w:tc>
        <w:tc>
          <w:tcPr>
            <w:tcW w:w="1080" w:type="dxa"/>
            <w:noWrap w:val="0"/>
            <w:vAlign w:val="center"/>
          </w:tcPr>
          <w:p w14:paraId="680755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294</w:t>
            </w:r>
          </w:p>
        </w:tc>
        <w:tc>
          <w:tcPr>
            <w:tcW w:w="1080" w:type="dxa"/>
            <w:noWrap w:val="0"/>
            <w:vAlign w:val="center"/>
          </w:tcPr>
          <w:p w14:paraId="14ECF4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293</w:t>
            </w:r>
          </w:p>
        </w:tc>
        <w:tc>
          <w:tcPr>
            <w:tcW w:w="1080" w:type="dxa"/>
            <w:noWrap w:val="0"/>
            <w:vAlign w:val="center"/>
          </w:tcPr>
          <w:p w14:paraId="4D1734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44B2A5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24037</w:t>
            </w:r>
          </w:p>
        </w:tc>
        <w:tc>
          <w:tcPr>
            <w:tcW w:w="1080" w:type="dxa"/>
            <w:noWrap w:val="0"/>
            <w:vAlign w:val="center"/>
          </w:tcPr>
          <w:p w14:paraId="01CD0C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8786</w:t>
            </w:r>
          </w:p>
        </w:tc>
        <w:tc>
          <w:tcPr>
            <w:tcW w:w="1080" w:type="dxa"/>
            <w:noWrap w:val="0"/>
            <w:vAlign w:val="center"/>
          </w:tcPr>
          <w:p w14:paraId="4C7327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303</w:t>
            </w:r>
          </w:p>
        </w:tc>
      </w:tr>
      <w:tr w14:paraId="70369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E6D70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农副食品加工业</w:t>
            </w:r>
          </w:p>
        </w:tc>
        <w:tc>
          <w:tcPr>
            <w:tcW w:w="1080" w:type="dxa"/>
            <w:noWrap w:val="0"/>
            <w:vAlign w:val="center"/>
          </w:tcPr>
          <w:p w14:paraId="31FE3E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w:t>
            </w:r>
          </w:p>
        </w:tc>
        <w:tc>
          <w:tcPr>
            <w:tcW w:w="1080" w:type="dxa"/>
            <w:noWrap w:val="0"/>
            <w:vAlign w:val="center"/>
          </w:tcPr>
          <w:p w14:paraId="2B3696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w:t>
            </w:r>
          </w:p>
        </w:tc>
        <w:tc>
          <w:tcPr>
            <w:tcW w:w="1080" w:type="dxa"/>
            <w:noWrap w:val="0"/>
            <w:vAlign w:val="center"/>
          </w:tcPr>
          <w:p w14:paraId="30A65A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65C9D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594</w:t>
            </w:r>
          </w:p>
        </w:tc>
        <w:tc>
          <w:tcPr>
            <w:tcW w:w="1080" w:type="dxa"/>
            <w:noWrap w:val="0"/>
            <w:vAlign w:val="center"/>
          </w:tcPr>
          <w:p w14:paraId="17B793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191</w:t>
            </w:r>
          </w:p>
        </w:tc>
        <w:tc>
          <w:tcPr>
            <w:tcW w:w="1080" w:type="dxa"/>
            <w:noWrap w:val="0"/>
            <w:vAlign w:val="center"/>
          </w:tcPr>
          <w:p w14:paraId="422CBD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w:t>
            </w:r>
          </w:p>
        </w:tc>
      </w:tr>
      <w:tr w14:paraId="5EDFE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64254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食品制造业</w:t>
            </w:r>
          </w:p>
        </w:tc>
        <w:tc>
          <w:tcPr>
            <w:tcW w:w="1080" w:type="dxa"/>
            <w:noWrap w:val="0"/>
            <w:vAlign w:val="center"/>
          </w:tcPr>
          <w:p w14:paraId="645889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1080" w:type="dxa"/>
            <w:noWrap w:val="0"/>
            <w:vAlign w:val="center"/>
          </w:tcPr>
          <w:p w14:paraId="411DF2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1080" w:type="dxa"/>
            <w:noWrap w:val="0"/>
            <w:vAlign w:val="center"/>
          </w:tcPr>
          <w:p w14:paraId="0CFDC9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3AFE06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290</w:t>
            </w:r>
          </w:p>
        </w:tc>
        <w:tc>
          <w:tcPr>
            <w:tcW w:w="1080" w:type="dxa"/>
            <w:noWrap w:val="0"/>
            <w:vAlign w:val="center"/>
          </w:tcPr>
          <w:p w14:paraId="51389F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112</w:t>
            </w:r>
          </w:p>
        </w:tc>
        <w:tc>
          <w:tcPr>
            <w:tcW w:w="1080" w:type="dxa"/>
            <w:noWrap w:val="0"/>
            <w:vAlign w:val="center"/>
          </w:tcPr>
          <w:p w14:paraId="210D0D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r>
      <w:tr w14:paraId="44A45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488975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酒、饮料和精制茶制造业</w:t>
            </w:r>
          </w:p>
        </w:tc>
        <w:tc>
          <w:tcPr>
            <w:tcW w:w="1080" w:type="dxa"/>
            <w:noWrap w:val="0"/>
            <w:vAlign w:val="center"/>
          </w:tcPr>
          <w:p w14:paraId="428EC1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6E8BD9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78D951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46DB1B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299</w:t>
            </w:r>
          </w:p>
        </w:tc>
        <w:tc>
          <w:tcPr>
            <w:tcW w:w="1080" w:type="dxa"/>
            <w:noWrap w:val="0"/>
            <w:vAlign w:val="center"/>
          </w:tcPr>
          <w:p w14:paraId="0350E9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154</w:t>
            </w:r>
          </w:p>
        </w:tc>
        <w:tc>
          <w:tcPr>
            <w:tcW w:w="1080" w:type="dxa"/>
            <w:noWrap w:val="0"/>
            <w:vAlign w:val="center"/>
          </w:tcPr>
          <w:p w14:paraId="236EC5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r>
      <w:tr w14:paraId="43C14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5BF4D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烟草制品业</w:t>
            </w:r>
          </w:p>
        </w:tc>
        <w:tc>
          <w:tcPr>
            <w:tcW w:w="1080" w:type="dxa"/>
            <w:noWrap w:val="0"/>
            <w:vAlign w:val="center"/>
          </w:tcPr>
          <w:p w14:paraId="3B8CA0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22D8F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9A7A7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FB1FF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425521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A5E3B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7A33D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9A238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纺织业</w:t>
            </w:r>
          </w:p>
        </w:tc>
        <w:tc>
          <w:tcPr>
            <w:tcW w:w="1080" w:type="dxa"/>
            <w:noWrap w:val="0"/>
            <w:vAlign w:val="center"/>
          </w:tcPr>
          <w:p w14:paraId="36CAD7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225CA2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16EF2B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F688E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68</w:t>
            </w:r>
          </w:p>
        </w:tc>
        <w:tc>
          <w:tcPr>
            <w:tcW w:w="1080" w:type="dxa"/>
            <w:noWrap w:val="0"/>
            <w:vAlign w:val="center"/>
          </w:tcPr>
          <w:p w14:paraId="7BA1BE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w:t>
            </w:r>
          </w:p>
        </w:tc>
        <w:tc>
          <w:tcPr>
            <w:tcW w:w="1080" w:type="dxa"/>
            <w:noWrap w:val="0"/>
            <w:vAlign w:val="center"/>
          </w:tcPr>
          <w:p w14:paraId="40FFED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r>
      <w:tr w14:paraId="79A7E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8C7F6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纺织服装、服饰业</w:t>
            </w:r>
          </w:p>
        </w:tc>
        <w:tc>
          <w:tcPr>
            <w:tcW w:w="1080" w:type="dxa"/>
            <w:noWrap w:val="0"/>
            <w:vAlign w:val="center"/>
          </w:tcPr>
          <w:p w14:paraId="0BE3D0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134E6F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1ECD9E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92DAB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505</w:t>
            </w:r>
          </w:p>
        </w:tc>
        <w:tc>
          <w:tcPr>
            <w:tcW w:w="1080" w:type="dxa"/>
            <w:noWrap w:val="0"/>
            <w:vAlign w:val="center"/>
          </w:tcPr>
          <w:p w14:paraId="561476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359</w:t>
            </w:r>
          </w:p>
        </w:tc>
        <w:tc>
          <w:tcPr>
            <w:tcW w:w="1080" w:type="dxa"/>
            <w:noWrap w:val="0"/>
            <w:vAlign w:val="center"/>
          </w:tcPr>
          <w:p w14:paraId="5BB27A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r>
      <w:tr w14:paraId="6CB43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71E9D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皮革、毛皮、羽毛及其制品和制鞋业</w:t>
            </w:r>
          </w:p>
        </w:tc>
        <w:tc>
          <w:tcPr>
            <w:tcW w:w="1080" w:type="dxa"/>
            <w:noWrap w:val="0"/>
            <w:vAlign w:val="center"/>
          </w:tcPr>
          <w:p w14:paraId="5B7E9F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69F0E3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4327B3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91481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334</w:t>
            </w:r>
          </w:p>
        </w:tc>
        <w:tc>
          <w:tcPr>
            <w:tcW w:w="1080" w:type="dxa"/>
            <w:noWrap w:val="0"/>
            <w:vAlign w:val="center"/>
          </w:tcPr>
          <w:p w14:paraId="6D1686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261</w:t>
            </w:r>
          </w:p>
        </w:tc>
        <w:tc>
          <w:tcPr>
            <w:tcW w:w="1080" w:type="dxa"/>
            <w:noWrap w:val="0"/>
            <w:vAlign w:val="center"/>
          </w:tcPr>
          <w:p w14:paraId="21B320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44D9E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2EF0B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木材加工和木、竹、藤、棕、草制品业</w:t>
            </w:r>
          </w:p>
        </w:tc>
        <w:tc>
          <w:tcPr>
            <w:tcW w:w="1080" w:type="dxa"/>
            <w:noWrap w:val="0"/>
            <w:vAlign w:val="center"/>
          </w:tcPr>
          <w:p w14:paraId="1CCAAD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w:t>
            </w:r>
          </w:p>
        </w:tc>
        <w:tc>
          <w:tcPr>
            <w:tcW w:w="1080" w:type="dxa"/>
            <w:noWrap w:val="0"/>
            <w:vAlign w:val="center"/>
          </w:tcPr>
          <w:p w14:paraId="6648DE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w:t>
            </w:r>
          </w:p>
        </w:tc>
        <w:tc>
          <w:tcPr>
            <w:tcW w:w="1080" w:type="dxa"/>
            <w:noWrap w:val="0"/>
            <w:vAlign w:val="center"/>
          </w:tcPr>
          <w:p w14:paraId="434A37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C7F8C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799</w:t>
            </w:r>
          </w:p>
        </w:tc>
        <w:tc>
          <w:tcPr>
            <w:tcW w:w="1080" w:type="dxa"/>
            <w:noWrap w:val="0"/>
            <w:vAlign w:val="center"/>
          </w:tcPr>
          <w:p w14:paraId="0A5239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314</w:t>
            </w:r>
          </w:p>
        </w:tc>
        <w:tc>
          <w:tcPr>
            <w:tcW w:w="1080" w:type="dxa"/>
            <w:noWrap w:val="0"/>
            <w:vAlign w:val="center"/>
          </w:tcPr>
          <w:p w14:paraId="37F144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w:t>
            </w:r>
          </w:p>
        </w:tc>
      </w:tr>
      <w:tr w14:paraId="3117F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26275E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家具制造业</w:t>
            </w:r>
          </w:p>
        </w:tc>
        <w:tc>
          <w:tcPr>
            <w:tcW w:w="1080" w:type="dxa"/>
            <w:noWrap w:val="0"/>
            <w:vAlign w:val="center"/>
          </w:tcPr>
          <w:p w14:paraId="0BA0A6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1080" w:type="dxa"/>
            <w:noWrap w:val="0"/>
            <w:vAlign w:val="center"/>
          </w:tcPr>
          <w:p w14:paraId="265795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1080" w:type="dxa"/>
            <w:noWrap w:val="0"/>
            <w:vAlign w:val="center"/>
          </w:tcPr>
          <w:p w14:paraId="60D735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48BD27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398</w:t>
            </w:r>
          </w:p>
        </w:tc>
        <w:tc>
          <w:tcPr>
            <w:tcW w:w="1080" w:type="dxa"/>
            <w:noWrap w:val="0"/>
            <w:vAlign w:val="center"/>
          </w:tcPr>
          <w:p w14:paraId="763CDF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181</w:t>
            </w:r>
          </w:p>
        </w:tc>
        <w:tc>
          <w:tcPr>
            <w:tcW w:w="1080" w:type="dxa"/>
            <w:noWrap w:val="0"/>
            <w:vAlign w:val="center"/>
          </w:tcPr>
          <w:p w14:paraId="243D88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r>
      <w:tr w14:paraId="663FC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86763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造纸和纸制品业</w:t>
            </w:r>
          </w:p>
        </w:tc>
        <w:tc>
          <w:tcPr>
            <w:tcW w:w="1080" w:type="dxa"/>
            <w:noWrap w:val="0"/>
            <w:vAlign w:val="center"/>
          </w:tcPr>
          <w:p w14:paraId="799FE6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572452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45E191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FFE40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1386</w:t>
            </w:r>
          </w:p>
        </w:tc>
        <w:tc>
          <w:tcPr>
            <w:tcW w:w="1080" w:type="dxa"/>
            <w:noWrap w:val="0"/>
            <w:vAlign w:val="center"/>
          </w:tcPr>
          <w:p w14:paraId="701307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764</w:t>
            </w:r>
          </w:p>
        </w:tc>
        <w:tc>
          <w:tcPr>
            <w:tcW w:w="1080" w:type="dxa"/>
            <w:noWrap w:val="0"/>
            <w:vAlign w:val="center"/>
          </w:tcPr>
          <w:p w14:paraId="5B1215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41373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A2473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印刷和记录媒介复制业</w:t>
            </w:r>
          </w:p>
        </w:tc>
        <w:tc>
          <w:tcPr>
            <w:tcW w:w="1080" w:type="dxa"/>
            <w:noWrap w:val="0"/>
            <w:vAlign w:val="center"/>
          </w:tcPr>
          <w:p w14:paraId="3F84F8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5401D9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3FB80A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6008C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48</w:t>
            </w:r>
          </w:p>
        </w:tc>
        <w:tc>
          <w:tcPr>
            <w:tcW w:w="1080" w:type="dxa"/>
            <w:noWrap w:val="0"/>
            <w:vAlign w:val="center"/>
          </w:tcPr>
          <w:p w14:paraId="377F78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c>
          <w:tcPr>
            <w:tcW w:w="1080" w:type="dxa"/>
            <w:noWrap w:val="0"/>
            <w:vAlign w:val="center"/>
          </w:tcPr>
          <w:p w14:paraId="247196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0F8E5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2FB9EE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文教、工美、体育和娱乐用品制造业</w:t>
            </w:r>
          </w:p>
        </w:tc>
        <w:tc>
          <w:tcPr>
            <w:tcW w:w="1080" w:type="dxa"/>
            <w:noWrap w:val="0"/>
            <w:vAlign w:val="center"/>
          </w:tcPr>
          <w:p w14:paraId="031ADA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440A9C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02032D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EF44A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723</w:t>
            </w:r>
          </w:p>
        </w:tc>
        <w:tc>
          <w:tcPr>
            <w:tcW w:w="1080" w:type="dxa"/>
            <w:noWrap w:val="0"/>
            <w:vAlign w:val="center"/>
          </w:tcPr>
          <w:p w14:paraId="18C687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491</w:t>
            </w:r>
          </w:p>
        </w:tc>
        <w:tc>
          <w:tcPr>
            <w:tcW w:w="1080" w:type="dxa"/>
            <w:noWrap w:val="0"/>
            <w:vAlign w:val="center"/>
          </w:tcPr>
          <w:p w14:paraId="5CB607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69094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0D51C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石油加工、炼焦和核燃料加工业</w:t>
            </w:r>
          </w:p>
        </w:tc>
        <w:tc>
          <w:tcPr>
            <w:tcW w:w="1080" w:type="dxa"/>
            <w:noWrap w:val="0"/>
            <w:vAlign w:val="center"/>
          </w:tcPr>
          <w:p w14:paraId="71BA98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0B98A0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003C5D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627E6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w:t>
            </w:r>
          </w:p>
        </w:tc>
        <w:tc>
          <w:tcPr>
            <w:tcW w:w="1080" w:type="dxa"/>
            <w:noWrap w:val="0"/>
            <w:vAlign w:val="center"/>
          </w:tcPr>
          <w:p w14:paraId="29122F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482437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6AF1B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32F22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化学原料和化学制品制造业</w:t>
            </w:r>
          </w:p>
        </w:tc>
        <w:tc>
          <w:tcPr>
            <w:tcW w:w="1080" w:type="dxa"/>
            <w:noWrap w:val="0"/>
            <w:vAlign w:val="center"/>
          </w:tcPr>
          <w:p w14:paraId="35CF0E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96</w:t>
            </w:r>
          </w:p>
        </w:tc>
        <w:tc>
          <w:tcPr>
            <w:tcW w:w="1080" w:type="dxa"/>
            <w:noWrap w:val="0"/>
            <w:vAlign w:val="center"/>
          </w:tcPr>
          <w:p w14:paraId="7AE48E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96</w:t>
            </w:r>
          </w:p>
        </w:tc>
        <w:tc>
          <w:tcPr>
            <w:tcW w:w="1080" w:type="dxa"/>
            <w:noWrap w:val="0"/>
            <w:vAlign w:val="center"/>
          </w:tcPr>
          <w:p w14:paraId="495301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3E0EE1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12361</w:t>
            </w:r>
          </w:p>
        </w:tc>
        <w:tc>
          <w:tcPr>
            <w:tcW w:w="1080" w:type="dxa"/>
            <w:noWrap w:val="0"/>
            <w:vAlign w:val="center"/>
          </w:tcPr>
          <w:p w14:paraId="72FDAC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3416</w:t>
            </w:r>
          </w:p>
        </w:tc>
        <w:tc>
          <w:tcPr>
            <w:tcW w:w="1080" w:type="dxa"/>
            <w:noWrap w:val="0"/>
            <w:vAlign w:val="center"/>
          </w:tcPr>
          <w:p w14:paraId="68D46C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100</w:t>
            </w:r>
          </w:p>
        </w:tc>
      </w:tr>
      <w:tr w14:paraId="0B164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CC2BD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医药制造业</w:t>
            </w:r>
          </w:p>
        </w:tc>
        <w:tc>
          <w:tcPr>
            <w:tcW w:w="1080" w:type="dxa"/>
            <w:noWrap w:val="0"/>
            <w:vAlign w:val="center"/>
          </w:tcPr>
          <w:p w14:paraId="1EF838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6F8905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69F338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3DBCF9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186</w:t>
            </w:r>
          </w:p>
        </w:tc>
        <w:tc>
          <w:tcPr>
            <w:tcW w:w="1080" w:type="dxa"/>
            <w:noWrap w:val="0"/>
            <w:vAlign w:val="center"/>
          </w:tcPr>
          <w:p w14:paraId="2E69D8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68</w:t>
            </w:r>
          </w:p>
        </w:tc>
        <w:tc>
          <w:tcPr>
            <w:tcW w:w="1080" w:type="dxa"/>
            <w:noWrap w:val="0"/>
            <w:vAlign w:val="center"/>
          </w:tcPr>
          <w:p w14:paraId="20F8F7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5B826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145C3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橡胶和塑料制品业</w:t>
            </w:r>
          </w:p>
        </w:tc>
        <w:tc>
          <w:tcPr>
            <w:tcW w:w="1080" w:type="dxa"/>
            <w:noWrap w:val="0"/>
            <w:vAlign w:val="center"/>
          </w:tcPr>
          <w:p w14:paraId="15BA52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0B6584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0ED85D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8138F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1371</w:t>
            </w:r>
          </w:p>
        </w:tc>
        <w:tc>
          <w:tcPr>
            <w:tcW w:w="1080" w:type="dxa"/>
            <w:noWrap w:val="0"/>
            <w:vAlign w:val="center"/>
          </w:tcPr>
          <w:p w14:paraId="595BF0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447</w:t>
            </w:r>
          </w:p>
        </w:tc>
        <w:tc>
          <w:tcPr>
            <w:tcW w:w="1080" w:type="dxa"/>
            <w:noWrap w:val="0"/>
            <w:vAlign w:val="center"/>
          </w:tcPr>
          <w:p w14:paraId="3C5D49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r>
      <w:tr w14:paraId="23127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52970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非金属矿物制品业</w:t>
            </w:r>
          </w:p>
        </w:tc>
        <w:tc>
          <w:tcPr>
            <w:tcW w:w="1080" w:type="dxa"/>
            <w:noWrap w:val="0"/>
            <w:vAlign w:val="center"/>
          </w:tcPr>
          <w:p w14:paraId="0B3646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50</w:t>
            </w:r>
          </w:p>
        </w:tc>
        <w:tc>
          <w:tcPr>
            <w:tcW w:w="1080" w:type="dxa"/>
            <w:noWrap w:val="0"/>
            <w:vAlign w:val="center"/>
          </w:tcPr>
          <w:p w14:paraId="7F70F5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49</w:t>
            </w:r>
          </w:p>
        </w:tc>
        <w:tc>
          <w:tcPr>
            <w:tcW w:w="1080" w:type="dxa"/>
            <w:noWrap w:val="0"/>
            <w:vAlign w:val="center"/>
          </w:tcPr>
          <w:p w14:paraId="1A9B69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21F5E7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2670</w:t>
            </w:r>
          </w:p>
        </w:tc>
        <w:tc>
          <w:tcPr>
            <w:tcW w:w="1080" w:type="dxa"/>
            <w:noWrap w:val="0"/>
            <w:vAlign w:val="center"/>
          </w:tcPr>
          <w:p w14:paraId="1E2099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1064</w:t>
            </w:r>
          </w:p>
        </w:tc>
        <w:tc>
          <w:tcPr>
            <w:tcW w:w="1080" w:type="dxa"/>
            <w:noWrap w:val="0"/>
            <w:vAlign w:val="center"/>
          </w:tcPr>
          <w:p w14:paraId="5365B1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50</w:t>
            </w:r>
          </w:p>
        </w:tc>
      </w:tr>
      <w:tr w14:paraId="33433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3470CC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黑色金属冶炼和压延加工业</w:t>
            </w:r>
          </w:p>
        </w:tc>
        <w:tc>
          <w:tcPr>
            <w:tcW w:w="1080" w:type="dxa"/>
            <w:noWrap w:val="0"/>
            <w:vAlign w:val="center"/>
          </w:tcPr>
          <w:p w14:paraId="36C840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299A61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7115C2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0BF69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53</w:t>
            </w:r>
          </w:p>
        </w:tc>
        <w:tc>
          <w:tcPr>
            <w:tcW w:w="1080" w:type="dxa"/>
            <w:noWrap w:val="0"/>
            <w:vAlign w:val="center"/>
          </w:tcPr>
          <w:p w14:paraId="6123C0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1DA44F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27C44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D2D84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有色金属冶炼和压延加工业</w:t>
            </w:r>
          </w:p>
        </w:tc>
        <w:tc>
          <w:tcPr>
            <w:tcW w:w="1080" w:type="dxa"/>
            <w:noWrap w:val="0"/>
            <w:vAlign w:val="center"/>
          </w:tcPr>
          <w:p w14:paraId="1EF443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26CFDF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3C4CB6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465E6A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w:t>
            </w:r>
          </w:p>
        </w:tc>
        <w:tc>
          <w:tcPr>
            <w:tcW w:w="1080" w:type="dxa"/>
            <w:noWrap w:val="0"/>
            <w:vAlign w:val="center"/>
          </w:tcPr>
          <w:p w14:paraId="6A42FD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548B2F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r>
      <w:tr w14:paraId="2D9B3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58DE2F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金属制品业</w:t>
            </w:r>
          </w:p>
        </w:tc>
        <w:tc>
          <w:tcPr>
            <w:tcW w:w="1080" w:type="dxa"/>
            <w:noWrap w:val="0"/>
            <w:vAlign w:val="center"/>
          </w:tcPr>
          <w:p w14:paraId="7732D0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2F7673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2D1089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A11DB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594</w:t>
            </w:r>
          </w:p>
        </w:tc>
        <w:tc>
          <w:tcPr>
            <w:tcW w:w="1080" w:type="dxa"/>
            <w:noWrap w:val="0"/>
            <w:vAlign w:val="center"/>
          </w:tcPr>
          <w:p w14:paraId="516B26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225</w:t>
            </w:r>
          </w:p>
        </w:tc>
        <w:tc>
          <w:tcPr>
            <w:tcW w:w="1080" w:type="dxa"/>
            <w:noWrap w:val="0"/>
            <w:vAlign w:val="center"/>
          </w:tcPr>
          <w:p w14:paraId="37A114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r>
      <w:tr w14:paraId="1516C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97456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通用设备制造业</w:t>
            </w:r>
          </w:p>
        </w:tc>
        <w:tc>
          <w:tcPr>
            <w:tcW w:w="1080" w:type="dxa"/>
            <w:noWrap w:val="0"/>
            <w:vAlign w:val="center"/>
          </w:tcPr>
          <w:p w14:paraId="4F3C91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7CCC4D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7AEA46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E24EB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w:t>
            </w:r>
          </w:p>
        </w:tc>
        <w:tc>
          <w:tcPr>
            <w:tcW w:w="1080" w:type="dxa"/>
            <w:noWrap w:val="0"/>
            <w:vAlign w:val="center"/>
          </w:tcPr>
          <w:p w14:paraId="369B8D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5EDEBF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r>
      <w:tr w14:paraId="25DFC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5F5081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专用设备制造业</w:t>
            </w:r>
          </w:p>
        </w:tc>
        <w:tc>
          <w:tcPr>
            <w:tcW w:w="1080" w:type="dxa"/>
            <w:noWrap w:val="0"/>
            <w:vAlign w:val="center"/>
          </w:tcPr>
          <w:p w14:paraId="1B7076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2547E6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2EC02A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5E72C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56</w:t>
            </w:r>
          </w:p>
        </w:tc>
        <w:tc>
          <w:tcPr>
            <w:tcW w:w="1080" w:type="dxa"/>
            <w:noWrap w:val="0"/>
            <w:vAlign w:val="center"/>
          </w:tcPr>
          <w:p w14:paraId="60A562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66F606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256F5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B15F1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电气机械和器材制造业</w:t>
            </w:r>
          </w:p>
        </w:tc>
        <w:tc>
          <w:tcPr>
            <w:tcW w:w="1080" w:type="dxa"/>
            <w:noWrap w:val="0"/>
            <w:vAlign w:val="center"/>
          </w:tcPr>
          <w:p w14:paraId="2473E4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0B70DC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5D317D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8D1B4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310</w:t>
            </w:r>
          </w:p>
        </w:tc>
        <w:tc>
          <w:tcPr>
            <w:tcW w:w="1080" w:type="dxa"/>
            <w:noWrap w:val="0"/>
            <w:vAlign w:val="center"/>
          </w:tcPr>
          <w:p w14:paraId="767771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172</w:t>
            </w:r>
          </w:p>
        </w:tc>
        <w:tc>
          <w:tcPr>
            <w:tcW w:w="1080" w:type="dxa"/>
            <w:noWrap w:val="0"/>
            <w:vAlign w:val="center"/>
          </w:tcPr>
          <w:p w14:paraId="324F15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639A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B06C0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计算机、通信和其他电子设备制造业</w:t>
            </w:r>
          </w:p>
        </w:tc>
        <w:tc>
          <w:tcPr>
            <w:tcW w:w="1080" w:type="dxa"/>
            <w:noWrap w:val="0"/>
            <w:vAlign w:val="center"/>
          </w:tcPr>
          <w:p w14:paraId="3464A9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4EE79E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585A6E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A9F34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223</w:t>
            </w:r>
          </w:p>
        </w:tc>
        <w:tc>
          <w:tcPr>
            <w:tcW w:w="1080" w:type="dxa"/>
            <w:noWrap w:val="0"/>
            <w:vAlign w:val="center"/>
          </w:tcPr>
          <w:p w14:paraId="14AD69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171</w:t>
            </w:r>
          </w:p>
        </w:tc>
        <w:tc>
          <w:tcPr>
            <w:tcW w:w="1080" w:type="dxa"/>
            <w:noWrap w:val="0"/>
            <w:vAlign w:val="center"/>
          </w:tcPr>
          <w:p w14:paraId="00F169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r>
      <w:tr w14:paraId="563C2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A9101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仪器仪表制造业</w:t>
            </w:r>
          </w:p>
        </w:tc>
        <w:tc>
          <w:tcPr>
            <w:tcW w:w="1080" w:type="dxa"/>
            <w:noWrap w:val="0"/>
            <w:vAlign w:val="center"/>
          </w:tcPr>
          <w:p w14:paraId="50362C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11F1ED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2C5A0C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309997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313</w:t>
            </w:r>
          </w:p>
        </w:tc>
        <w:tc>
          <w:tcPr>
            <w:tcW w:w="1080" w:type="dxa"/>
            <w:noWrap w:val="0"/>
            <w:vAlign w:val="center"/>
          </w:tcPr>
          <w:p w14:paraId="4CD607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198</w:t>
            </w:r>
          </w:p>
        </w:tc>
        <w:tc>
          <w:tcPr>
            <w:tcW w:w="1080" w:type="dxa"/>
            <w:noWrap w:val="0"/>
            <w:vAlign w:val="center"/>
          </w:tcPr>
          <w:p w14:paraId="43C515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r>
      <w:tr w14:paraId="513AC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AF1C7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其他制造业</w:t>
            </w:r>
          </w:p>
        </w:tc>
        <w:tc>
          <w:tcPr>
            <w:tcW w:w="1080" w:type="dxa"/>
            <w:noWrap w:val="0"/>
            <w:vAlign w:val="center"/>
          </w:tcPr>
          <w:p w14:paraId="0C0B96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21D500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6500E2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EAAD3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53</w:t>
            </w:r>
          </w:p>
        </w:tc>
        <w:tc>
          <w:tcPr>
            <w:tcW w:w="1080" w:type="dxa"/>
            <w:noWrap w:val="0"/>
            <w:vAlign w:val="center"/>
          </w:tcPr>
          <w:p w14:paraId="19DE38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c>
          <w:tcPr>
            <w:tcW w:w="1080" w:type="dxa"/>
            <w:noWrap w:val="0"/>
            <w:vAlign w:val="center"/>
          </w:tcPr>
          <w:p w14:paraId="326341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4BD91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CDF0A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废弃资源综合利用业</w:t>
            </w:r>
          </w:p>
        </w:tc>
        <w:tc>
          <w:tcPr>
            <w:tcW w:w="1080" w:type="dxa"/>
            <w:noWrap w:val="0"/>
            <w:vAlign w:val="center"/>
          </w:tcPr>
          <w:p w14:paraId="250E18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7B08BD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628FC1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FD918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327</w:t>
            </w:r>
          </w:p>
        </w:tc>
        <w:tc>
          <w:tcPr>
            <w:tcW w:w="1080" w:type="dxa"/>
            <w:noWrap w:val="0"/>
            <w:vAlign w:val="center"/>
          </w:tcPr>
          <w:p w14:paraId="210C2F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73</w:t>
            </w:r>
          </w:p>
        </w:tc>
        <w:tc>
          <w:tcPr>
            <w:tcW w:w="1080" w:type="dxa"/>
            <w:noWrap w:val="0"/>
            <w:vAlign w:val="center"/>
          </w:tcPr>
          <w:p w14:paraId="094529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r>
      <w:tr w14:paraId="0C4ED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1C1CD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金属制品、机械和设备修理业</w:t>
            </w:r>
          </w:p>
        </w:tc>
        <w:tc>
          <w:tcPr>
            <w:tcW w:w="1080" w:type="dxa"/>
            <w:noWrap w:val="0"/>
            <w:vAlign w:val="center"/>
          </w:tcPr>
          <w:p w14:paraId="020E40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1301CC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38DCAB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AB035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w:t>
            </w:r>
          </w:p>
        </w:tc>
        <w:tc>
          <w:tcPr>
            <w:tcW w:w="1080" w:type="dxa"/>
            <w:noWrap w:val="0"/>
            <w:vAlign w:val="center"/>
          </w:tcPr>
          <w:p w14:paraId="59653A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5A862F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7358B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9C2D5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电力、热力、燃气及水生产和供应业</w:t>
            </w:r>
          </w:p>
        </w:tc>
        <w:tc>
          <w:tcPr>
            <w:tcW w:w="1080" w:type="dxa"/>
            <w:noWrap w:val="0"/>
            <w:vAlign w:val="center"/>
          </w:tcPr>
          <w:p w14:paraId="336A74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176</w:t>
            </w:r>
          </w:p>
        </w:tc>
        <w:tc>
          <w:tcPr>
            <w:tcW w:w="1080" w:type="dxa"/>
            <w:noWrap w:val="0"/>
            <w:vAlign w:val="center"/>
          </w:tcPr>
          <w:p w14:paraId="18A3EB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171</w:t>
            </w:r>
          </w:p>
        </w:tc>
        <w:tc>
          <w:tcPr>
            <w:tcW w:w="1080" w:type="dxa"/>
            <w:noWrap w:val="0"/>
            <w:vAlign w:val="center"/>
          </w:tcPr>
          <w:p w14:paraId="1FDC70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208861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2438</w:t>
            </w:r>
          </w:p>
        </w:tc>
        <w:tc>
          <w:tcPr>
            <w:tcW w:w="1080" w:type="dxa"/>
            <w:noWrap w:val="0"/>
            <w:vAlign w:val="center"/>
          </w:tcPr>
          <w:p w14:paraId="79EA36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457</w:t>
            </w:r>
          </w:p>
        </w:tc>
        <w:tc>
          <w:tcPr>
            <w:tcW w:w="1080" w:type="dxa"/>
            <w:noWrap w:val="0"/>
            <w:vAlign w:val="center"/>
          </w:tcPr>
          <w:p w14:paraId="790797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244</w:t>
            </w:r>
          </w:p>
        </w:tc>
      </w:tr>
      <w:tr w14:paraId="1CE13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7DAB1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电力、热力生产和供应业</w:t>
            </w:r>
          </w:p>
        </w:tc>
        <w:tc>
          <w:tcPr>
            <w:tcW w:w="1080" w:type="dxa"/>
            <w:noWrap w:val="0"/>
            <w:vAlign w:val="center"/>
          </w:tcPr>
          <w:p w14:paraId="47E05B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157</w:t>
            </w:r>
          </w:p>
        </w:tc>
        <w:tc>
          <w:tcPr>
            <w:tcW w:w="1080" w:type="dxa"/>
            <w:noWrap w:val="0"/>
            <w:vAlign w:val="center"/>
          </w:tcPr>
          <w:p w14:paraId="6B8421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153</w:t>
            </w:r>
          </w:p>
        </w:tc>
        <w:tc>
          <w:tcPr>
            <w:tcW w:w="1080" w:type="dxa"/>
            <w:noWrap w:val="0"/>
            <w:vAlign w:val="center"/>
          </w:tcPr>
          <w:p w14:paraId="30A7D0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6F741C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2077</w:t>
            </w:r>
          </w:p>
        </w:tc>
        <w:tc>
          <w:tcPr>
            <w:tcW w:w="1080" w:type="dxa"/>
            <w:noWrap w:val="0"/>
            <w:vAlign w:val="center"/>
          </w:tcPr>
          <w:p w14:paraId="6CFCA1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363</w:t>
            </w:r>
          </w:p>
        </w:tc>
        <w:tc>
          <w:tcPr>
            <w:tcW w:w="1080" w:type="dxa"/>
            <w:noWrap w:val="0"/>
            <w:vAlign w:val="center"/>
          </w:tcPr>
          <w:p w14:paraId="44C24E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223</w:t>
            </w:r>
          </w:p>
        </w:tc>
      </w:tr>
      <w:tr w14:paraId="4F6E6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6EBBB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燃气生产和供应业</w:t>
            </w:r>
          </w:p>
        </w:tc>
        <w:tc>
          <w:tcPr>
            <w:tcW w:w="1080" w:type="dxa"/>
            <w:noWrap w:val="0"/>
            <w:vAlign w:val="center"/>
          </w:tcPr>
          <w:p w14:paraId="28155C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6958DA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0BBB8C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EC1AB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67</w:t>
            </w:r>
          </w:p>
        </w:tc>
        <w:tc>
          <w:tcPr>
            <w:tcW w:w="1080" w:type="dxa"/>
            <w:noWrap w:val="0"/>
            <w:vAlign w:val="center"/>
          </w:tcPr>
          <w:p w14:paraId="46907E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151536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r>
      <w:tr w14:paraId="3574D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7E6E52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水的生产和供应业</w:t>
            </w:r>
          </w:p>
        </w:tc>
        <w:tc>
          <w:tcPr>
            <w:tcW w:w="1080" w:type="dxa"/>
            <w:noWrap w:val="0"/>
            <w:vAlign w:val="center"/>
          </w:tcPr>
          <w:p w14:paraId="1F6F0D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78A7C7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1080" w:type="dxa"/>
            <w:noWrap w:val="0"/>
            <w:vAlign w:val="center"/>
          </w:tcPr>
          <w:p w14:paraId="041FD9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793627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294</w:t>
            </w:r>
          </w:p>
        </w:tc>
        <w:tc>
          <w:tcPr>
            <w:tcW w:w="1080" w:type="dxa"/>
            <w:noWrap w:val="0"/>
            <w:vAlign w:val="center"/>
          </w:tcPr>
          <w:p w14:paraId="2CDF17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80</w:t>
            </w:r>
          </w:p>
        </w:tc>
        <w:tc>
          <w:tcPr>
            <w:tcW w:w="1080" w:type="dxa"/>
            <w:noWrap w:val="0"/>
            <w:vAlign w:val="center"/>
          </w:tcPr>
          <w:p w14:paraId="469E53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w:t>
            </w:r>
          </w:p>
        </w:tc>
      </w:tr>
      <w:tr w14:paraId="5B6DD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52C4A3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建筑业</w:t>
            </w:r>
          </w:p>
        </w:tc>
        <w:tc>
          <w:tcPr>
            <w:tcW w:w="1080" w:type="dxa"/>
            <w:noWrap w:val="0"/>
            <w:vAlign w:val="center"/>
          </w:tcPr>
          <w:p w14:paraId="315722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w:t>
            </w:r>
          </w:p>
        </w:tc>
        <w:tc>
          <w:tcPr>
            <w:tcW w:w="1080" w:type="dxa"/>
            <w:noWrap w:val="0"/>
            <w:vAlign w:val="center"/>
          </w:tcPr>
          <w:p w14:paraId="3088CD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38</w:t>
            </w:r>
          </w:p>
        </w:tc>
        <w:tc>
          <w:tcPr>
            <w:tcW w:w="1080" w:type="dxa"/>
            <w:noWrap w:val="0"/>
            <w:vAlign w:val="center"/>
          </w:tcPr>
          <w:p w14:paraId="1BCFB5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4D90C3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11407</w:t>
            </w:r>
          </w:p>
        </w:tc>
        <w:tc>
          <w:tcPr>
            <w:tcW w:w="1080" w:type="dxa"/>
            <w:noWrap w:val="0"/>
            <w:vAlign w:val="center"/>
          </w:tcPr>
          <w:p w14:paraId="3A48E0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1586</w:t>
            </w:r>
          </w:p>
        </w:tc>
        <w:tc>
          <w:tcPr>
            <w:tcW w:w="1080" w:type="dxa"/>
            <w:noWrap w:val="0"/>
            <w:vAlign w:val="center"/>
          </w:tcPr>
          <w:p w14:paraId="50D95E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55</w:t>
            </w:r>
          </w:p>
        </w:tc>
      </w:tr>
      <w:tr w14:paraId="79805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90F7F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房屋建筑业</w:t>
            </w:r>
          </w:p>
        </w:tc>
        <w:tc>
          <w:tcPr>
            <w:tcW w:w="1080" w:type="dxa"/>
            <w:noWrap w:val="0"/>
            <w:vAlign w:val="center"/>
          </w:tcPr>
          <w:p w14:paraId="58B0D4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w:t>
            </w:r>
          </w:p>
        </w:tc>
        <w:tc>
          <w:tcPr>
            <w:tcW w:w="1080" w:type="dxa"/>
            <w:noWrap w:val="0"/>
            <w:vAlign w:val="center"/>
          </w:tcPr>
          <w:p w14:paraId="3FBA0F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1080" w:type="dxa"/>
            <w:noWrap w:val="0"/>
            <w:vAlign w:val="center"/>
          </w:tcPr>
          <w:p w14:paraId="057A2E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2CECC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9878</w:t>
            </w:r>
          </w:p>
        </w:tc>
        <w:tc>
          <w:tcPr>
            <w:tcW w:w="1080" w:type="dxa"/>
            <w:noWrap w:val="0"/>
            <w:vAlign w:val="center"/>
          </w:tcPr>
          <w:p w14:paraId="43113E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1333</w:t>
            </w:r>
          </w:p>
        </w:tc>
        <w:tc>
          <w:tcPr>
            <w:tcW w:w="1080" w:type="dxa"/>
            <w:noWrap w:val="0"/>
            <w:vAlign w:val="center"/>
          </w:tcPr>
          <w:p w14:paraId="580E61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w:t>
            </w:r>
          </w:p>
        </w:tc>
      </w:tr>
      <w:tr w14:paraId="11456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71DCE9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土木工程建筑业</w:t>
            </w:r>
          </w:p>
        </w:tc>
        <w:tc>
          <w:tcPr>
            <w:tcW w:w="1080" w:type="dxa"/>
            <w:noWrap w:val="0"/>
            <w:vAlign w:val="center"/>
          </w:tcPr>
          <w:p w14:paraId="5EF06F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1B3BA1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102943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353F2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326</w:t>
            </w:r>
          </w:p>
        </w:tc>
        <w:tc>
          <w:tcPr>
            <w:tcW w:w="1080" w:type="dxa"/>
            <w:noWrap w:val="0"/>
            <w:vAlign w:val="center"/>
          </w:tcPr>
          <w:p w14:paraId="51E42E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71</w:t>
            </w:r>
          </w:p>
        </w:tc>
        <w:tc>
          <w:tcPr>
            <w:tcW w:w="1080" w:type="dxa"/>
            <w:noWrap w:val="0"/>
            <w:vAlign w:val="center"/>
          </w:tcPr>
          <w:p w14:paraId="55C793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r>
      <w:tr w14:paraId="7E568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204AB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建筑安装业</w:t>
            </w:r>
          </w:p>
        </w:tc>
        <w:tc>
          <w:tcPr>
            <w:tcW w:w="1080" w:type="dxa"/>
            <w:noWrap w:val="0"/>
            <w:vAlign w:val="center"/>
          </w:tcPr>
          <w:p w14:paraId="598658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w:t>
            </w:r>
          </w:p>
        </w:tc>
        <w:tc>
          <w:tcPr>
            <w:tcW w:w="1080" w:type="dxa"/>
            <w:noWrap w:val="0"/>
            <w:vAlign w:val="center"/>
          </w:tcPr>
          <w:p w14:paraId="5FBA15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w:t>
            </w:r>
          </w:p>
        </w:tc>
        <w:tc>
          <w:tcPr>
            <w:tcW w:w="1080" w:type="dxa"/>
            <w:noWrap w:val="0"/>
            <w:vAlign w:val="center"/>
          </w:tcPr>
          <w:p w14:paraId="578683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95483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374</w:t>
            </w:r>
          </w:p>
        </w:tc>
        <w:tc>
          <w:tcPr>
            <w:tcW w:w="1080" w:type="dxa"/>
            <w:noWrap w:val="0"/>
            <w:vAlign w:val="center"/>
          </w:tcPr>
          <w:p w14:paraId="10DC5E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44</w:t>
            </w:r>
          </w:p>
        </w:tc>
        <w:tc>
          <w:tcPr>
            <w:tcW w:w="1080" w:type="dxa"/>
            <w:noWrap w:val="0"/>
            <w:vAlign w:val="center"/>
          </w:tcPr>
          <w:p w14:paraId="1D70B3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w:t>
            </w:r>
          </w:p>
        </w:tc>
      </w:tr>
      <w:tr w14:paraId="04743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5E337F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建筑装饰和其他建筑业</w:t>
            </w:r>
          </w:p>
        </w:tc>
        <w:tc>
          <w:tcPr>
            <w:tcW w:w="1080" w:type="dxa"/>
            <w:noWrap w:val="0"/>
            <w:vAlign w:val="center"/>
          </w:tcPr>
          <w:p w14:paraId="79A0B1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16EADD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7B074A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259B1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829</w:t>
            </w:r>
          </w:p>
        </w:tc>
        <w:tc>
          <w:tcPr>
            <w:tcW w:w="1080" w:type="dxa"/>
            <w:noWrap w:val="0"/>
            <w:vAlign w:val="center"/>
          </w:tcPr>
          <w:p w14:paraId="378822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138</w:t>
            </w:r>
          </w:p>
        </w:tc>
        <w:tc>
          <w:tcPr>
            <w:tcW w:w="1080" w:type="dxa"/>
            <w:noWrap w:val="0"/>
            <w:vAlign w:val="center"/>
          </w:tcPr>
          <w:p w14:paraId="029A94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r>
      <w:tr w14:paraId="14F70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07E47F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批发和零售业</w:t>
            </w:r>
          </w:p>
        </w:tc>
        <w:tc>
          <w:tcPr>
            <w:tcW w:w="1080" w:type="dxa"/>
            <w:noWrap w:val="0"/>
            <w:vAlign w:val="center"/>
          </w:tcPr>
          <w:p w14:paraId="605910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489</w:t>
            </w:r>
          </w:p>
        </w:tc>
        <w:tc>
          <w:tcPr>
            <w:tcW w:w="1080" w:type="dxa"/>
            <w:noWrap w:val="0"/>
            <w:vAlign w:val="center"/>
          </w:tcPr>
          <w:p w14:paraId="284007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474</w:t>
            </w:r>
          </w:p>
        </w:tc>
        <w:tc>
          <w:tcPr>
            <w:tcW w:w="1080" w:type="dxa"/>
            <w:noWrap w:val="0"/>
            <w:vAlign w:val="center"/>
          </w:tcPr>
          <w:p w14:paraId="106A90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w:t>
            </w:r>
          </w:p>
        </w:tc>
        <w:tc>
          <w:tcPr>
            <w:tcW w:w="1080" w:type="dxa"/>
            <w:noWrap w:val="0"/>
            <w:vAlign w:val="center"/>
          </w:tcPr>
          <w:p w14:paraId="2A79A0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8148</w:t>
            </w:r>
          </w:p>
        </w:tc>
        <w:tc>
          <w:tcPr>
            <w:tcW w:w="1080" w:type="dxa"/>
            <w:noWrap w:val="0"/>
            <w:vAlign w:val="center"/>
          </w:tcPr>
          <w:p w14:paraId="226154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2398</w:t>
            </w:r>
          </w:p>
        </w:tc>
        <w:tc>
          <w:tcPr>
            <w:tcW w:w="1080" w:type="dxa"/>
            <w:noWrap w:val="0"/>
            <w:vAlign w:val="center"/>
          </w:tcPr>
          <w:p w14:paraId="4BACB4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662</w:t>
            </w:r>
          </w:p>
        </w:tc>
      </w:tr>
      <w:tr w14:paraId="24E44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D9E9A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批发业</w:t>
            </w:r>
          </w:p>
        </w:tc>
        <w:tc>
          <w:tcPr>
            <w:tcW w:w="1080" w:type="dxa"/>
            <w:noWrap w:val="0"/>
            <w:vAlign w:val="center"/>
          </w:tcPr>
          <w:p w14:paraId="72F73D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338</w:t>
            </w:r>
          </w:p>
        </w:tc>
        <w:tc>
          <w:tcPr>
            <w:tcW w:w="1080" w:type="dxa"/>
            <w:noWrap w:val="0"/>
            <w:vAlign w:val="center"/>
          </w:tcPr>
          <w:p w14:paraId="4C1C90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331</w:t>
            </w:r>
          </w:p>
        </w:tc>
        <w:tc>
          <w:tcPr>
            <w:tcW w:w="1080" w:type="dxa"/>
            <w:noWrap w:val="0"/>
            <w:vAlign w:val="center"/>
          </w:tcPr>
          <w:p w14:paraId="1765BA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1080" w:type="dxa"/>
            <w:noWrap w:val="0"/>
            <w:vAlign w:val="center"/>
          </w:tcPr>
          <w:p w14:paraId="2A3470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6481</w:t>
            </w:r>
          </w:p>
        </w:tc>
        <w:tc>
          <w:tcPr>
            <w:tcW w:w="1080" w:type="dxa"/>
            <w:noWrap w:val="0"/>
            <w:vAlign w:val="center"/>
          </w:tcPr>
          <w:p w14:paraId="6206E2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1561</w:t>
            </w:r>
          </w:p>
        </w:tc>
        <w:tc>
          <w:tcPr>
            <w:tcW w:w="1080" w:type="dxa"/>
            <w:noWrap w:val="0"/>
            <w:vAlign w:val="center"/>
          </w:tcPr>
          <w:p w14:paraId="0E0D2C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427</w:t>
            </w:r>
          </w:p>
        </w:tc>
      </w:tr>
      <w:tr w14:paraId="46885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0669B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零售业</w:t>
            </w:r>
          </w:p>
        </w:tc>
        <w:tc>
          <w:tcPr>
            <w:tcW w:w="1080" w:type="dxa"/>
            <w:noWrap w:val="0"/>
            <w:vAlign w:val="center"/>
          </w:tcPr>
          <w:p w14:paraId="5A9A99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151</w:t>
            </w:r>
          </w:p>
        </w:tc>
        <w:tc>
          <w:tcPr>
            <w:tcW w:w="1080" w:type="dxa"/>
            <w:noWrap w:val="0"/>
            <w:vAlign w:val="center"/>
          </w:tcPr>
          <w:p w14:paraId="426C92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143</w:t>
            </w:r>
          </w:p>
        </w:tc>
        <w:tc>
          <w:tcPr>
            <w:tcW w:w="1080" w:type="dxa"/>
            <w:noWrap w:val="0"/>
            <w:vAlign w:val="center"/>
          </w:tcPr>
          <w:p w14:paraId="0AFB87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w:t>
            </w:r>
          </w:p>
        </w:tc>
        <w:tc>
          <w:tcPr>
            <w:tcW w:w="1080" w:type="dxa"/>
            <w:noWrap w:val="0"/>
            <w:vAlign w:val="center"/>
          </w:tcPr>
          <w:p w14:paraId="7FE941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1667</w:t>
            </w:r>
          </w:p>
        </w:tc>
        <w:tc>
          <w:tcPr>
            <w:tcW w:w="1080" w:type="dxa"/>
            <w:noWrap w:val="0"/>
            <w:vAlign w:val="center"/>
          </w:tcPr>
          <w:p w14:paraId="0D65A4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837</w:t>
            </w:r>
          </w:p>
        </w:tc>
        <w:tc>
          <w:tcPr>
            <w:tcW w:w="1080" w:type="dxa"/>
            <w:noWrap w:val="0"/>
            <w:vAlign w:val="center"/>
          </w:tcPr>
          <w:p w14:paraId="7E5E01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235</w:t>
            </w:r>
          </w:p>
        </w:tc>
      </w:tr>
      <w:tr w14:paraId="0FCEE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5EB4C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交通运输、仓储和邮政业</w:t>
            </w:r>
          </w:p>
        </w:tc>
        <w:tc>
          <w:tcPr>
            <w:tcW w:w="1080" w:type="dxa"/>
            <w:noWrap w:val="0"/>
            <w:vAlign w:val="center"/>
          </w:tcPr>
          <w:p w14:paraId="1D2264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38</w:t>
            </w:r>
          </w:p>
        </w:tc>
        <w:tc>
          <w:tcPr>
            <w:tcW w:w="1080" w:type="dxa"/>
            <w:noWrap w:val="0"/>
            <w:vAlign w:val="center"/>
          </w:tcPr>
          <w:p w14:paraId="1C85C1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w:t>
            </w:r>
          </w:p>
        </w:tc>
        <w:tc>
          <w:tcPr>
            <w:tcW w:w="1080" w:type="dxa"/>
            <w:noWrap w:val="0"/>
            <w:vAlign w:val="center"/>
          </w:tcPr>
          <w:p w14:paraId="50B2D5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0E9B3B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871</w:t>
            </w:r>
          </w:p>
        </w:tc>
        <w:tc>
          <w:tcPr>
            <w:tcW w:w="1080" w:type="dxa"/>
            <w:noWrap w:val="0"/>
            <w:vAlign w:val="center"/>
          </w:tcPr>
          <w:p w14:paraId="42DFB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250</w:t>
            </w:r>
          </w:p>
        </w:tc>
        <w:tc>
          <w:tcPr>
            <w:tcW w:w="1080" w:type="dxa"/>
            <w:noWrap w:val="0"/>
            <w:vAlign w:val="center"/>
          </w:tcPr>
          <w:p w14:paraId="4370BC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81</w:t>
            </w:r>
          </w:p>
        </w:tc>
      </w:tr>
      <w:tr w14:paraId="56702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2452B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道路运输业</w:t>
            </w:r>
          </w:p>
        </w:tc>
        <w:tc>
          <w:tcPr>
            <w:tcW w:w="1080" w:type="dxa"/>
            <w:noWrap w:val="0"/>
            <w:vAlign w:val="center"/>
          </w:tcPr>
          <w:p w14:paraId="0D0554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32</w:t>
            </w:r>
          </w:p>
        </w:tc>
        <w:tc>
          <w:tcPr>
            <w:tcW w:w="1080" w:type="dxa"/>
            <w:noWrap w:val="0"/>
            <w:vAlign w:val="center"/>
          </w:tcPr>
          <w:p w14:paraId="70398D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w:t>
            </w:r>
          </w:p>
        </w:tc>
        <w:tc>
          <w:tcPr>
            <w:tcW w:w="1080" w:type="dxa"/>
            <w:noWrap w:val="0"/>
            <w:vAlign w:val="center"/>
          </w:tcPr>
          <w:p w14:paraId="20511B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13ED75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787</w:t>
            </w:r>
          </w:p>
        </w:tc>
        <w:tc>
          <w:tcPr>
            <w:tcW w:w="1080" w:type="dxa"/>
            <w:noWrap w:val="0"/>
            <w:vAlign w:val="center"/>
          </w:tcPr>
          <w:p w14:paraId="0CD5B4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236</w:t>
            </w:r>
          </w:p>
        </w:tc>
        <w:tc>
          <w:tcPr>
            <w:tcW w:w="1080" w:type="dxa"/>
            <w:noWrap w:val="0"/>
            <w:vAlign w:val="center"/>
          </w:tcPr>
          <w:p w14:paraId="3D8EC6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47</w:t>
            </w:r>
          </w:p>
        </w:tc>
      </w:tr>
      <w:tr w14:paraId="75EC4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1C79B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航空运输业</w:t>
            </w:r>
          </w:p>
        </w:tc>
        <w:tc>
          <w:tcPr>
            <w:tcW w:w="1080" w:type="dxa"/>
            <w:noWrap w:val="0"/>
            <w:vAlign w:val="center"/>
          </w:tcPr>
          <w:p w14:paraId="1B05F1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09764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8F4BB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C5476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22D53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B8323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r>
      <w:tr w14:paraId="75D8B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65C92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装卸搬运和运输代理业</w:t>
            </w:r>
          </w:p>
        </w:tc>
        <w:tc>
          <w:tcPr>
            <w:tcW w:w="1080" w:type="dxa"/>
            <w:noWrap w:val="0"/>
            <w:vAlign w:val="center"/>
          </w:tcPr>
          <w:p w14:paraId="1560F2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62CFE0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25E5B3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C9D65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82</w:t>
            </w:r>
          </w:p>
        </w:tc>
        <w:tc>
          <w:tcPr>
            <w:tcW w:w="1080" w:type="dxa"/>
            <w:noWrap w:val="0"/>
            <w:vAlign w:val="center"/>
          </w:tcPr>
          <w:p w14:paraId="7958D6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694699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w:t>
            </w:r>
          </w:p>
        </w:tc>
      </w:tr>
      <w:tr w14:paraId="14A45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EC5F2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仓储业</w:t>
            </w:r>
          </w:p>
        </w:tc>
        <w:tc>
          <w:tcPr>
            <w:tcW w:w="1080" w:type="dxa"/>
            <w:noWrap w:val="0"/>
            <w:vAlign w:val="center"/>
          </w:tcPr>
          <w:p w14:paraId="4522B1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12A9A7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6271FC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B09BA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4FC38B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C5D7B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r>
      <w:tr w14:paraId="2AE81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3C6B8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邮政业</w:t>
            </w:r>
          </w:p>
        </w:tc>
        <w:tc>
          <w:tcPr>
            <w:tcW w:w="1080" w:type="dxa"/>
            <w:noWrap w:val="0"/>
            <w:vAlign w:val="center"/>
          </w:tcPr>
          <w:p w14:paraId="1B15C5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3DFE0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3F44C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2985C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1D539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1138F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w:t>
            </w:r>
          </w:p>
        </w:tc>
      </w:tr>
      <w:tr w14:paraId="252CD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3F64B5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住宿和餐饮业</w:t>
            </w:r>
          </w:p>
        </w:tc>
        <w:tc>
          <w:tcPr>
            <w:tcW w:w="1080" w:type="dxa"/>
            <w:noWrap w:val="0"/>
            <w:vAlign w:val="center"/>
          </w:tcPr>
          <w:p w14:paraId="3A33CB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w:t>
            </w:r>
          </w:p>
        </w:tc>
        <w:tc>
          <w:tcPr>
            <w:tcW w:w="1080" w:type="dxa"/>
            <w:noWrap w:val="0"/>
            <w:vAlign w:val="center"/>
          </w:tcPr>
          <w:p w14:paraId="2D376C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w:t>
            </w:r>
          </w:p>
        </w:tc>
        <w:tc>
          <w:tcPr>
            <w:tcW w:w="1080" w:type="dxa"/>
            <w:noWrap w:val="0"/>
            <w:vAlign w:val="center"/>
          </w:tcPr>
          <w:p w14:paraId="470DCB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3EE8B4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1286</w:t>
            </w:r>
          </w:p>
        </w:tc>
        <w:tc>
          <w:tcPr>
            <w:tcW w:w="1080" w:type="dxa"/>
            <w:noWrap w:val="0"/>
            <w:vAlign w:val="center"/>
          </w:tcPr>
          <w:p w14:paraId="1DCC26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850</w:t>
            </w:r>
          </w:p>
        </w:tc>
        <w:tc>
          <w:tcPr>
            <w:tcW w:w="1080" w:type="dxa"/>
            <w:noWrap w:val="0"/>
            <w:vAlign w:val="center"/>
          </w:tcPr>
          <w:p w14:paraId="2EBE0C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47</w:t>
            </w:r>
          </w:p>
        </w:tc>
      </w:tr>
      <w:tr w14:paraId="75772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79CF9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住宿业</w:t>
            </w:r>
          </w:p>
        </w:tc>
        <w:tc>
          <w:tcPr>
            <w:tcW w:w="1080" w:type="dxa"/>
            <w:noWrap w:val="0"/>
            <w:vAlign w:val="center"/>
          </w:tcPr>
          <w:p w14:paraId="3D2DE5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610BC8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4B984F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3DA6C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208</w:t>
            </w:r>
          </w:p>
        </w:tc>
        <w:tc>
          <w:tcPr>
            <w:tcW w:w="1080" w:type="dxa"/>
            <w:noWrap w:val="0"/>
            <w:vAlign w:val="center"/>
          </w:tcPr>
          <w:p w14:paraId="1E6CB0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100</w:t>
            </w:r>
          </w:p>
        </w:tc>
        <w:tc>
          <w:tcPr>
            <w:tcW w:w="1080" w:type="dxa"/>
            <w:noWrap w:val="0"/>
            <w:vAlign w:val="center"/>
          </w:tcPr>
          <w:p w14:paraId="224EBA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w:t>
            </w:r>
          </w:p>
        </w:tc>
      </w:tr>
      <w:tr w14:paraId="78A06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E6297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餐饮业</w:t>
            </w:r>
          </w:p>
        </w:tc>
        <w:tc>
          <w:tcPr>
            <w:tcW w:w="1080" w:type="dxa"/>
            <w:noWrap w:val="0"/>
            <w:vAlign w:val="center"/>
          </w:tcPr>
          <w:p w14:paraId="5C1086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w:t>
            </w:r>
          </w:p>
        </w:tc>
        <w:tc>
          <w:tcPr>
            <w:tcW w:w="1080" w:type="dxa"/>
            <w:noWrap w:val="0"/>
            <w:vAlign w:val="center"/>
          </w:tcPr>
          <w:p w14:paraId="1B309D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w:t>
            </w:r>
          </w:p>
        </w:tc>
        <w:tc>
          <w:tcPr>
            <w:tcW w:w="1080" w:type="dxa"/>
            <w:noWrap w:val="0"/>
            <w:vAlign w:val="center"/>
          </w:tcPr>
          <w:p w14:paraId="3D873D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43CD5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1078</w:t>
            </w:r>
          </w:p>
        </w:tc>
        <w:tc>
          <w:tcPr>
            <w:tcW w:w="1080" w:type="dxa"/>
            <w:noWrap w:val="0"/>
            <w:vAlign w:val="center"/>
          </w:tcPr>
          <w:p w14:paraId="72FC1E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750</w:t>
            </w:r>
          </w:p>
        </w:tc>
        <w:tc>
          <w:tcPr>
            <w:tcW w:w="1080" w:type="dxa"/>
            <w:noWrap w:val="0"/>
            <w:vAlign w:val="center"/>
          </w:tcPr>
          <w:p w14:paraId="728871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32</w:t>
            </w:r>
          </w:p>
        </w:tc>
      </w:tr>
      <w:tr w14:paraId="776D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38BA3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信息传输、软件和信息技术服务业</w:t>
            </w:r>
          </w:p>
        </w:tc>
        <w:tc>
          <w:tcPr>
            <w:tcW w:w="1080" w:type="dxa"/>
            <w:noWrap w:val="0"/>
            <w:vAlign w:val="center"/>
          </w:tcPr>
          <w:p w14:paraId="2F9476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69ECF5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4D70FE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24F1E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w:t>
            </w:r>
          </w:p>
        </w:tc>
        <w:tc>
          <w:tcPr>
            <w:tcW w:w="1080" w:type="dxa"/>
            <w:noWrap w:val="0"/>
            <w:vAlign w:val="center"/>
          </w:tcPr>
          <w:p w14:paraId="0264C7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1080" w:type="dxa"/>
            <w:noWrap w:val="0"/>
            <w:vAlign w:val="center"/>
          </w:tcPr>
          <w:p w14:paraId="25F8BF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47</w:t>
            </w:r>
          </w:p>
        </w:tc>
      </w:tr>
      <w:tr w14:paraId="0B445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41742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电信、广播电视和卫星传输服务</w:t>
            </w:r>
          </w:p>
        </w:tc>
        <w:tc>
          <w:tcPr>
            <w:tcW w:w="1080" w:type="dxa"/>
            <w:noWrap w:val="0"/>
            <w:vAlign w:val="center"/>
          </w:tcPr>
          <w:p w14:paraId="733D2B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6594F4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052CD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4B67A5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2A462A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4721D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w:t>
            </w:r>
          </w:p>
        </w:tc>
      </w:tr>
      <w:tr w14:paraId="4000C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1B7EE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互联网和相关服务</w:t>
            </w:r>
          </w:p>
        </w:tc>
        <w:tc>
          <w:tcPr>
            <w:tcW w:w="1080" w:type="dxa"/>
            <w:noWrap w:val="0"/>
            <w:vAlign w:val="center"/>
          </w:tcPr>
          <w:p w14:paraId="71BA14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4A429D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495D6F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AE9DA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w:t>
            </w:r>
          </w:p>
        </w:tc>
        <w:tc>
          <w:tcPr>
            <w:tcW w:w="1080" w:type="dxa"/>
            <w:noWrap w:val="0"/>
            <w:vAlign w:val="center"/>
          </w:tcPr>
          <w:p w14:paraId="7B5418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72640A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00174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14E90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软件和信息技术服务业</w:t>
            </w:r>
          </w:p>
        </w:tc>
        <w:tc>
          <w:tcPr>
            <w:tcW w:w="1080" w:type="dxa"/>
            <w:noWrap w:val="0"/>
            <w:vAlign w:val="center"/>
          </w:tcPr>
          <w:p w14:paraId="3D047F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1DDAD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129063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69C2F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2C5CD4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397985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r>
      <w:tr w14:paraId="1EA63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79F792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金融业</w:t>
            </w:r>
          </w:p>
        </w:tc>
        <w:tc>
          <w:tcPr>
            <w:tcW w:w="1080" w:type="dxa"/>
            <w:noWrap w:val="0"/>
            <w:vAlign w:val="center"/>
          </w:tcPr>
          <w:p w14:paraId="040D44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3E6491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59032B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A1131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299</w:t>
            </w:r>
          </w:p>
        </w:tc>
        <w:tc>
          <w:tcPr>
            <w:tcW w:w="1080" w:type="dxa"/>
            <w:noWrap w:val="0"/>
            <w:vAlign w:val="center"/>
          </w:tcPr>
          <w:p w14:paraId="5CFDA2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79</w:t>
            </w:r>
          </w:p>
        </w:tc>
        <w:tc>
          <w:tcPr>
            <w:tcW w:w="1080" w:type="dxa"/>
            <w:noWrap w:val="0"/>
            <w:vAlign w:val="center"/>
          </w:tcPr>
          <w:p w14:paraId="47AF51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76</w:t>
            </w:r>
          </w:p>
        </w:tc>
      </w:tr>
      <w:tr w14:paraId="57F08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3BF3E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货币金融服务</w:t>
            </w:r>
          </w:p>
        </w:tc>
        <w:tc>
          <w:tcPr>
            <w:tcW w:w="1080" w:type="dxa"/>
            <w:noWrap w:val="0"/>
            <w:vAlign w:val="center"/>
          </w:tcPr>
          <w:p w14:paraId="4C4A54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59C5B9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645F50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655E5F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297</w:t>
            </w:r>
          </w:p>
        </w:tc>
        <w:tc>
          <w:tcPr>
            <w:tcW w:w="1080" w:type="dxa"/>
            <w:noWrap w:val="0"/>
            <w:vAlign w:val="center"/>
          </w:tcPr>
          <w:p w14:paraId="312E00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79</w:t>
            </w:r>
          </w:p>
        </w:tc>
        <w:tc>
          <w:tcPr>
            <w:tcW w:w="1080" w:type="dxa"/>
            <w:noWrap w:val="0"/>
            <w:vAlign w:val="center"/>
          </w:tcPr>
          <w:p w14:paraId="5AD63B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w:t>
            </w:r>
          </w:p>
        </w:tc>
      </w:tr>
      <w:tr w14:paraId="22DD1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45428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资本市场服务</w:t>
            </w:r>
          </w:p>
        </w:tc>
        <w:tc>
          <w:tcPr>
            <w:tcW w:w="1080" w:type="dxa"/>
            <w:noWrap w:val="0"/>
            <w:vAlign w:val="center"/>
          </w:tcPr>
          <w:p w14:paraId="29677C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593BA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DAEAB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34123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D50A9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46BE8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13534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DC9AF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保险业</w:t>
            </w:r>
          </w:p>
        </w:tc>
        <w:tc>
          <w:tcPr>
            <w:tcW w:w="1080" w:type="dxa"/>
            <w:noWrap w:val="0"/>
            <w:vAlign w:val="center"/>
          </w:tcPr>
          <w:p w14:paraId="443731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319AA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81BA6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330C8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56AC2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6DB02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w:t>
            </w:r>
          </w:p>
        </w:tc>
      </w:tr>
      <w:tr w14:paraId="4CD70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203AA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房地产业</w:t>
            </w:r>
          </w:p>
        </w:tc>
        <w:tc>
          <w:tcPr>
            <w:tcW w:w="1080" w:type="dxa"/>
            <w:noWrap w:val="0"/>
            <w:vAlign w:val="center"/>
          </w:tcPr>
          <w:p w14:paraId="229752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82</w:t>
            </w:r>
          </w:p>
        </w:tc>
        <w:tc>
          <w:tcPr>
            <w:tcW w:w="1080" w:type="dxa"/>
            <w:noWrap w:val="0"/>
            <w:vAlign w:val="center"/>
          </w:tcPr>
          <w:p w14:paraId="3E8BC5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80</w:t>
            </w:r>
          </w:p>
        </w:tc>
        <w:tc>
          <w:tcPr>
            <w:tcW w:w="1080" w:type="dxa"/>
            <w:noWrap w:val="0"/>
            <w:vAlign w:val="center"/>
          </w:tcPr>
          <w:p w14:paraId="50EC6B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1E7C63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1146</w:t>
            </w:r>
          </w:p>
        </w:tc>
        <w:tc>
          <w:tcPr>
            <w:tcW w:w="1080" w:type="dxa"/>
            <w:noWrap w:val="0"/>
            <w:vAlign w:val="center"/>
          </w:tcPr>
          <w:p w14:paraId="00D8B5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420</w:t>
            </w:r>
          </w:p>
        </w:tc>
        <w:tc>
          <w:tcPr>
            <w:tcW w:w="1080" w:type="dxa"/>
            <w:noWrap w:val="0"/>
            <w:vAlign w:val="center"/>
          </w:tcPr>
          <w:p w14:paraId="7245E2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89</w:t>
            </w:r>
          </w:p>
        </w:tc>
      </w:tr>
      <w:tr w14:paraId="67DF5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BB088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房地产业</w:t>
            </w:r>
          </w:p>
        </w:tc>
        <w:tc>
          <w:tcPr>
            <w:tcW w:w="1080" w:type="dxa"/>
            <w:noWrap w:val="0"/>
            <w:vAlign w:val="center"/>
          </w:tcPr>
          <w:p w14:paraId="6B29B4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82</w:t>
            </w:r>
          </w:p>
        </w:tc>
        <w:tc>
          <w:tcPr>
            <w:tcW w:w="1080" w:type="dxa"/>
            <w:noWrap w:val="0"/>
            <w:vAlign w:val="center"/>
          </w:tcPr>
          <w:p w14:paraId="13D357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80</w:t>
            </w:r>
          </w:p>
        </w:tc>
        <w:tc>
          <w:tcPr>
            <w:tcW w:w="1080" w:type="dxa"/>
            <w:noWrap w:val="0"/>
            <w:vAlign w:val="center"/>
          </w:tcPr>
          <w:p w14:paraId="516B37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199020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1146</w:t>
            </w:r>
          </w:p>
        </w:tc>
        <w:tc>
          <w:tcPr>
            <w:tcW w:w="1080" w:type="dxa"/>
            <w:noWrap w:val="0"/>
            <w:vAlign w:val="center"/>
          </w:tcPr>
          <w:p w14:paraId="4B6A19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420</w:t>
            </w:r>
          </w:p>
        </w:tc>
        <w:tc>
          <w:tcPr>
            <w:tcW w:w="1080" w:type="dxa"/>
            <w:noWrap w:val="0"/>
            <w:vAlign w:val="center"/>
          </w:tcPr>
          <w:p w14:paraId="06B084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89</w:t>
            </w:r>
          </w:p>
        </w:tc>
      </w:tr>
      <w:tr w14:paraId="7EEBC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16A306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租赁和商务服务业</w:t>
            </w:r>
          </w:p>
        </w:tc>
        <w:tc>
          <w:tcPr>
            <w:tcW w:w="1080" w:type="dxa"/>
            <w:noWrap w:val="0"/>
            <w:vAlign w:val="center"/>
          </w:tcPr>
          <w:p w14:paraId="348A86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115</w:t>
            </w:r>
          </w:p>
        </w:tc>
        <w:tc>
          <w:tcPr>
            <w:tcW w:w="1080" w:type="dxa"/>
            <w:noWrap w:val="0"/>
            <w:vAlign w:val="center"/>
          </w:tcPr>
          <w:p w14:paraId="0E57D3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111</w:t>
            </w:r>
          </w:p>
        </w:tc>
        <w:tc>
          <w:tcPr>
            <w:tcW w:w="1080" w:type="dxa"/>
            <w:noWrap w:val="0"/>
            <w:vAlign w:val="center"/>
          </w:tcPr>
          <w:p w14:paraId="19FBE7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23C2FA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8814</w:t>
            </w:r>
          </w:p>
        </w:tc>
        <w:tc>
          <w:tcPr>
            <w:tcW w:w="1080" w:type="dxa"/>
            <w:noWrap w:val="0"/>
            <w:vAlign w:val="center"/>
          </w:tcPr>
          <w:p w14:paraId="1E7B70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2869</w:t>
            </w:r>
          </w:p>
        </w:tc>
        <w:tc>
          <w:tcPr>
            <w:tcW w:w="1080" w:type="dxa"/>
            <w:noWrap w:val="0"/>
            <w:vAlign w:val="center"/>
          </w:tcPr>
          <w:p w14:paraId="4CDAE8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128</w:t>
            </w:r>
          </w:p>
        </w:tc>
      </w:tr>
      <w:tr w14:paraId="12C52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C3B5A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租赁业</w:t>
            </w:r>
          </w:p>
        </w:tc>
        <w:tc>
          <w:tcPr>
            <w:tcW w:w="1080" w:type="dxa"/>
            <w:noWrap w:val="0"/>
            <w:vAlign w:val="center"/>
          </w:tcPr>
          <w:p w14:paraId="0492A3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1080" w:type="dxa"/>
            <w:noWrap w:val="0"/>
            <w:vAlign w:val="center"/>
          </w:tcPr>
          <w:p w14:paraId="251769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1080" w:type="dxa"/>
            <w:noWrap w:val="0"/>
            <w:vAlign w:val="center"/>
          </w:tcPr>
          <w:p w14:paraId="510169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299B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109</w:t>
            </w:r>
          </w:p>
        </w:tc>
        <w:tc>
          <w:tcPr>
            <w:tcW w:w="1080" w:type="dxa"/>
            <w:noWrap w:val="0"/>
            <w:vAlign w:val="center"/>
          </w:tcPr>
          <w:p w14:paraId="168A1A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w:t>
            </w:r>
          </w:p>
        </w:tc>
        <w:tc>
          <w:tcPr>
            <w:tcW w:w="1080" w:type="dxa"/>
            <w:noWrap w:val="0"/>
            <w:vAlign w:val="center"/>
          </w:tcPr>
          <w:p w14:paraId="11A04D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r>
      <w:tr w14:paraId="614C7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2E2C1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商务服务业</w:t>
            </w:r>
          </w:p>
        </w:tc>
        <w:tc>
          <w:tcPr>
            <w:tcW w:w="1080" w:type="dxa"/>
            <w:noWrap w:val="0"/>
            <w:vAlign w:val="center"/>
          </w:tcPr>
          <w:p w14:paraId="57819B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103</w:t>
            </w:r>
          </w:p>
        </w:tc>
        <w:tc>
          <w:tcPr>
            <w:tcW w:w="1080" w:type="dxa"/>
            <w:noWrap w:val="0"/>
            <w:vAlign w:val="center"/>
          </w:tcPr>
          <w:p w14:paraId="6C2A76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99</w:t>
            </w:r>
          </w:p>
        </w:tc>
        <w:tc>
          <w:tcPr>
            <w:tcW w:w="1080" w:type="dxa"/>
            <w:noWrap w:val="0"/>
            <w:vAlign w:val="center"/>
          </w:tcPr>
          <w:p w14:paraId="75800E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1D12D2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8705</w:t>
            </w:r>
          </w:p>
        </w:tc>
        <w:tc>
          <w:tcPr>
            <w:tcW w:w="1080" w:type="dxa"/>
            <w:noWrap w:val="0"/>
            <w:vAlign w:val="center"/>
          </w:tcPr>
          <w:p w14:paraId="3F47F0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2841</w:t>
            </w:r>
          </w:p>
        </w:tc>
        <w:tc>
          <w:tcPr>
            <w:tcW w:w="1080" w:type="dxa"/>
            <w:noWrap w:val="0"/>
            <w:vAlign w:val="center"/>
          </w:tcPr>
          <w:p w14:paraId="40856F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115</w:t>
            </w:r>
          </w:p>
        </w:tc>
      </w:tr>
      <w:tr w14:paraId="22BC0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9A9EA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科学研究和技术服务业</w:t>
            </w:r>
          </w:p>
        </w:tc>
        <w:tc>
          <w:tcPr>
            <w:tcW w:w="1080" w:type="dxa"/>
            <w:noWrap w:val="0"/>
            <w:vAlign w:val="center"/>
          </w:tcPr>
          <w:p w14:paraId="1AF4D3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w:t>
            </w:r>
          </w:p>
        </w:tc>
        <w:tc>
          <w:tcPr>
            <w:tcW w:w="1080" w:type="dxa"/>
            <w:noWrap w:val="0"/>
            <w:vAlign w:val="center"/>
          </w:tcPr>
          <w:p w14:paraId="3F72F3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w:t>
            </w:r>
          </w:p>
        </w:tc>
        <w:tc>
          <w:tcPr>
            <w:tcW w:w="1080" w:type="dxa"/>
            <w:noWrap w:val="0"/>
            <w:vAlign w:val="center"/>
          </w:tcPr>
          <w:p w14:paraId="00951C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71348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985</w:t>
            </w:r>
          </w:p>
        </w:tc>
        <w:tc>
          <w:tcPr>
            <w:tcW w:w="1080" w:type="dxa"/>
            <w:noWrap w:val="0"/>
            <w:vAlign w:val="center"/>
          </w:tcPr>
          <w:p w14:paraId="26D7FE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570</w:t>
            </w:r>
          </w:p>
        </w:tc>
        <w:tc>
          <w:tcPr>
            <w:tcW w:w="1080" w:type="dxa"/>
            <w:noWrap w:val="0"/>
            <w:vAlign w:val="center"/>
          </w:tcPr>
          <w:p w14:paraId="70EB5D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61</w:t>
            </w:r>
          </w:p>
        </w:tc>
      </w:tr>
      <w:tr w14:paraId="0CF8A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C332D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研究和试验发展</w:t>
            </w:r>
          </w:p>
        </w:tc>
        <w:tc>
          <w:tcPr>
            <w:tcW w:w="1080" w:type="dxa"/>
            <w:noWrap w:val="0"/>
            <w:vAlign w:val="center"/>
          </w:tcPr>
          <w:p w14:paraId="6A864D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43AB88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1080" w:type="dxa"/>
            <w:noWrap w:val="0"/>
            <w:vAlign w:val="center"/>
          </w:tcPr>
          <w:p w14:paraId="02392F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3A877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103</w:t>
            </w:r>
          </w:p>
        </w:tc>
        <w:tc>
          <w:tcPr>
            <w:tcW w:w="1080" w:type="dxa"/>
            <w:noWrap w:val="0"/>
            <w:vAlign w:val="center"/>
          </w:tcPr>
          <w:p w14:paraId="24576F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44</w:t>
            </w:r>
          </w:p>
        </w:tc>
        <w:tc>
          <w:tcPr>
            <w:tcW w:w="1080" w:type="dxa"/>
            <w:noWrap w:val="0"/>
            <w:vAlign w:val="center"/>
          </w:tcPr>
          <w:p w14:paraId="07BA18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2EBDE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2BC8C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专业技术服务业</w:t>
            </w:r>
          </w:p>
        </w:tc>
        <w:tc>
          <w:tcPr>
            <w:tcW w:w="1080" w:type="dxa"/>
            <w:noWrap w:val="0"/>
            <w:vAlign w:val="center"/>
          </w:tcPr>
          <w:p w14:paraId="6F4E6B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w:t>
            </w:r>
          </w:p>
        </w:tc>
        <w:tc>
          <w:tcPr>
            <w:tcW w:w="1080" w:type="dxa"/>
            <w:noWrap w:val="0"/>
            <w:vAlign w:val="center"/>
          </w:tcPr>
          <w:p w14:paraId="71A503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w:t>
            </w:r>
          </w:p>
        </w:tc>
        <w:tc>
          <w:tcPr>
            <w:tcW w:w="1080" w:type="dxa"/>
            <w:noWrap w:val="0"/>
            <w:vAlign w:val="center"/>
          </w:tcPr>
          <w:p w14:paraId="5DC461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1BA61F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147</w:t>
            </w:r>
          </w:p>
        </w:tc>
        <w:tc>
          <w:tcPr>
            <w:tcW w:w="1080" w:type="dxa"/>
            <w:noWrap w:val="0"/>
            <w:vAlign w:val="center"/>
          </w:tcPr>
          <w:p w14:paraId="7E9427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w:t>
            </w:r>
          </w:p>
        </w:tc>
        <w:tc>
          <w:tcPr>
            <w:tcW w:w="1080" w:type="dxa"/>
            <w:noWrap w:val="0"/>
            <w:vAlign w:val="center"/>
          </w:tcPr>
          <w:p w14:paraId="02480F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w:t>
            </w:r>
          </w:p>
        </w:tc>
      </w:tr>
      <w:tr w14:paraId="3C0A1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CF4B1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科技推广和应用服务业</w:t>
            </w:r>
          </w:p>
        </w:tc>
        <w:tc>
          <w:tcPr>
            <w:tcW w:w="1080" w:type="dxa"/>
            <w:noWrap w:val="0"/>
            <w:vAlign w:val="center"/>
          </w:tcPr>
          <w:p w14:paraId="444ECE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w:t>
            </w:r>
          </w:p>
        </w:tc>
        <w:tc>
          <w:tcPr>
            <w:tcW w:w="1080" w:type="dxa"/>
            <w:noWrap w:val="0"/>
            <w:vAlign w:val="center"/>
          </w:tcPr>
          <w:p w14:paraId="0F9D2F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w:t>
            </w:r>
          </w:p>
        </w:tc>
        <w:tc>
          <w:tcPr>
            <w:tcW w:w="1080" w:type="dxa"/>
            <w:noWrap w:val="0"/>
            <w:vAlign w:val="center"/>
          </w:tcPr>
          <w:p w14:paraId="1CA863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1AE21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735</w:t>
            </w:r>
          </w:p>
        </w:tc>
        <w:tc>
          <w:tcPr>
            <w:tcW w:w="1080" w:type="dxa"/>
            <w:noWrap w:val="0"/>
            <w:vAlign w:val="center"/>
          </w:tcPr>
          <w:p w14:paraId="4D1D18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487</w:t>
            </w:r>
          </w:p>
        </w:tc>
        <w:tc>
          <w:tcPr>
            <w:tcW w:w="1080" w:type="dxa"/>
            <w:noWrap w:val="0"/>
            <w:vAlign w:val="center"/>
          </w:tcPr>
          <w:p w14:paraId="0A1A99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w:t>
            </w:r>
          </w:p>
        </w:tc>
      </w:tr>
      <w:tr w14:paraId="12AC5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CD351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水利、环境和公共设施管理业</w:t>
            </w:r>
          </w:p>
        </w:tc>
        <w:tc>
          <w:tcPr>
            <w:tcW w:w="1080" w:type="dxa"/>
            <w:noWrap w:val="0"/>
            <w:vAlign w:val="center"/>
          </w:tcPr>
          <w:p w14:paraId="7CC435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32</w:t>
            </w:r>
          </w:p>
        </w:tc>
        <w:tc>
          <w:tcPr>
            <w:tcW w:w="1080" w:type="dxa"/>
            <w:noWrap w:val="0"/>
            <w:vAlign w:val="center"/>
          </w:tcPr>
          <w:p w14:paraId="7F6197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w:t>
            </w:r>
          </w:p>
        </w:tc>
        <w:tc>
          <w:tcPr>
            <w:tcW w:w="1080" w:type="dxa"/>
            <w:noWrap w:val="0"/>
            <w:vAlign w:val="center"/>
          </w:tcPr>
          <w:p w14:paraId="482261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5FD763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838</w:t>
            </w:r>
          </w:p>
        </w:tc>
        <w:tc>
          <w:tcPr>
            <w:tcW w:w="1080" w:type="dxa"/>
            <w:noWrap w:val="0"/>
            <w:vAlign w:val="center"/>
          </w:tcPr>
          <w:p w14:paraId="7B2DCE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357</w:t>
            </w:r>
          </w:p>
        </w:tc>
        <w:tc>
          <w:tcPr>
            <w:tcW w:w="1080" w:type="dxa"/>
            <w:noWrap w:val="0"/>
            <w:vAlign w:val="center"/>
          </w:tcPr>
          <w:p w14:paraId="07F3BD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35</w:t>
            </w:r>
          </w:p>
        </w:tc>
      </w:tr>
      <w:tr w14:paraId="5C945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007E8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水利管理业</w:t>
            </w:r>
          </w:p>
        </w:tc>
        <w:tc>
          <w:tcPr>
            <w:tcW w:w="1080" w:type="dxa"/>
            <w:noWrap w:val="0"/>
            <w:vAlign w:val="center"/>
          </w:tcPr>
          <w:p w14:paraId="588ECC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46AF98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w:t>
            </w:r>
          </w:p>
        </w:tc>
        <w:tc>
          <w:tcPr>
            <w:tcW w:w="1080" w:type="dxa"/>
            <w:noWrap w:val="0"/>
            <w:vAlign w:val="center"/>
          </w:tcPr>
          <w:p w14:paraId="4A14CA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48FCC6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333</w:t>
            </w:r>
          </w:p>
        </w:tc>
        <w:tc>
          <w:tcPr>
            <w:tcW w:w="1080" w:type="dxa"/>
            <w:noWrap w:val="0"/>
            <w:vAlign w:val="center"/>
          </w:tcPr>
          <w:p w14:paraId="6656DD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81</w:t>
            </w:r>
          </w:p>
        </w:tc>
        <w:tc>
          <w:tcPr>
            <w:tcW w:w="1080" w:type="dxa"/>
            <w:noWrap w:val="0"/>
            <w:vAlign w:val="center"/>
          </w:tcPr>
          <w:p w14:paraId="36A09D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w:t>
            </w:r>
          </w:p>
        </w:tc>
      </w:tr>
      <w:tr w14:paraId="4458F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5C4718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生态保护和环境治理业</w:t>
            </w:r>
          </w:p>
        </w:tc>
        <w:tc>
          <w:tcPr>
            <w:tcW w:w="1080" w:type="dxa"/>
            <w:noWrap w:val="0"/>
            <w:vAlign w:val="center"/>
          </w:tcPr>
          <w:p w14:paraId="232964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446B2D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43F857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77E94E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59</w:t>
            </w:r>
          </w:p>
        </w:tc>
        <w:tc>
          <w:tcPr>
            <w:tcW w:w="1080" w:type="dxa"/>
            <w:noWrap w:val="0"/>
            <w:vAlign w:val="center"/>
          </w:tcPr>
          <w:p w14:paraId="33B51C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1080" w:type="dxa"/>
            <w:noWrap w:val="0"/>
            <w:vAlign w:val="center"/>
          </w:tcPr>
          <w:p w14:paraId="1C13F5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r>
      <w:tr w14:paraId="5F4DB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03628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公共设施管理业</w:t>
            </w:r>
          </w:p>
        </w:tc>
        <w:tc>
          <w:tcPr>
            <w:tcW w:w="1080" w:type="dxa"/>
            <w:noWrap w:val="0"/>
            <w:vAlign w:val="center"/>
          </w:tcPr>
          <w:p w14:paraId="64C7A8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044C4C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1080" w:type="dxa"/>
            <w:noWrap w:val="0"/>
            <w:vAlign w:val="center"/>
          </w:tcPr>
          <w:p w14:paraId="418578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CA6E0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446</w:t>
            </w:r>
          </w:p>
        </w:tc>
        <w:tc>
          <w:tcPr>
            <w:tcW w:w="1080" w:type="dxa"/>
            <w:noWrap w:val="0"/>
            <w:vAlign w:val="center"/>
          </w:tcPr>
          <w:p w14:paraId="51BA77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262</w:t>
            </w:r>
          </w:p>
        </w:tc>
        <w:tc>
          <w:tcPr>
            <w:tcW w:w="1080" w:type="dxa"/>
            <w:noWrap w:val="0"/>
            <w:vAlign w:val="center"/>
          </w:tcPr>
          <w:p w14:paraId="0D99C2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w:t>
            </w:r>
          </w:p>
        </w:tc>
      </w:tr>
      <w:tr w14:paraId="75D49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0C31B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居民服务、修理和其他服务业</w:t>
            </w:r>
          </w:p>
        </w:tc>
        <w:tc>
          <w:tcPr>
            <w:tcW w:w="1080" w:type="dxa"/>
            <w:noWrap w:val="0"/>
            <w:vAlign w:val="center"/>
          </w:tcPr>
          <w:p w14:paraId="4E3A36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w:t>
            </w:r>
          </w:p>
        </w:tc>
        <w:tc>
          <w:tcPr>
            <w:tcW w:w="1080" w:type="dxa"/>
            <w:noWrap w:val="0"/>
            <w:vAlign w:val="center"/>
          </w:tcPr>
          <w:p w14:paraId="181861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w:t>
            </w:r>
          </w:p>
        </w:tc>
        <w:tc>
          <w:tcPr>
            <w:tcW w:w="1080" w:type="dxa"/>
            <w:noWrap w:val="0"/>
            <w:vAlign w:val="center"/>
          </w:tcPr>
          <w:p w14:paraId="02F986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6D0F9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365</w:t>
            </w:r>
          </w:p>
        </w:tc>
        <w:tc>
          <w:tcPr>
            <w:tcW w:w="1080" w:type="dxa"/>
            <w:noWrap w:val="0"/>
            <w:vAlign w:val="center"/>
          </w:tcPr>
          <w:p w14:paraId="68B3AF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127</w:t>
            </w:r>
          </w:p>
        </w:tc>
        <w:tc>
          <w:tcPr>
            <w:tcW w:w="1080" w:type="dxa"/>
            <w:noWrap w:val="0"/>
            <w:vAlign w:val="center"/>
          </w:tcPr>
          <w:p w14:paraId="26F7B9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w:t>
            </w:r>
          </w:p>
        </w:tc>
      </w:tr>
      <w:tr w14:paraId="12F13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2B565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居民服务业</w:t>
            </w:r>
          </w:p>
        </w:tc>
        <w:tc>
          <w:tcPr>
            <w:tcW w:w="1080" w:type="dxa"/>
            <w:noWrap w:val="0"/>
            <w:vAlign w:val="center"/>
          </w:tcPr>
          <w:p w14:paraId="3B196D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1080" w:type="dxa"/>
            <w:noWrap w:val="0"/>
            <w:vAlign w:val="center"/>
          </w:tcPr>
          <w:p w14:paraId="5E8534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1080" w:type="dxa"/>
            <w:noWrap w:val="0"/>
            <w:vAlign w:val="center"/>
          </w:tcPr>
          <w:p w14:paraId="7B6236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13E91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239</w:t>
            </w:r>
          </w:p>
        </w:tc>
        <w:tc>
          <w:tcPr>
            <w:tcW w:w="1080" w:type="dxa"/>
            <w:noWrap w:val="0"/>
            <w:vAlign w:val="center"/>
          </w:tcPr>
          <w:p w14:paraId="07C7E1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98</w:t>
            </w:r>
          </w:p>
        </w:tc>
        <w:tc>
          <w:tcPr>
            <w:tcW w:w="1080" w:type="dxa"/>
            <w:noWrap w:val="0"/>
            <w:vAlign w:val="center"/>
          </w:tcPr>
          <w:p w14:paraId="007F59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r>
      <w:tr w14:paraId="5AA48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61229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机动车、电子产品和日用产品修理业</w:t>
            </w:r>
          </w:p>
        </w:tc>
        <w:tc>
          <w:tcPr>
            <w:tcW w:w="1080" w:type="dxa"/>
            <w:noWrap w:val="0"/>
            <w:vAlign w:val="center"/>
          </w:tcPr>
          <w:p w14:paraId="043C64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1080" w:type="dxa"/>
            <w:noWrap w:val="0"/>
            <w:vAlign w:val="center"/>
          </w:tcPr>
          <w:p w14:paraId="073B6E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1080" w:type="dxa"/>
            <w:noWrap w:val="0"/>
            <w:vAlign w:val="center"/>
          </w:tcPr>
          <w:p w14:paraId="2DBB16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206E7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90</w:t>
            </w:r>
          </w:p>
        </w:tc>
        <w:tc>
          <w:tcPr>
            <w:tcW w:w="1080" w:type="dxa"/>
            <w:noWrap w:val="0"/>
            <w:vAlign w:val="center"/>
          </w:tcPr>
          <w:p w14:paraId="235E37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1080" w:type="dxa"/>
            <w:noWrap w:val="0"/>
            <w:vAlign w:val="center"/>
          </w:tcPr>
          <w:p w14:paraId="4A465C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r>
      <w:tr w14:paraId="0A7AF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8CF4F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其他服务业</w:t>
            </w:r>
          </w:p>
        </w:tc>
        <w:tc>
          <w:tcPr>
            <w:tcW w:w="1080" w:type="dxa"/>
            <w:noWrap w:val="0"/>
            <w:vAlign w:val="center"/>
          </w:tcPr>
          <w:p w14:paraId="54E10A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w:t>
            </w:r>
          </w:p>
        </w:tc>
        <w:tc>
          <w:tcPr>
            <w:tcW w:w="1080" w:type="dxa"/>
            <w:noWrap w:val="0"/>
            <w:vAlign w:val="center"/>
          </w:tcPr>
          <w:p w14:paraId="5807CF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w:t>
            </w:r>
          </w:p>
        </w:tc>
        <w:tc>
          <w:tcPr>
            <w:tcW w:w="1080" w:type="dxa"/>
            <w:noWrap w:val="0"/>
            <w:vAlign w:val="center"/>
          </w:tcPr>
          <w:p w14:paraId="37B766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36235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w:t>
            </w:r>
          </w:p>
        </w:tc>
        <w:tc>
          <w:tcPr>
            <w:tcW w:w="1080" w:type="dxa"/>
            <w:noWrap w:val="0"/>
            <w:vAlign w:val="center"/>
          </w:tcPr>
          <w:p w14:paraId="6BB46D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w:t>
            </w:r>
          </w:p>
        </w:tc>
        <w:tc>
          <w:tcPr>
            <w:tcW w:w="1080" w:type="dxa"/>
            <w:noWrap w:val="0"/>
            <w:vAlign w:val="center"/>
          </w:tcPr>
          <w:p w14:paraId="48E717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r>
      <w:tr w14:paraId="4550A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F0EC6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教育</w:t>
            </w:r>
          </w:p>
        </w:tc>
        <w:tc>
          <w:tcPr>
            <w:tcW w:w="1080" w:type="dxa"/>
            <w:noWrap w:val="0"/>
            <w:vAlign w:val="center"/>
          </w:tcPr>
          <w:p w14:paraId="25F0BE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112</w:t>
            </w:r>
          </w:p>
        </w:tc>
        <w:tc>
          <w:tcPr>
            <w:tcW w:w="1080" w:type="dxa"/>
            <w:noWrap w:val="0"/>
            <w:vAlign w:val="center"/>
          </w:tcPr>
          <w:p w14:paraId="52AB44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92</w:t>
            </w:r>
          </w:p>
        </w:tc>
        <w:tc>
          <w:tcPr>
            <w:tcW w:w="1080" w:type="dxa"/>
            <w:noWrap w:val="0"/>
            <w:vAlign w:val="center"/>
          </w:tcPr>
          <w:p w14:paraId="72F1A6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w:t>
            </w:r>
          </w:p>
        </w:tc>
        <w:tc>
          <w:tcPr>
            <w:tcW w:w="1080" w:type="dxa"/>
            <w:noWrap w:val="0"/>
            <w:vAlign w:val="center"/>
          </w:tcPr>
          <w:p w14:paraId="6BD312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5742</w:t>
            </w:r>
          </w:p>
        </w:tc>
        <w:tc>
          <w:tcPr>
            <w:tcW w:w="1080" w:type="dxa"/>
            <w:noWrap w:val="0"/>
            <w:vAlign w:val="center"/>
          </w:tcPr>
          <w:p w14:paraId="2A4F52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2716</w:t>
            </w:r>
          </w:p>
        </w:tc>
        <w:tc>
          <w:tcPr>
            <w:tcW w:w="1080" w:type="dxa"/>
            <w:noWrap w:val="0"/>
            <w:vAlign w:val="center"/>
          </w:tcPr>
          <w:p w14:paraId="18C416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234</w:t>
            </w:r>
          </w:p>
        </w:tc>
      </w:tr>
      <w:tr w14:paraId="1A675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5B786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教育</w:t>
            </w:r>
          </w:p>
        </w:tc>
        <w:tc>
          <w:tcPr>
            <w:tcW w:w="1080" w:type="dxa"/>
            <w:noWrap w:val="0"/>
            <w:vAlign w:val="center"/>
          </w:tcPr>
          <w:p w14:paraId="40B216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112</w:t>
            </w:r>
          </w:p>
        </w:tc>
        <w:tc>
          <w:tcPr>
            <w:tcW w:w="1080" w:type="dxa"/>
            <w:noWrap w:val="0"/>
            <w:vAlign w:val="center"/>
          </w:tcPr>
          <w:p w14:paraId="2F81A2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92</w:t>
            </w:r>
          </w:p>
        </w:tc>
        <w:tc>
          <w:tcPr>
            <w:tcW w:w="1080" w:type="dxa"/>
            <w:noWrap w:val="0"/>
            <w:vAlign w:val="center"/>
          </w:tcPr>
          <w:p w14:paraId="6A869D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w:t>
            </w:r>
          </w:p>
        </w:tc>
        <w:tc>
          <w:tcPr>
            <w:tcW w:w="1080" w:type="dxa"/>
            <w:noWrap w:val="0"/>
            <w:vAlign w:val="center"/>
          </w:tcPr>
          <w:p w14:paraId="0364E6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5742</w:t>
            </w:r>
          </w:p>
        </w:tc>
        <w:tc>
          <w:tcPr>
            <w:tcW w:w="1080" w:type="dxa"/>
            <w:noWrap w:val="0"/>
            <w:vAlign w:val="center"/>
          </w:tcPr>
          <w:p w14:paraId="550D27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2716</w:t>
            </w:r>
          </w:p>
        </w:tc>
        <w:tc>
          <w:tcPr>
            <w:tcW w:w="1080" w:type="dxa"/>
            <w:noWrap w:val="0"/>
            <w:vAlign w:val="center"/>
          </w:tcPr>
          <w:p w14:paraId="0C86AC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234</w:t>
            </w:r>
          </w:p>
        </w:tc>
      </w:tr>
      <w:tr w14:paraId="1E390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30A81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卫生和社会工作</w:t>
            </w:r>
          </w:p>
        </w:tc>
        <w:tc>
          <w:tcPr>
            <w:tcW w:w="1080" w:type="dxa"/>
            <w:noWrap w:val="0"/>
            <w:vAlign w:val="center"/>
          </w:tcPr>
          <w:p w14:paraId="36E439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47</w:t>
            </w:r>
          </w:p>
        </w:tc>
        <w:tc>
          <w:tcPr>
            <w:tcW w:w="1080" w:type="dxa"/>
            <w:noWrap w:val="0"/>
            <w:vAlign w:val="center"/>
          </w:tcPr>
          <w:p w14:paraId="5776DD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w:t>
            </w:r>
          </w:p>
        </w:tc>
        <w:tc>
          <w:tcPr>
            <w:tcW w:w="1080" w:type="dxa"/>
            <w:noWrap w:val="0"/>
            <w:vAlign w:val="center"/>
          </w:tcPr>
          <w:p w14:paraId="64FADD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082FAF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1851</w:t>
            </w:r>
          </w:p>
        </w:tc>
        <w:tc>
          <w:tcPr>
            <w:tcW w:w="1080" w:type="dxa"/>
            <w:noWrap w:val="0"/>
            <w:vAlign w:val="center"/>
          </w:tcPr>
          <w:p w14:paraId="328F4F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1185</w:t>
            </w:r>
          </w:p>
        </w:tc>
        <w:tc>
          <w:tcPr>
            <w:tcW w:w="1080" w:type="dxa"/>
            <w:noWrap w:val="0"/>
            <w:vAlign w:val="center"/>
          </w:tcPr>
          <w:p w14:paraId="3FE2A6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347</w:t>
            </w:r>
          </w:p>
        </w:tc>
      </w:tr>
      <w:tr w14:paraId="4866A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BCBD2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卫生</w:t>
            </w:r>
          </w:p>
        </w:tc>
        <w:tc>
          <w:tcPr>
            <w:tcW w:w="1080" w:type="dxa"/>
            <w:noWrap w:val="0"/>
            <w:vAlign w:val="center"/>
          </w:tcPr>
          <w:p w14:paraId="1F762F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w:t>
            </w:r>
          </w:p>
        </w:tc>
        <w:tc>
          <w:tcPr>
            <w:tcW w:w="1080" w:type="dxa"/>
            <w:noWrap w:val="0"/>
            <w:vAlign w:val="center"/>
          </w:tcPr>
          <w:p w14:paraId="345837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w:t>
            </w:r>
          </w:p>
        </w:tc>
        <w:tc>
          <w:tcPr>
            <w:tcW w:w="1080" w:type="dxa"/>
            <w:noWrap w:val="0"/>
            <w:vAlign w:val="center"/>
          </w:tcPr>
          <w:p w14:paraId="4DA027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7F0D4E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1781</w:t>
            </w:r>
          </w:p>
        </w:tc>
        <w:tc>
          <w:tcPr>
            <w:tcW w:w="1080" w:type="dxa"/>
            <w:noWrap w:val="0"/>
            <w:vAlign w:val="center"/>
          </w:tcPr>
          <w:p w14:paraId="4F5793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1185</w:t>
            </w:r>
          </w:p>
        </w:tc>
        <w:tc>
          <w:tcPr>
            <w:tcW w:w="1080" w:type="dxa"/>
            <w:noWrap w:val="0"/>
            <w:vAlign w:val="center"/>
          </w:tcPr>
          <w:p w14:paraId="594A53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326</w:t>
            </w:r>
          </w:p>
        </w:tc>
      </w:tr>
      <w:tr w14:paraId="721BE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157B5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社会工作</w:t>
            </w:r>
          </w:p>
        </w:tc>
        <w:tc>
          <w:tcPr>
            <w:tcW w:w="1080" w:type="dxa"/>
            <w:noWrap w:val="0"/>
            <w:vAlign w:val="center"/>
          </w:tcPr>
          <w:p w14:paraId="048B4B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w:t>
            </w:r>
          </w:p>
        </w:tc>
        <w:tc>
          <w:tcPr>
            <w:tcW w:w="1080" w:type="dxa"/>
            <w:noWrap w:val="0"/>
            <w:vAlign w:val="center"/>
          </w:tcPr>
          <w:p w14:paraId="14537C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w:t>
            </w:r>
          </w:p>
        </w:tc>
        <w:tc>
          <w:tcPr>
            <w:tcW w:w="1080" w:type="dxa"/>
            <w:noWrap w:val="0"/>
            <w:vAlign w:val="center"/>
          </w:tcPr>
          <w:p w14:paraId="7670BC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0EB52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70</w:t>
            </w:r>
          </w:p>
        </w:tc>
        <w:tc>
          <w:tcPr>
            <w:tcW w:w="1080" w:type="dxa"/>
            <w:noWrap w:val="0"/>
            <w:vAlign w:val="center"/>
          </w:tcPr>
          <w:p w14:paraId="7C88BA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5FC00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21</w:t>
            </w:r>
          </w:p>
        </w:tc>
      </w:tr>
      <w:tr w14:paraId="0A64B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590869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文化、体育和娱乐业</w:t>
            </w:r>
          </w:p>
        </w:tc>
        <w:tc>
          <w:tcPr>
            <w:tcW w:w="1080" w:type="dxa"/>
            <w:noWrap w:val="0"/>
            <w:vAlign w:val="center"/>
          </w:tcPr>
          <w:p w14:paraId="31E3BD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51</w:t>
            </w:r>
          </w:p>
        </w:tc>
        <w:tc>
          <w:tcPr>
            <w:tcW w:w="1080" w:type="dxa"/>
            <w:noWrap w:val="0"/>
            <w:vAlign w:val="center"/>
          </w:tcPr>
          <w:p w14:paraId="27E86D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50</w:t>
            </w:r>
          </w:p>
        </w:tc>
        <w:tc>
          <w:tcPr>
            <w:tcW w:w="1080" w:type="dxa"/>
            <w:noWrap w:val="0"/>
            <w:vAlign w:val="center"/>
          </w:tcPr>
          <w:p w14:paraId="7ED223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779DE6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715</w:t>
            </w:r>
          </w:p>
        </w:tc>
        <w:tc>
          <w:tcPr>
            <w:tcW w:w="1080" w:type="dxa"/>
            <w:noWrap w:val="0"/>
            <w:vAlign w:val="center"/>
          </w:tcPr>
          <w:p w14:paraId="0C29D8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216</w:t>
            </w:r>
          </w:p>
        </w:tc>
        <w:tc>
          <w:tcPr>
            <w:tcW w:w="1080" w:type="dxa"/>
            <w:noWrap w:val="0"/>
            <w:vAlign w:val="center"/>
          </w:tcPr>
          <w:p w14:paraId="533041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74</w:t>
            </w:r>
          </w:p>
        </w:tc>
      </w:tr>
      <w:tr w14:paraId="335BE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03E3E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新闻和出版业</w:t>
            </w:r>
          </w:p>
        </w:tc>
        <w:tc>
          <w:tcPr>
            <w:tcW w:w="1080" w:type="dxa"/>
            <w:noWrap w:val="0"/>
            <w:vAlign w:val="center"/>
          </w:tcPr>
          <w:p w14:paraId="304547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4447DC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4FEAE8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0BA55C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FDBC3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30399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r>
      <w:tr w14:paraId="550A6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2BB2A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广播、电视、电影和影视录音制作业</w:t>
            </w:r>
          </w:p>
        </w:tc>
        <w:tc>
          <w:tcPr>
            <w:tcW w:w="1080" w:type="dxa"/>
            <w:noWrap w:val="0"/>
            <w:vAlign w:val="center"/>
          </w:tcPr>
          <w:p w14:paraId="19CC1E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1080" w:type="dxa"/>
            <w:noWrap w:val="0"/>
            <w:vAlign w:val="center"/>
          </w:tcPr>
          <w:p w14:paraId="6DA62E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6CD9A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291EB6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162</w:t>
            </w:r>
          </w:p>
        </w:tc>
        <w:tc>
          <w:tcPr>
            <w:tcW w:w="1080" w:type="dxa"/>
            <w:noWrap w:val="0"/>
            <w:vAlign w:val="center"/>
          </w:tcPr>
          <w:p w14:paraId="313E5F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61</w:t>
            </w:r>
          </w:p>
        </w:tc>
        <w:tc>
          <w:tcPr>
            <w:tcW w:w="1080" w:type="dxa"/>
            <w:noWrap w:val="0"/>
            <w:vAlign w:val="center"/>
          </w:tcPr>
          <w:p w14:paraId="774FEA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r>
      <w:tr w14:paraId="0118A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DBA4E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文化艺术业</w:t>
            </w:r>
          </w:p>
        </w:tc>
        <w:tc>
          <w:tcPr>
            <w:tcW w:w="1080" w:type="dxa"/>
            <w:noWrap w:val="0"/>
            <w:vAlign w:val="center"/>
          </w:tcPr>
          <w:p w14:paraId="5B54B4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46</w:t>
            </w:r>
          </w:p>
        </w:tc>
        <w:tc>
          <w:tcPr>
            <w:tcW w:w="1080" w:type="dxa"/>
            <w:noWrap w:val="0"/>
            <w:vAlign w:val="center"/>
          </w:tcPr>
          <w:p w14:paraId="3F66D2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46</w:t>
            </w:r>
          </w:p>
        </w:tc>
        <w:tc>
          <w:tcPr>
            <w:tcW w:w="1080" w:type="dxa"/>
            <w:noWrap w:val="0"/>
            <w:vAlign w:val="center"/>
          </w:tcPr>
          <w:p w14:paraId="071D80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6F499D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520</w:t>
            </w:r>
          </w:p>
        </w:tc>
        <w:tc>
          <w:tcPr>
            <w:tcW w:w="1080" w:type="dxa"/>
            <w:noWrap w:val="0"/>
            <w:vAlign w:val="center"/>
          </w:tcPr>
          <w:p w14:paraId="4D89F6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130</w:t>
            </w:r>
          </w:p>
        </w:tc>
        <w:tc>
          <w:tcPr>
            <w:tcW w:w="1080" w:type="dxa"/>
            <w:noWrap w:val="0"/>
            <w:vAlign w:val="center"/>
          </w:tcPr>
          <w:p w14:paraId="1972F7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67</w:t>
            </w:r>
          </w:p>
        </w:tc>
      </w:tr>
      <w:tr w14:paraId="41B1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379988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娱乐业</w:t>
            </w:r>
          </w:p>
        </w:tc>
        <w:tc>
          <w:tcPr>
            <w:tcW w:w="1080" w:type="dxa"/>
            <w:noWrap w:val="0"/>
            <w:vAlign w:val="center"/>
          </w:tcPr>
          <w:p w14:paraId="7BC87D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68BF70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0DF637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31A35B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w:t>
            </w:r>
          </w:p>
        </w:tc>
        <w:tc>
          <w:tcPr>
            <w:tcW w:w="1080" w:type="dxa"/>
            <w:noWrap w:val="0"/>
            <w:vAlign w:val="center"/>
          </w:tcPr>
          <w:p w14:paraId="268735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c>
          <w:tcPr>
            <w:tcW w:w="1080" w:type="dxa"/>
            <w:noWrap w:val="0"/>
            <w:vAlign w:val="center"/>
          </w:tcPr>
          <w:p w14:paraId="15A22E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181F4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0FDA9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公共管理、社会保障和社会组织</w:t>
            </w:r>
          </w:p>
        </w:tc>
        <w:tc>
          <w:tcPr>
            <w:tcW w:w="1080" w:type="dxa"/>
            <w:noWrap w:val="0"/>
            <w:vAlign w:val="center"/>
          </w:tcPr>
          <w:p w14:paraId="56130B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558</w:t>
            </w:r>
          </w:p>
        </w:tc>
        <w:tc>
          <w:tcPr>
            <w:tcW w:w="1080" w:type="dxa"/>
            <w:noWrap w:val="0"/>
            <w:vAlign w:val="center"/>
          </w:tcPr>
          <w:p w14:paraId="4A0F1B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309</w:t>
            </w:r>
          </w:p>
        </w:tc>
        <w:tc>
          <w:tcPr>
            <w:tcW w:w="1080" w:type="dxa"/>
            <w:noWrap w:val="0"/>
            <w:vAlign w:val="center"/>
          </w:tcPr>
          <w:p w14:paraId="06382F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249</w:t>
            </w:r>
          </w:p>
        </w:tc>
        <w:tc>
          <w:tcPr>
            <w:tcW w:w="1080" w:type="dxa"/>
            <w:noWrap w:val="0"/>
            <w:vAlign w:val="center"/>
          </w:tcPr>
          <w:p w14:paraId="4BA696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9535</w:t>
            </w:r>
          </w:p>
        </w:tc>
        <w:tc>
          <w:tcPr>
            <w:tcW w:w="1080" w:type="dxa"/>
            <w:noWrap w:val="0"/>
            <w:vAlign w:val="center"/>
          </w:tcPr>
          <w:p w14:paraId="2BAE39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2750</w:t>
            </w:r>
          </w:p>
        </w:tc>
        <w:tc>
          <w:tcPr>
            <w:tcW w:w="1080" w:type="dxa"/>
            <w:noWrap w:val="0"/>
            <w:vAlign w:val="center"/>
          </w:tcPr>
          <w:p w14:paraId="3D02BE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792</w:t>
            </w:r>
          </w:p>
        </w:tc>
      </w:tr>
      <w:tr w14:paraId="07884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4460" w:type="dxa"/>
            <w:noWrap w:val="0"/>
            <w:vAlign w:val="center"/>
          </w:tcPr>
          <w:p w14:paraId="0AB74D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中国共产党机关</w:t>
            </w:r>
          </w:p>
        </w:tc>
        <w:tc>
          <w:tcPr>
            <w:tcW w:w="1080" w:type="dxa"/>
            <w:noWrap w:val="0"/>
            <w:vAlign w:val="center"/>
          </w:tcPr>
          <w:p w14:paraId="76ECEE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1080" w:type="dxa"/>
            <w:noWrap w:val="0"/>
            <w:vAlign w:val="center"/>
          </w:tcPr>
          <w:p w14:paraId="2E9B48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1080" w:type="dxa"/>
            <w:noWrap w:val="0"/>
            <w:vAlign w:val="center"/>
          </w:tcPr>
          <w:p w14:paraId="7AE09A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5682E7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154</w:t>
            </w:r>
          </w:p>
        </w:tc>
        <w:tc>
          <w:tcPr>
            <w:tcW w:w="1080" w:type="dxa"/>
            <w:noWrap w:val="0"/>
            <w:vAlign w:val="center"/>
          </w:tcPr>
          <w:p w14:paraId="3FD14E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37</w:t>
            </w:r>
          </w:p>
        </w:tc>
        <w:tc>
          <w:tcPr>
            <w:tcW w:w="1080" w:type="dxa"/>
            <w:noWrap w:val="0"/>
            <w:vAlign w:val="center"/>
          </w:tcPr>
          <w:p w14:paraId="709981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w:t>
            </w:r>
          </w:p>
        </w:tc>
      </w:tr>
      <w:tr w14:paraId="4977C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30678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国家机构</w:t>
            </w:r>
          </w:p>
        </w:tc>
        <w:tc>
          <w:tcPr>
            <w:tcW w:w="1080" w:type="dxa"/>
            <w:noWrap w:val="0"/>
            <w:vAlign w:val="center"/>
          </w:tcPr>
          <w:p w14:paraId="01E6C6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123</w:t>
            </w:r>
          </w:p>
        </w:tc>
        <w:tc>
          <w:tcPr>
            <w:tcW w:w="1080" w:type="dxa"/>
            <w:noWrap w:val="0"/>
            <w:vAlign w:val="center"/>
          </w:tcPr>
          <w:p w14:paraId="49A5E8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78</w:t>
            </w:r>
          </w:p>
        </w:tc>
        <w:tc>
          <w:tcPr>
            <w:tcW w:w="1080" w:type="dxa"/>
            <w:noWrap w:val="0"/>
            <w:vAlign w:val="center"/>
          </w:tcPr>
          <w:p w14:paraId="567BFC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w:t>
            </w:r>
          </w:p>
        </w:tc>
        <w:tc>
          <w:tcPr>
            <w:tcW w:w="1080" w:type="dxa"/>
            <w:noWrap w:val="0"/>
            <w:vAlign w:val="center"/>
          </w:tcPr>
          <w:p w14:paraId="5FB31A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3783</w:t>
            </w:r>
          </w:p>
        </w:tc>
        <w:tc>
          <w:tcPr>
            <w:tcW w:w="1080" w:type="dxa"/>
            <w:noWrap w:val="0"/>
            <w:vAlign w:val="center"/>
          </w:tcPr>
          <w:p w14:paraId="2A25CA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1034</w:t>
            </w:r>
          </w:p>
        </w:tc>
        <w:tc>
          <w:tcPr>
            <w:tcW w:w="1080" w:type="dxa"/>
            <w:noWrap w:val="0"/>
            <w:vAlign w:val="center"/>
          </w:tcPr>
          <w:p w14:paraId="5968E6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332</w:t>
            </w:r>
          </w:p>
        </w:tc>
      </w:tr>
      <w:tr w14:paraId="2F5F6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2F098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人民政协、民主党派</w:t>
            </w:r>
          </w:p>
        </w:tc>
        <w:tc>
          <w:tcPr>
            <w:tcW w:w="1080" w:type="dxa"/>
            <w:noWrap w:val="0"/>
            <w:vAlign w:val="center"/>
          </w:tcPr>
          <w:p w14:paraId="59C89C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5D0248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1080" w:type="dxa"/>
            <w:noWrap w:val="0"/>
            <w:vAlign w:val="center"/>
          </w:tcPr>
          <w:p w14:paraId="6CF8F3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F5A5D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106</w:t>
            </w:r>
          </w:p>
        </w:tc>
        <w:tc>
          <w:tcPr>
            <w:tcW w:w="1080" w:type="dxa"/>
            <w:noWrap w:val="0"/>
            <w:vAlign w:val="center"/>
          </w:tcPr>
          <w:p w14:paraId="05A069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w:t>
            </w:r>
          </w:p>
        </w:tc>
        <w:tc>
          <w:tcPr>
            <w:tcW w:w="1080" w:type="dxa"/>
            <w:noWrap w:val="0"/>
            <w:vAlign w:val="center"/>
          </w:tcPr>
          <w:p w14:paraId="7E8181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r>
      <w:tr w14:paraId="2B4D6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1CCCE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群众团体、社会团体和其他成员组织</w:t>
            </w:r>
          </w:p>
        </w:tc>
        <w:tc>
          <w:tcPr>
            <w:tcW w:w="1080" w:type="dxa"/>
            <w:noWrap w:val="0"/>
            <w:vAlign w:val="center"/>
          </w:tcPr>
          <w:p w14:paraId="105A0B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187</w:t>
            </w:r>
          </w:p>
        </w:tc>
        <w:tc>
          <w:tcPr>
            <w:tcW w:w="1080" w:type="dxa"/>
            <w:noWrap w:val="0"/>
            <w:vAlign w:val="center"/>
          </w:tcPr>
          <w:p w14:paraId="3A8F20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187</w:t>
            </w:r>
          </w:p>
        </w:tc>
        <w:tc>
          <w:tcPr>
            <w:tcW w:w="1080" w:type="dxa"/>
            <w:noWrap w:val="0"/>
            <w:vAlign w:val="center"/>
          </w:tcPr>
          <w:p w14:paraId="585D92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215CF7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3923</w:t>
            </w:r>
          </w:p>
        </w:tc>
        <w:tc>
          <w:tcPr>
            <w:tcW w:w="1080" w:type="dxa"/>
            <w:noWrap w:val="0"/>
            <w:vAlign w:val="center"/>
          </w:tcPr>
          <w:p w14:paraId="6BCB82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1255</w:t>
            </w:r>
          </w:p>
        </w:tc>
        <w:tc>
          <w:tcPr>
            <w:tcW w:w="1080" w:type="dxa"/>
            <w:noWrap w:val="0"/>
            <w:vAlign w:val="center"/>
          </w:tcPr>
          <w:p w14:paraId="78997D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189</w:t>
            </w:r>
          </w:p>
        </w:tc>
      </w:tr>
      <w:tr w14:paraId="6DA84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147B3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基层群众自治组织</w:t>
            </w:r>
          </w:p>
        </w:tc>
        <w:tc>
          <w:tcPr>
            <w:tcW w:w="1080" w:type="dxa"/>
            <w:noWrap w:val="0"/>
            <w:vAlign w:val="center"/>
          </w:tcPr>
          <w:p w14:paraId="571577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232</w:t>
            </w:r>
          </w:p>
        </w:tc>
        <w:tc>
          <w:tcPr>
            <w:tcW w:w="1080" w:type="dxa"/>
            <w:noWrap w:val="0"/>
            <w:vAlign w:val="center"/>
          </w:tcPr>
          <w:p w14:paraId="2FDA88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w:t>
            </w:r>
          </w:p>
        </w:tc>
        <w:tc>
          <w:tcPr>
            <w:tcW w:w="1080" w:type="dxa"/>
            <w:noWrap w:val="0"/>
            <w:vAlign w:val="center"/>
          </w:tcPr>
          <w:p w14:paraId="212465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203</w:t>
            </w:r>
          </w:p>
        </w:tc>
        <w:tc>
          <w:tcPr>
            <w:tcW w:w="1080" w:type="dxa"/>
            <w:noWrap w:val="0"/>
            <w:vAlign w:val="center"/>
          </w:tcPr>
          <w:p w14:paraId="43ABAA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1569</w:t>
            </w:r>
          </w:p>
        </w:tc>
        <w:tc>
          <w:tcPr>
            <w:tcW w:w="1080" w:type="dxa"/>
            <w:noWrap w:val="0"/>
            <w:vAlign w:val="center"/>
          </w:tcPr>
          <w:p w14:paraId="4E78E0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397</w:t>
            </w:r>
          </w:p>
        </w:tc>
        <w:tc>
          <w:tcPr>
            <w:tcW w:w="1080" w:type="dxa"/>
            <w:noWrap w:val="0"/>
            <w:vAlign w:val="center"/>
          </w:tcPr>
          <w:p w14:paraId="22776A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233</w:t>
            </w:r>
          </w:p>
        </w:tc>
      </w:tr>
      <w:tr w14:paraId="74E8E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10940" w:type="dxa"/>
            <w:gridSpan w:val="7"/>
            <w:noWrap w:val="0"/>
            <w:vAlign w:val="center"/>
          </w:tcPr>
          <w:p w14:paraId="13CF31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二、按机构类型分组</w:t>
            </w:r>
          </w:p>
        </w:tc>
      </w:tr>
      <w:tr w14:paraId="2F129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F9306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企业</w:t>
            </w:r>
          </w:p>
        </w:tc>
        <w:tc>
          <w:tcPr>
            <w:tcW w:w="1080" w:type="dxa"/>
            <w:noWrap w:val="0"/>
            <w:vAlign w:val="center"/>
          </w:tcPr>
          <w:p w14:paraId="712CEE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1448</w:t>
            </w:r>
          </w:p>
        </w:tc>
        <w:tc>
          <w:tcPr>
            <w:tcW w:w="1080" w:type="dxa"/>
            <w:noWrap w:val="0"/>
            <w:vAlign w:val="center"/>
          </w:tcPr>
          <w:p w14:paraId="500034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1417</w:t>
            </w:r>
          </w:p>
        </w:tc>
        <w:tc>
          <w:tcPr>
            <w:tcW w:w="1080" w:type="dxa"/>
            <w:noWrap w:val="0"/>
            <w:vAlign w:val="center"/>
          </w:tcPr>
          <w:p w14:paraId="69C20C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w:t>
            </w:r>
          </w:p>
        </w:tc>
        <w:tc>
          <w:tcPr>
            <w:tcW w:w="1080" w:type="dxa"/>
            <w:noWrap w:val="0"/>
            <w:vAlign w:val="center"/>
          </w:tcPr>
          <w:p w14:paraId="6B185C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53868</w:t>
            </w:r>
          </w:p>
        </w:tc>
        <w:tc>
          <w:tcPr>
            <w:tcW w:w="1080" w:type="dxa"/>
            <w:noWrap w:val="0"/>
            <w:vAlign w:val="center"/>
          </w:tcPr>
          <w:p w14:paraId="796C70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16382</w:t>
            </w:r>
          </w:p>
        </w:tc>
        <w:tc>
          <w:tcPr>
            <w:tcW w:w="1080" w:type="dxa"/>
            <w:noWrap w:val="0"/>
            <w:vAlign w:val="center"/>
          </w:tcPr>
          <w:p w14:paraId="26838B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1891</w:t>
            </w:r>
          </w:p>
        </w:tc>
      </w:tr>
      <w:tr w14:paraId="7CD63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4878F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事业单位</w:t>
            </w:r>
          </w:p>
        </w:tc>
        <w:tc>
          <w:tcPr>
            <w:tcW w:w="1080" w:type="dxa"/>
            <w:noWrap w:val="0"/>
            <w:vAlign w:val="center"/>
          </w:tcPr>
          <w:p w14:paraId="4F863D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217</w:t>
            </w:r>
          </w:p>
        </w:tc>
        <w:tc>
          <w:tcPr>
            <w:tcW w:w="1080" w:type="dxa"/>
            <w:noWrap w:val="0"/>
            <w:vAlign w:val="center"/>
          </w:tcPr>
          <w:p w14:paraId="002DB3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183</w:t>
            </w:r>
          </w:p>
        </w:tc>
        <w:tc>
          <w:tcPr>
            <w:tcW w:w="1080" w:type="dxa"/>
            <w:noWrap w:val="0"/>
            <w:vAlign w:val="center"/>
          </w:tcPr>
          <w:p w14:paraId="4C58DD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w:t>
            </w:r>
          </w:p>
        </w:tc>
        <w:tc>
          <w:tcPr>
            <w:tcW w:w="1080" w:type="dxa"/>
            <w:noWrap w:val="0"/>
            <w:vAlign w:val="center"/>
          </w:tcPr>
          <w:p w14:paraId="3166A6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8888</w:t>
            </w:r>
          </w:p>
        </w:tc>
        <w:tc>
          <w:tcPr>
            <w:tcW w:w="1080" w:type="dxa"/>
            <w:noWrap w:val="0"/>
            <w:vAlign w:val="center"/>
          </w:tcPr>
          <w:p w14:paraId="406DF7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4009</w:t>
            </w:r>
          </w:p>
        </w:tc>
        <w:tc>
          <w:tcPr>
            <w:tcW w:w="1080" w:type="dxa"/>
            <w:noWrap w:val="0"/>
            <w:vAlign w:val="center"/>
          </w:tcPr>
          <w:p w14:paraId="0CFF58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571</w:t>
            </w:r>
          </w:p>
        </w:tc>
      </w:tr>
      <w:tr w14:paraId="785E5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065BA1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机关</w:t>
            </w:r>
          </w:p>
        </w:tc>
        <w:tc>
          <w:tcPr>
            <w:tcW w:w="1080" w:type="dxa"/>
            <w:noWrap w:val="0"/>
            <w:vAlign w:val="center"/>
          </w:tcPr>
          <w:p w14:paraId="43F01B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87</w:t>
            </w:r>
          </w:p>
        </w:tc>
        <w:tc>
          <w:tcPr>
            <w:tcW w:w="1080" w:type="dxa"/>
            <w:noWrap w:val="0"/>
            <w:vAlign w:val="center"/>
          </w:tcPr>
          <w:p w14:paraId="3B258B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44</w:t>
            </w:r>
          </w:p>
        </w:tc>
        <w:tc>
          <w:tcPr>
            <w:tcW w:w="1080" w:type="dxa"/>
            <w:noWrap w:val="0"/>
            <w:vAlign w:val="center"/>
          </w:tcPr>
          <w:p w14:paraId="27A1E3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43</w:t>
            </w:r>
          </w:p>
        </w:tc>
        <w:tc>
          <w:tcPr>
            <w:tcW w:w="1080" w:type="dxa"/>
            <w:noWrap w:val="0"/>
            <w:vAlign w:val="center"/>
          </w:tcPr>
          <w:p w14:paraId="757382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3435</w:t>
            </w:r>
          </w:p>
        </w:tc>
        <w:tc>
          <w:tcPr>
            <w:tcW w:w="1080" w:type="dxa"/>
            <w:noWrap w:val="0"/>
            <w:vAlign w:val="center"/>
          </w:tcPr>
          <w:p w14:paraId="4EA189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904</w:t>
            </w:r>
          </w:p>
        </w:tc>
        <w:tc>
          <w:tcPr>
            <w:tcW w:w="1080" w:type="dxa"/>
            <w:noWrap w:val="0"/>
            <w:vAlign w:val="center"/>
          </w:tcPr>
          <w:p w14:paraId="6C58CF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200</w:t>
            </w:r>
          </w:p>
        </w:tc>
      </w:tr>
      <w:tr w14:paraId="19BE9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6D0EF4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社会团体</w:t>
            </w:r>
          </w:p>
        </w:tc>
        <w:tc>
          <w:tcPr>
            <w:tcW w:w="1080" w:type="dxa"/>
            <w:noWrap w:val="0"/>
            <w:vAlign w:val="center"/>
          </w:tcPr>
          <w:p w14:paraId="056FB6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185</w:t>
            </w:r>
          </w:p>
        </w:tc>
        <w:tc>
          <w:tcPr>
            <w:tcW w:w="1080" w:type="dxa"/>
            <w:noWrap w:val="0"/>
            <w:vAlign w:val="center"/>
          </w:tcPr>
          <w:p w14:paraId="556471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185</w:t>
            </w:r>
          </w:p>
        </w:tc>
        <w:tc>
          <w:tcPr>
            <w:tcW w:w="1080" w:type="dxa"/>
            <w:noWrap w:val="0"/>
            <w:vAlign w:val="center"/>
          </w:tcPr>
          <w:p w14:paraId="489B88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55E105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3912</w:t>
            </w:r>
          </w:p>
        </w:tc>
        <w:tc>
          <w:tcPr>
            <w:tcW w:w="1080" w:type="dxa"/>
            <w:noWrap w:val="0"/>
            <w:vAlign w:val="center"/>
          </w:tcPr>
          <w:p w14:paraId="198644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1252</w:t>
            </w:r>
          </w:p>
        </w:tc>
        <w:tc>
          <w:tcPr>
            <w:tcW w:w="1080" w:type="dxa"/>
            <w:noWrap w:val="0"/>
            <w:vAlign w:val="center"/>
          </w:tcPr>
          <w:p w14:paraId="0D2C14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188</w:t>
            </w:r>
          </w:p>
        </w:tc>
      </w:tr>
      <w:tr w14:paraId="25F27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7ABA46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民办非企业单位</w:t>
            </w:r>
          </w:p>
        </w:tc>
        <w:tc>
          <w:tcPr>
            <w:tcW w:w="1080" w:type="dxa"/>
            <w:noWrap w:val="0"/>
            <w:vAlign w:val="center"/>
          </w:tcPr>
          <w:p w14:paraId="3686EB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w:t>
            </w:r>
          </w:p>
        </w:tc>
        <w:tc>
          <w:tcPr>
            <w:tcW w:w="1080" w:type="dxa"/>
            <w:noWrap w:val="0"/>
            <w:vAlign w:val="center"/>
          </w:tcPr>
          <w:p w14:paraId="6E57E8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w:t>
            </w:r>
          </w:p>
        </w:tc>
        <w:tc>
          <w:tcPr>
            <w:tcW w:w="1080" w:type="dxa"/>
            <w:noWrap w:val="0"/>
            <w:vAlign w:val="center"/>
          </w:tcPr>
          <w:p w14:paraId="260C2C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BF602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799</w:t>
            </w:r>
          </w:p>
        </w:tc>
        <w:tc>
          <w:tcPr>
            <w:tcW w:w="1080" w:type="dxa"/>
            <w:noWrap w:val="0"/>
            <w:vAlign w:val="center"/>
          </w:tcPr>
          <w:p w14:paraId="083130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645</w:t>
            </w:r>
          </w:p>
        </w:tc>
        <w:tc>
          <w:tcPr>
            <w:tcW w:w="1080" w:type="dxa"/>
            <w:noWrap w:val="0"/>
            <w:vAlign w:val="center"/>
          </w:tcPr>
          <w:p w14:paraId="0EB147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57</w:t>
            </w:r>
          </w:p>
        </w:tc>
      </w:tr>
      <w:tr w14:paraId="721AA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14FC83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基金会</w:t>
            </w:r>
          </w:p>
        </w:tc>
        <w:tc>
          <w:tcPr>
            <w:tcW w:w="1080" w:type="dxa"/>
            <w:noWrap w:val="0"/>
            <w:vAlign w:val="center"/>
          </w:tcPr>
          <w:p w14:paraId="7F8998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80" w:type="dxa"/>
            <w:noWrap w:val="0"/>
            <w:vAlign w:val="center"/>
          </w:tcPr>
          <w:p w14:paraId="315164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80" w:type="dxa"/>
            <w:noWrap w:val="0"/>
            <w:vAlign w:val="center"/>
          </w:tcPr>
          <w:p w14:paraId="60D45C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80" w:type="dxa"/>
            <w:noWrap w:val="0"/>
            <w:vAlign w:val="center"/>
          </w:tcPr>
          <w:p w14:paraId="790460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80" w:type="dxa"/>
            <w:noWrap w:val="0"/>
            <w:vAlign w:val="center"/>
          </w:tcPr>
          <w:p w14:paraId="665E44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80" w:type="dxa"/>
            <w:noWrap w:val="0"/>
            <w:vAlign w:val="center"/>
          </w:tcPr>
          <w:p w14:paraId="348CC9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r>
      <w:tr w14:paraId="3EE5A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DBD87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居委会</w:t>
            </w:r>
          </w:p>
        </w:tc>
        <w:tc>
          <w:tcPr>
            <w:tcW w:w="1080" w:type="dxa"/>
            <w:noWrap w:val="0"/>
            <w:vAlign w:val="center"/>
          </w:tcPr>
          <w:p w14:paraId="2EB448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w:t>
            </w:r>
          </w:p>
        </w:tc>
        <w:tc>
          <w:tcPr>
            <w:tcW w:w="1080" w:type="dxa"/>
            <w:noWrap w:val="0"/>
            <w:vAlign w:val="center"/>
          </w:tcPr>
          <w:p w14:paraId="49CC5B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w:t>
            </w:r>
          </w:p>
        </w:tc>
        <w:tc>
          <w:tcPr>
            <w:tcW w:w="1080" w:type="dxa"/>
            <w:noWrap w:val="0"/>
            <w:vAlign w:val="center"/>
          </w:tcPr>
          <w:p w14:paraId="3F3285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1080" w:type="dxa"/>
            <w:noWrap w:val="0"/>
            <w:vAlign w:val="center"/>
          </w:tcPr>
          <w:p w14:paraId="10A6A9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103</w:t>
            </w:r>
          </w:p>
        </w:tc>
        <w:tc>
          <w:tcPr>
            <w:tcW w:w="1080" w:type="dxa"/>
            <w:noWrap w:val="0"/>
            <w:vAlign w:val="center"/>
          </w:tcPr>
          <w:p w14:paraId="2A3ECC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48</w:t>
            </w:r>
          </w:p>
        </w:tc>
        <w:tc>
          <w:tcPr>
            <w:tcW w:w="1080" w:type="dxa"/>
            <w:noWrap w:val="0"/>
            <w:vAlign w:val="center"/>
          </w:tcPr>
          <w:p w14:paraId="543647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r>
      <w:tr w14:paraId="4800C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4F728D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村委会</w:t>
            </w:r>
          </w:p>
        </w:tc>
        <w:tc>
          <w:tcPr>
            <w:tcW w:w="1080" w:type="dxa"/>
            <w:noWrap w:val="0"/>
            <w:vAlign w:val="center"/>
          </w:tcPr>
          <w:p w14:paraId="0F5005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208</w:t>
            </w:r>
          </w:p>
        </w:tc>
        <w:tc>
          <w:tcPr>
            <w:tcW w:w="1080" w:type="dxa"/>
            <w:noWrap w:val="0"/>
            <w:vAlign w:val="center"/>
          </w:tcPr>
          <w:p w14:paraId="116267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1080" w:type="dxa"/>
            <w:noWrap w:val="0"/>
            <w:vAlign w:val="center"/>
          </w:tcPr>
          <w:p w14:paraId="3C8447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203</w:t>
            </w:r>
          </w:p>
        </w:tc>
        <w:tc>
          <w:tcPr>
            <w:tcW w:w="1080" w:type="dxa"/>
            <w:noWrap w:val="0"/>
            <w:vAlign w:val="center"/>
          </w:tcPr>
          <w:p w14:paraId="7DD60F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1466</w:t>
            </w:r>
          </w:p>
        </w:tc>
        <w:tc>
          <w:tcPr>
            <w:tcW w:w="1080" w:type="dxa"/>
            <w:noWrap w:val="0"/>
            <w:vAlign w:val="center"/>
          </w:tcPr>
          <w:p w14:paraId="73B2DC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349</w:t>
            </w:r>
          </w:p>
        </w:tc>
        <w:tc>
          <w:tcPr>
            <w:tcW w:w="1080" w:type="dxa"/>
            <w:noWrap w:val="0"/>
            <w:vAlign w:val="center"/>
          </w:tcPr>
          <w:p w14:paraId="0EE0C2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208</w:t>
            </w:r>
          </w:p>
        </w:tc>
      </w:tr>
      <w:tr w14:paraId="78662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5" w:hRule="atLeast"/>
          <w:jc w:val="center"/>
        </w:trPr>
        <w:tc>
          <w:tcPr>
            <w:tcW w:w="4460" w:type="dxa"/>
            <w:noWrap w:val="0"/>
            <w:vAlign w:val="center"/>
          </w:tcPr>
          <w:p w14:paraId="2EC154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其他组织机构</w:t>
            </w:r>
          </w:p>
        </w:tc>
        <w:tc>
          <w:tcPr>
            <w:tcW w:w="1080" w:type="dxa"/>
            <w:noWrap w:val="0"/>
            <w:vAlign w:val="center"/>
          </w:tcPr>
          <w:p w14:paraId="3CA440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78</w:t>
            </w:r>
          </w:p>
        </w:tc>
        <w:tc>
          <w:tcPr>
            <w:tcW w:w="1080" w:type="dxa"/>
            <w:noWrap w:val="0"/>
            <w:vAlign w:val="center"/>
          </w:tcPr>
          <w:p w14:paraId="5DCE42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77</w:t>
            </w:r>
          </w:p>
        </w:tc>
        <w:tc>
          <w:tcPr>
            <w:tcW w:w="1080" w:type="dxa"/>
            <w:noWrap w:val="0"/>
            <w:vAlign w:val="center"/>
          </w:tcPr>
          <w:p w14:paraId="42B500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1080" w:type="dxa"/>
            <w:noWrap w:val="0"/>
            <w:vAlign w:val="center"/>
          </w:tcPr>
          <w:p w14:paraId="31AE3E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8477</w:t>
            </w:r>
          </w:p>
        </w:tc>
        <w:tc>
          <w:tcPr>
            <w:tcW w:w="1080" w:type="dxa"/>
            <w:noWrap w:val="0"/>
            <w:vAlign w:val="center"/>
          </w:tcPr>
          <w:p w14:paraId="06CEF1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2649</w:t>
            </w:r>
          </w:p>
        </w:tc>
        <w:tc>
          <w:tcPr>
            <w:tcW w:w="1080" w:type="dxa"/>
            <w:noWrap w:val="0"/>
            <w:vAlign w:val="center"/>
          </w:tcPr>
          <w:p w14:paraId="0C08CB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361</w:t>
            </w:r>
          </w:p>
        </w:tc>
      </w:tr>
    </w:tbl>
    <w:p w14:paraId="63051385">
      <w:pPr>
        <w:jc w:val="center"/>
        <w:rPr>
          <w:rFonts w:hAnsi="宋体" w:cs="宋体"/>
          <w:highlight w:val="none"/>
        </w:rPr>
        <w:sectPr>
          <w:pgSz w:w="11906" w:h="16838"/>
          <w:pgMar w:top="1440" w:right="1753" w:bottom="1440" w:left="1753" w:header="851" w:footer="992" w:gutter="0"/>
          <w:cols w:space="720" w:num="1"/>
          <w:docGrid w:type="lines" w:linePitch="312" w:charSpace="0"/>
        </w:sectPr>
      </w:pPr>
    </w:p>
    <w:p w14:paraId="5D015F9C">
      <w:pPr>
        <w:jc w:val="center"/>
        <w:rPr>
          <w:rFonts w:hint="eastAsia" w:hAnsi="宋体" w:cs="宋体"/>
          <w:highlight w:val="none"/>
        </w:rPr>
      </w:pPr>
      <w:bookmarkStart w:id="0" w:name="OLE_LINK2"/>
      <w:bookmarkStart w:id="1" w:name="OLE_LINK1"/>
      <w:r>
        <w:rPr>
          <w:rFonts w:hint="eastAsia" w:hAnsi="宋体" w:cs="宋体"/>
          <w:highlight w:val="none"/>
        </w:rPr>
        <w:t>农村基本情况及农业生产条件（一）</w:t>
      </w:r>
    </w:p>
    <w:p w14:paraId="6C2845A5">
      <w:pPr>
        <w:rPr>
          <w:rFonts w:hint="eastAsia" w:hAnsi="宋体" w:cs="宋体"/>
          <w:highlight w:val="none"/>
        </w:rPr>
      </w:pPr>
      <w:r>
        <w:rPr>
          <w:rFonts w:hint="eastAsia" w:hAnsi="宋体" w:cs="宋体"/>
          <w:highlight w:val="none"/>
        </w:rPr>
        <w:t>表48</w:t>
      </w:r>
    </w:p>
    <w:bookmarkEnd w:id="0"/>
    <w:bookmarkEnd w:id="1"/>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79"/>
        <w:gridCol w:w="961"/>
        <w:gridCol w:w="1040"/>
        <w:gridCol w:w="1060"/>
        <w:gridCol w:w="818"/>
        <w:gridCol w:w="818"/>
        <w:gridCol w:w="1080"/>
        <w:gridCol w:w="862"/>
        <w:gridCol w:w="882"/>
        <w:gridCol w:w="1080"/>
        <w:gridCol w:w="882"/>
        <w:gridCol w:w="1773"/>
        <w:gridCol w:w="823"/>
        <w:gridCol w:w="1892"/>
      </w:tblGrid>
      <w:tr w14:paraId="3E96A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vMerge w:val="restart"/>
            <w:noWrap/>
            <w:vAlign w:val="center"/>
          </w:tcPr>
          <w:p w14:paraId="5EDE77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单位名称</w:t>
            </w:r>
          </w:p>
        </w:tc>
        <w:tc>
          <w:tcPr>
            <w:tcW w:w="960" w:type="dxa"/>
            <w:noWrap w:val="0"/>
            <w:vAlign w:val="center"/>
          </w:tcPr>
          <w:p w14:paraId="59A744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一、基层组织情况</w:t>
            </w:r>
          </w:p>
        </w:tc>
        <w:tc>
          <w:tcPr>
            <w:tcW w:w="13012" w:type="dxa"/>
            <w:gridSpan w:val="12"/>
            <w:noWrap w:val="0"/>
            <w:vAlign w:val="center"/>
          </w:tcPr>
          <w:p w14:paraId="3F8807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二、乡村人口与从业人员</w:t>
            </w:r>
          </w:p>
        </w:tc>
      </w:tr>
      <w:tr w14:paraId="44519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vMerge w:val="continue"/>
            <w:noWrap w:val="0"/>
            <w:vAlign w:val="center"/>
          </w:tcPr>
          <w:p w14:paraId="048251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60" w:type="dxa"/>
            <w:vMerge w:val="restart"/>
            <w:noWrap w:val="0"/>
            <w:vAlign w:val="center"/>
          </w:tcPr>
          <w:p w14:paraId="43F4A9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村委会数（个）</w:t>
            </w:r>
          </w:p>
        </w:tc>
        <w:tc>
          <w:tcPr>
            <w:tcW w:w="1040" w:type="dxa"/>
            <w:vMerge w:val="restart"/>
            <w:noWrap w:val="0"/>
            <w:vAlign w:val="center"/>
          </w:tcPr>
          <w:p w14:paraId="0928BC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乡村户数（户）</w:t>
            </w:r>
          </w:p>
        </w:tc>
        <w:tc>
          <w:tcPr>
            <w:tcW w:w="1060" w:type="dxa"/>
            <w:vMerge w:val="restart"/>
            <w:noWrap w:val="0"/>
            <w:vAlign w:val="center"/>
          </w:tcPr>
          <w:p w14:paraId="209CDC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乡村人口</w:t>
            </w:r>
            <w:r>
              <w:rPr>
                <w:rFonts w:hint="eastAsia"/>
                <w:highlight w:val="none"/>
                <w:lang w:eastAsia="zh-CN"/>
              </w:rPr>
              <w:t>（</w:t>
            </w:r>
            <w:r>
              <w:rPr>
                <w:rFonts w:hint="eastAsia"/>
                <w:highlight w:val="none"/>
              </w:rPr>
              <w:t>人</w:t>
            </w:r>
            <w:r>
              <w:rPr>
                <w:rFonts w:hint="eastAsia"/>
                <w:highlight w:val="none"/>
                <w:lang w:eastAsia="zh-CN"/>
              </w:rPr>
              <w:t>）</w:t>
            </w:r>
          </w:p>
        </w:tc>
        <w:tc>
          <w:tcPr>
            <w:tcW w:w="816" w:type="dxa"/>
            <w:noWrap w:val="0"/>
            <w:vAlign w:val="center"/>
          </w:tcPr>
          <w:p w14:paraId="73C1C4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16" w:type="dxa"/>
            <w:noWrap w:val="0"/>
            <w:vAlign w:val="center"/>
          </w:tcPr>
          <w:p w14:paraId="4D2171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restart"/>
            <w:noWrap w:val="0"/>
            <w:vAlign w:val="center"/>
          </w:tcPr>
          <w:p w14:paraId="074C6E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乡村劳动力资源数（人）</w:t>
            </w:r>
          </w:p>
        </w:tc>
        <w:tc>
          <w:tcPr>
            <w:tcW w:w="860" w:type="dxa"/>
            <w:noWrap w:val="0"/>
            <w:vAlign w:val="center"/>
          </w:tcPr>
          <w:p w14:paraId="2C40A4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80" w:type="dxa"/>
            <w:noWrap w:val="0"/>
            <w:vAlign w:val="center"/>
          </w:tcPr>
          <w:p w14:paraId="48F2B4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80" w:type="dxa"/>
            <w:vMerge w:val="restart"/>
            <w:noWrap w:val="0"/>
            <w:vAlign w:val="center"/>
          </w:tcPr>
          <w:p w14:paraId="208F6F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乡村从业人员（人）</w:t>
            </w:r>
          </w:p>
        </w:tc>
        <w:tc>
          <w:tcPr>
            <w:tcW w:w="880" w:type="dxa"/>
            <w:noWrap w:val="0"/>
            <w:vAlign w:val="center"/>
          </w:tcPr>
          <w:p w14:paraId="5D0062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780" w:type="dxa"/>
            <w:noWrap w:val="0"/>
            <w:vAlign w:val="center"/>
          </w:tcPr>
          <w:p w14:paraId="4406DC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20" w:type="dxa"/>
            <w:noWrap w:val="0"/>
            <w:vAlign w:val="center"/>
          </w:tcPr>
          <w:p w14:paraId="67D17B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900" w:type="dxa"/>
            <w:noWrap w:val="0"/>
            <w:vAlign w:val="center"/>
          </w:tcPr>
          <w:p w14:paraId="5265DD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E7E5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vMerge w:val="continue"/>
            <w:noWrap w:val="0"/>
            <w:vAlign w:val="center"/>
          </w:tcPr>
          <w:p w14:paraId="2052CF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60" w:type="dxa"/>
            <w:vMerge w:val="continue"/>
            <w:noWrap w:val="0"/>
            <w:vAlign w:val="center"/>
          </w:tcPr>
          <w:p w14:paraId="36F086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40" w:type="dxa"/>
            <w:vMerge w:val="continue"/>
            <w:noWrap w:val="0"/>
            <w:vAlign w:val="center"/>
          </w:tcPr>
          <w:p w14:paraId="792CED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60" w:type="dxa"/>
            <w:vMerge w:val="continue"/>
            <w:noWrap w:val="0"/>
            <w:vAlign w:val="center"/>
          </w:tcPr>
          <w:p w14:paraId="16CCA9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16" w:type="dxa"/>
            <w:noWrap w:val="0"/>
            <w:vAlign w:val="center"/>
          </w:tcPr>
          <w:p w14:paraId="641149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1.男（人）</w:t>
            </w:r>
          </w:p>
        </w:tc>
        <w:tc>
          <w:tcPr>
            <w:tcW w:w="816" w:type="dxa"/>
            <w:noWrap w:val="0"/>
            <w:vAlign w:val="center"/>
          </w:tcPr>
          <w:p w14:paraId="7A722C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2.女（人）</w:t>
            </w:r>
          </w:p>
        </w:tc>
        <w:tc>
          <w:tcPr>
            <w:tcW w:w="1080" w:type="dxa"/>
            <w:vMerge w:val="continue"/>
            <w:noWrap w:val="0"/>
            <w:vAlign w:val="center"/>
          </w:tcPr>
          <w:p w14:paraId="3BBAA6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60" w:type="dxa"/>
            <w:noWrap w:val="0"/>
            <w:vAlign w:val="center"/>
          </w:tcPr>
          <w:p w14:paraId="7F9EB8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1.男（人）</w:t>
            </w:r>
          </w:p>
        </w:tc>
        <w:tc>
          <w:tcPr>
            <w:tcW w:w="880" w:type="dxa"/>
            <w:noWrap w:val="0"/>
            <w:vAlign w:val="center"/>
          </w:tcPr>
          <w:p w14:paraId="111694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2.女（人）</w:t>
            </w:r>
          </w:p>
        </w:tc>
        <w:tc>
          <w:tcPr>
            <w:tcW w:w="1080" w:type="dxa"/>
            <w:vMerge w:val="continue"/>
            <w:noWrap w:val="0"/>
            <w:vAlign w:val="center"/>
          </w:tcPr>
          <w:p w14:paraId="66FCB1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80" w:type="dxa"/>
            <w:noWrap w:val="0"/>
            <w:vAlign w:val="center"/>
          </w:tcPr>
          <w:p w14:paraId="431485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1.男（人）</w:t>
            </w:r>
          </w:p>
        </w:tc>
        <w:tc>
          <w:tcPr>
            <w:tcW w:w="1780" w:type="dxa"/>
            <w:noWrap w:val="0"/>
            <w:vAlign w:val="center"/>
          </w:tcPr>
          <w:p w14:paraId="0E4716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其中：从事农人员（人）</w:t>
            </w:r>
          </w:p>
        </w:tc>
        <w:tc>
          <w:tcPr>
            <w:tcW w:w="820" w:type="dxa"/>
            <w:noWrap w:val="0"/>
            <w:vAlign w:val="center"/>
          </w:tcPr>
          <w:p w14:paraId="0E628C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2.女（人）</w:t>
            </w:r>
          </w:p>
        </w:tc>
        <w:tc>
          <w:tcPr>
            <w:tcW w:w="1900" w:type="dxa"/>
            <w:noWrap w:val="0"/>
            <w:vAlign w:val="center"/>
          </w:tcPr>
          <w:p w14:paraId="336A98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其中：从事农业人员（人）</w:t>
            </w:r>
          </w:p>
        </w:tc>
      </w:tr>
      <w:tr w14:paraId="5EFE6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23252F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w:t>
            </w:r>
          </w:p>
        </w:tc>
        <w:tc>
          <w:tcPr>
            <w:tcW w:w="960" w:type="dxa"/>
            <w:noWrap/>
            <w:vAlign w:val="center"/>
          </w:tcPr>
          <w:p w14:paraId="20E391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w:t>
            </w:r>
          </w:p>
        </w:tc>
        <w:tc>
          <w:tcPr>
            <w:tcW w:w="1040" w:type="dxa"/>
            <w:noWrap/>
            <w:vAlign w:val="center"/>
          </w:tcPr>
          <w:p w14:paraId="255552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105667</w:t>
            </w:r>
          </w:p>
        </w:tc>
        <w:tc>
          <w:tcPr>
            <w:tcW w:w="1060" w:type="dxa"/>
            <w:noWrap/>
            <w:vAlign w:val="center"/>
          </w:tcPr>
          <w:p w14:paraId="04608A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281433</w:t>
            </w:r>
          </w:p>
        </w:tc>
        <w:tc>
          <w:tcPr>
            <w:tcW w:w="816" w:type="dxa"/>
            <w:noWrap/>
            <w:vAlign w:val="center"/>
          </w:tcPr>
          <w:p w14:paraId="64D898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145275</w:t>
            </w:r>
          </w:p>
        </w:tc>
        <w:tc>
          <w:tcPr>
            <w:tcW w:w="816" w:type="dxa"/>
            <w:noWrap/>
            <w:vAlign w:val="center"/>
          </w:tcPr>
          <w:p w14:paraId="3A9D3D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136158</w:t>
            </w:r>
          </w:p>
        </w:tc>
        <w:tc>
          <w:tcPr>
            <w:tcW w:w="1080" w:type="dxa"/>
            <w:noWrap/>
            <w:vAlign w:val="center"/>
          </w:tcPr>
          <w:p w14:paraId="44E8FC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235179</w:t>
            </w:r>
          </w:p>
        </w:tc>
        <w:tc>
          <w:tcPr>
            <w:tcW w:w="860" w:type="dxa"/>
            <w:noWrap/>
            <w:vAlign w:val="center"/>
          </w:tcPr>
          <w:p w14:paraId="75CC1B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120578</w:t>
            </w:r>
          </w:p>
        </w:tc>
        <w:tc>
          <w:tcPr>
            <w:tcW w:w="880" w:type="dxa"/>
            <w:noWrap/>
            <w:vAlign w:val="center"/>
          </w:tcPr>
          <w:p w14:paraId="1B0193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114601</w:t>
            </w:r>
          </w:p>
        </w:tc>
        <w:tc>
          <w:tcPr>
            <w:tcW w:w="1080" w:type="dxa"/>
            <w:noWrap/>
            <w:vAlign w:val="center"/>
          </w:tcPr>
          <w:p w14:paraId="738190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160113</w:t>
            </w:r>
          </w:p>
        </w:tc>
        <w:tc>
          <w:tcPr>
            <w:tcW w:w="880" w:type="dxa"/>
            <w:noWrap/>
            <w:vAlign w:val="center"/>
          </w:tcPr>
          <w:p w14:paraId="435073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82614</w:t>
            </w:r>
          </w:p>
        </w:tc>
        <w:tc>
          <w:tcPr>
            <w:tcW w:w="1780" w:type="dxa"/>
            <w:noWrap/>
            <w:vAlign w:val="center"/>
          </w:tcPr>
          <w:p w14:paraId="1DC833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48794</w:t>
            </w:r>
          </w:p>
        </w:tc>
        <w:tc>
          <w:tcPr>
            <w:tcW w:w="820" w:type="dxa"/>
            <w:noWrap/>
            <w:vAlign w:val="center"/>
          </w:tcPr>
          <w:p w14:paraId="0BA2E5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77499</w:t>
            </w:r>
          </w:p>
        </w:tc>
        <w:tc>
          <w:tcPr>
            <w:tcW w:w="1900" w:type="dxa"/>
            <w:noWrap/>
            <w:vAlign w:val="center"/>
          </w:tcPr>
          <w:p w14:paraId="5ED312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45590</w:t>
            </w:r>
          </w:p>
        </w:tc>
      </w:tr>
      <w:tr w14:paraId="7ABB8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036E45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乌迳镇</w:t>
            </w:r>
          </w:p>
        </w:tc>
        <w:tc>
          <w:tcPr>
            <w:tcW w:w="960" w:type="dxa"/>
            <w:noWrap/>
            <w:vAlign w:val="center"/>
          </w:tcPr>
          <w:p w14:paraId="28452E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1040" w:type="dxa"/>
            <w:noWrap/>
            <w:vAlign w:val="center"/>
          </w:tcPr>
          <w:p w14:paraId="4599E5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11496</w:t>
            </w:r>
          </w:p>
        </w:tc>
        <w:tc>
          <w:tcPr>
            <w:tcW w:w="1060" w:type="dxa"/>
            <w:noWrap/>
            <w:vAlign w:val="center"/>
          </w:tcPr>
          <w:p w14:paraId="0B3D08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28501</w:t>
            </w:r>
          </w:p>
        </w:tc>
        <w:tc>
          <w:tcPr>
            <w:tcW w:w="816" w:type="dxa"/>
            <w:noWrap/>
            <w:vAlign w:val="center"/>
          </w:tcPr>
          <w:p w14:paraId="4D29AE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14820</w:t>
            </w:r>
          </w:p>
        </w:tc>
        <w:tc>
          <w:tcPr>
            <w:tcW w:w="816" w:type="dxa"/>
            <w:noWrap/>
            <w:vAlign w:val="center"/>
          </w:tcPr>
          <w:p w14:paraId="39614B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13681</w:t>
            </w:r>
          </w:p>
        </w:tc>
        <w:tc>
          <w:tcPr>
            <w:tcW w:w="1080" w:type="dxa"/>
            <w:noWrap/>
            <w:vAlign w:val="center"/>
          </w:tcPr>
          <w:p w14:paraId="1EA4A3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24629</w:t>
            </w:r>
          </w:p>
        </w:tc>
        <w:tc>
          <w:tcPr>
            <w:tcW w:w="860" w:type="dxa"/>
            <w:noWrap/>
            <w:vAlign w:val="center"/>
          </w:tcPr>
          <w:p w14:paraId="136F3B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12448</w:t>
            </w:r>
          </w:p>
        </w:tc>
        <w:tc>
          <w:tcPr>
            <w:tcW w:w="880" w:type="dxa"/>
            <w:noWrap/>
            <w:vAlign w:val="center"/>
          </w:tcPr>
          <w:p w14:paraId="016DD5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12181</w:t>
            </w:r>
          </w:p>
        </w:tc>
        <w:tc>
          <w:tcPr>
            <w:tcW w:w="1080" w:type="dxa"/>
            <w:noWrap/>
            <w:vAlign w:val="center"/>
          </w:tcPr>
          <w:p w14:paraId="31C73F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12218</w:t>
            </w:r>
          </w:p>
        </w:tc>
        <w:tc>
          <w:tcPr>
            <w:tcW w:w="880" w:type="dxa"/>
            <w:noWrap/>
            <w:vAlign w:val="center"/>
          </w:tcPr>
          <w:p w14:paraId="4EC1D3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5899</w:t>
            </w:r>
          </w:p>
        </w:tc>
        <w:tc>
          <w:tcPr>
            <w:tcW w:w="1780" w:type="dxa"/>
            <w:noWrap/>
            <w:vAlign w:val="center"/>
          </w:tcPr>
          <w:p w14:paraId="6D4261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4821</w:t>
            </w:r>
          </w:p>
        </w:tc>
        <w:tc>
          <w:tcPr>
            <w:tcW w:w="820" w:type="dxa"/>
            <w:noWrap/>
            <w:vAlign w:val="center"/>
          </w:tcPr>
          <w:p w14:paraId="5522FF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6319</w:t>
            </w:r>
          </w:p>
        </w:tc>
        <w:tc>
          <w:tcPr>
            <w:tcW w:w="1900" w:type="dxa"/>
            <w:noWrap/>
            <w:vAlign w:val="center"/>
          </w:tcPr>
          <w:p w14:paraId="6993F9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5104</w:t>
            </w:r>
          </w:p>
        </w:tc>
      </w:tr>
      <w:tr w14:paraId="43876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3DB44F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界址镇</w:t>
            </w:r>
          </w:p>
        </w:tc>
        <w:tc>
          <w:tcPr>
            <w:tcW w:w="960" w:type="dxa"/>
            <w:noWrap/>
            <w:vAlign w:val="center"/>
          </w:tcPr>
          <w:p w14:paraId="11EDEB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40" w:type="dxa"/>
            <w:noWrap/>
            <w:vAlign w:val="center"/>
          </w:tcPr>
          <w:p w14:paraId="0399F1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3466</w:t>
            </w:r>
          </w:p>
        </w:tc>
        <w:tc>
          <w:tcPr>
            <w:tcW w:w="1060" w:type="dxa"/>
            <w:noWrap/>
            <w:vAlign w:val="center"/>
          </w:tcPr>
          <w:p w14:paraId="4B2CEE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8382</w:t>
            </w:r>
          </w:p>
        </w:tc>
        <w:tc>
          <w:tcPr>
            <w:tcW w:w="816" w:type="dxa"/>
            <w:noWrap/>
            <w:vAlign w:val="center"/>
          </w:tcPr>
          <w:p w14:paraId="5B2EF4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4439</w:t>
            </w:r>
          </w:p>
        </w:tc>
        <w:tc>
          <w:tcPr>
            <w:tcW w:w="816" w:type="dxa"/>
            <w:noWrap/>
            <w:vAlign w:val="center"/>
          </w:tcPr>
          <w:p w14:paraId="7457F0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3943</w:t>
            </w:r>
          </w:p>
        </w:tc>
        <w:tc>
          <w:tcPr>
            <w:tcW w:w="1080" w:type="dxa"/>
            <w:noWrap/>
            <w:vAlign w:val="center"/>
          </w:tcPr>
          <w:p w14:paraId="67F8ED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7104</w:t>
            </w:r>
          </w:p>
        </w:tc>
        <w:tc>
          <w:tcPr>
            <w:tcW w:w="860" w:type="dxa"/>
            <w:noWrap/>
            <w:vAlign w:val="center"/>
          </w:tcPr>
          <w:p w14:paraId="6E28C7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3731</w:t>
            </w:r>
          </w:p>
        </w:tc>
        <w:tc>
          <w:tcPr>
            <w:tcW w:w="880" w:type="dxa"/>
            <w:noWrap/>
            <w:vAlign w:val="center"/>
          </w:tcPr>
          <w:p w14:paraId="7032A5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3373</w:t>
            </w:r>
          </w:p>
        </w:tc>
        <w:tc>
          <w:tcPr>
            <w:tcW w:w="1080" w:type="dxa"/>
            <w:noWrap/>
            <w:vAlign w:val="center"/>
          </w:tcPr>
          <w:p w14:paraId="5C8B5F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6288</w:t>
            </w:r>
          </w:p>
        </w:tc>
        <w:tc>
          <w:tcPr>
            <w:tcW w:w="880" w:type="dxa"/>
            <w:noWrap/>
            <w:vAlign w:val="center"/>
          </w:tcPr>
          <w:p w14:paraId="1E1858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3283</w:t>
            </w:r>
          </w:p>
        </w:tc>
        <w:tc>
          <w:tcPr>
            <w:tcW w:w="1780" w:type="dxa"/>
            <w:noWrap/>
            <w:vAlign w:val="center"/>
          </w:tcPr>
          <w:p w14:paraId="32FE39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2006</w:t>
            </w:r>
          </w:p>
        </w:tc>
        <w:tc>
          <w:tcPr>
            <w:tcW w:w="820" w:type="dxa"/>
            <w:noWrap/>
            <w:vAlign w:val="center"/>
          </w:tcPr>
          <w:p w14:paraId="427E6C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3005</w:t>
            </w:r>
          </w:p>
        </w:tc>
        <w:tc>
          <w:tcPr>
            <w:tcW w:w="1900" w:type="dxa"/>
            <w:noWrap/>
            <w:vAlign w:val="center"/>
          </w:tcPr>
          <w:p w14:paraId="07E5B3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2043</w:t>
            </w:r>
          </w:p>
        </w:tc>
      </w:tr>
      <w:tr w14:paraId="6C6EA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7994E5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坪田镇</w:t>
            </w:r>
          </w:p>
        </w:tc>
        <w:tc>
          <w:tcPr>
            <w:tcW w:w="960" w:type="dxa"/>
            <w:noWrap/>
            <w:vAlign w:val="center"/>
          </w:tcPr>
          <w:p w14:paraId="18B733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1040" w:type="dxa"/>
            <w:noWrap/>
            <w:vAlign w:val="center"/>
          </w:tcPr>
          <w:p w14:paraId="68D63E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5632</w:t>
            </w:r>
          </w:p>
        </w:tc>
        <w:tc>
          <w:tcPr>
            <w:tcW w:w="1060" w:type="dxa"/>
            <w:noWrap/>
            <w:vAlign w:val="center"/>
          </w:tcPr>
          <w:p w14:paraId="211ADF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15731</w:t>
            </w:r>
          </w:p>
        </w:tc>
        <w:tc>
          <w:tcPr>
            <w:tcW w:w="816" w:type="dxa"/>
            <w:noWrap/>
            <w:vAlign w:val="center"/>
          </w:tcPr>
          <w:p w14:paraId="482AA4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8611</w:t>
            </w:r>
          </w:p>
        </w:tc>
        <w:tc>
          <w:tcPr>
            <w:tcW w:w="816" w:type="dxa"/>
            <w:noWrap/>
            <w:vAlign w:val="center"/>
          </w:tcPr>
          <w:p w14:paraId="3F4A25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7120</w:t>
            </w:r>
          </w:p>
        </w:tc>
        <w:tc>
          <w:tcPr>
            <w:tcW w:w="1080" w:type="dxa"/>
            <w:noWrap/>
            <w:vAlign w:val="center"/>
          </w:tcPr>
          <w:p w14:paraId="1AD8C0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13371</w:t>
            </w:r>
          </w:p>
        </w:tc>
        <w:tc>
          <w:tcPr>
            <w:tcW w:w="860" w:type="dxa"/>
            <w:noWrap/>
            <w:vAlign w:val="center"/>
          </w:tcPr>
          <w:p w14:paraId="3C4B4E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7120</w:t>
            </w:r>
          </w:p>
        </w:tc>
        <w:tc>
          <w:tcPr>
            <w:tcW w:w="880" w:type="dxa"/>
            <w:noWrap/>
            <w:vAlign w:val="center"/>
          </w:tcPr>
          <w:p w14:paraId="7DA5E9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6251</w:t>
            </w:r>
          </w:p>
        </w:tc>
        <w:tc>
          <w:tcPr>
            <w:tcW w:w="1080" w:type="dxa"/>
            <w:noWrap/>
            <w:vAlign w:val="center"/>
          </w:tcPr>
          <w:p w14:paraId="743301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9763</w:t>
            </w:r>
          </w:p>
        </w:tc>
        <w:tc>
          <w:tcPr>
            <w:tcW w:w="880" w:type="dxa"/>
            <w:noWrap/>
            <w:vAlign w:val="center"/>
          </w:tcPr>
          <w:p w14:paraId="0BA022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5061</w:t>
            </w:r>
          </w:p>
        </w:tc>
        <w:tc>
          <w:tcPr>
            <w:tcW w:w="1780" w:type="dxa"/>
            <w:noWrap/>
            <w:vAlign w:val="center"/>
          </w:tcPr>
          <w:p w14:paraId="34C606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3158</w:t>
            </w:r>
          </w:p>
        </w:tc>
        <w:tc>
          <w:tcPr>
            <w:tcW w:w="820" w:type="dxa"/>
            <w:noWrap/>
            <w:vAlign w:val="center"/>
          </w:tcPr>
          <w:p w14:paraId="635120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4702</w:t>
            </w:r>
          </w:p>
        </w:tc>
        <w:tc>
          <w:tcPr>
            <w:tcW w:w="1900" w:type="dxa"/>
            <w:noWrap/>
            <w:vAlign w:val="center"/>
          </w:tcPr>
          <w:p w14:paraId="588F56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2863</w:t>
            </w:r>
          </w:p>
        </w:tc>
      </w:tr>
      <w:tr w14:paraId="680D7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7FB15D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黄坑镇</w:t>
            </w:r>
          </w:p>
        </w:tc>
        <w:tc>
          <w:tcPr>
            <w:tcW w:w="960" w:type="dxa"/>
            <w:noWrap/>
            <w:vAlign w:val="center"/>
          </w:tcPr>
          <w:p w14:paraId="4491BD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040" w:type="dxa"/>
            <w:noWrap/>
            <w:vAlign w:val="center"/>
          </w:tcPr>
          <w:p w14:paraId="7E88AE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6182</w:t>
            </w:r>
          </w:p>
        </w:tc>
        <w:tc>
          <w:tcPr>
            <w:tcW w:w="1060" w:type="dxa"/>
            <w:noWrap/>
            <w:vAlign w:val="center"/>
          </w:tcPr>
          <w:p w14:paraId="13A3B9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15000</w:t>
            </w:r>
          </w:p>
        </w:tc>
        <w:tc>
          <w:tcPr>
            <w:tcW w:w="816" w:type="dxa"/>
            <w:noWrap/>
            <w:vAlign w:val="center"/>
          </w:tcPr>
          <w:p w14:paraId="6A1CA6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7810</w:t>
            </w:r>
          </w:p>
        </w:tc>
        <w:tc>
          <w:tcPr>
            <w:tcW w:w="816" w:type="dxa"/>
            <w:noWrap/>
            <w:vAlign w:val="center"/>
          </w:tcPr>
          <w:p w14:paraId="07F9D8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7190</w:t>
            </w:r>
          </w:p>
        </w:tc>
        <w:tc>
          <w:tcPr>
            <w:tcW w:w="1080" w:type="dxa"/>
            <w:noWrap/>
            <w:vAlign w:val="center"/>
          </w:tcPr>
          <w:p w14:paraId="4805C5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13800</w:t>
            </w:r>
          </w:p>
        </w:tc>
        <w:tc>
          <w:tcPr>
            <w:tcW w:w="860" w:type="dxa"/>
            <w:noWrap/>
            <w:vAlign w:val="center"/>
          </w:tcPr>
          <w:p w14:paraId="258E8A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7205</w:t>
            </w:r>
          </w:p>
        </w:tc>
        <w:tc>
          <w:tcPr>
            <w:tcW w:w="880" w:type="dxa"/>
            <w:noWrap/>
            <w:vAlign w:val="center"/>
          </w:tcPr>
          <w:p w14:paraId="4B8F9C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6595</w:t>
            </w:r>
          </w:p>
        </w:tc>
        <w:tc>
          <w:tcPr>
            <w:tcW w:w="1080" w:type="dxa"/>
            <w:noWrap/>
            <w:vAlign w:val="center"/>
          </w:tcPr>
          <w:p w14:paraId="29C20A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8620</w:t>
            </w:r>
          </w:p>
        </w:tc>
        <w:tc>
          <w:tcPr>
            <w:tcW w:w="880" w:type="dxa"/>
            <w:noWrap/>
            <w:vAlign w:val="center"/>
          </w:tcPr>
          <w:p w14:paraId="7572E5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4411</w:t>
            </w:r>
          </w:p>
        </w:tc>
        <w:tc>
          <w:tcPr>
            <w:tcW w:w="1780" w:type="dxa"/>
            <w:noWrap/>
            <w:vAlign w:val="center"/>
          </w:tcPr>
          <w:p w14:paraId="3CFF46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3112</w:t>
            </w:r>
          </w:p>
        </w:tc>
        <w:tc>
          <w:tcPr>
            <w:tcW w:w="820" w:type="dxa"/>
            <w:noWrap/>
            <w:vAlign w:val="center"/>
          </w:tcPr>
          <w:p w14:paraId="476131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4209</w:t>
            </w:r>
          </w:p>
        </w:tc>
        <w:tc>
          <w:tcPr>
            <w:tcW w:w="1900" w:type="dxa"/>
            <w:noWrap/>
            <w:vAlign w:val="center"/>
          </w:tcPr>
          <w:p w14:paraId="4EA518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2801</w:t>
            </w:r>
          </w:p>
        </w:tc>
      </w:tr>
      <w:tr w14:paraId="57216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7F8AE5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邓坊镇</w:t>
            </w:r>
          </w:p>
        </w:tc>
        <w:tc>
          <w:tcPr>
            <w:tcW w:w="960" w:type="dxa"/>
            <w:noWrap/>
            <w:vAlign w:val="center"/>
          </w:tcPr>
          <w:p w14:paraId="26E7C8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40" w:type="dxa"/>
            <w:noWrap/>
            <w:vAlign w:val="center"/>
          </w:tcPr>
          <w:p w14:paraId="2F7506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4863</w:t>
            </w:r>
          </w:p>
        </w:tc>
        <w:tc>
          <w:tcPr>
            <w:tcW w:w="1060" w:type="dxa"/>
            <w:noWrap/>
            <w:vAlign w:val="center"/>
          </w:tcPr>
          <w:p w14:paraId="69A73E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11579</w:t>
            </w:r>
          </w:p>
        </w:tc>
        <w:tc>
          <w:tcPr>
            <w:tcW w:w="816" w:type="dxa"/>
            <w:noWrap/>
            <w:vAlign w:val="center"/>
          </w:tcPr>
          <w:p w14:paraId="73800B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6053</w:t>
            </w:r>
          </w:p>
        </w:tc>
        <w:tc>
          <w:tcPr>
            <w:tcW w:w="816" w:type="dxa"/>
            <w:noWrap/>
            <w:vAlign w:val="center"/>
          </w:tcPr>
          <w:p w14:paraId="7CC1C5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5526</w:t>
            </w:r>
          </w:p>
        </w:tc>
        <w:tc>
          <w:tcPr>
            <w:tcW w:w="1080" w:type="dxa"/>
            <w:noWrap/>
            <w:vAlign w:val="center"/>
          </w:tcPr>
          <w:p w14:paraId="5287E0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8926</w:t>
            </w:r>
          </w:p>
        </w:tc>
        <w:tc>
          <w:tcPr>
            <w:tcW w:w="860" w:type="dxa"/>
            <w:noWrap/>
            <w:vAlign w:val="center"/>
          </w:tcPr>
          <w:p w14:paraId="0FBB54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4358</w:t>
            </w:r>
          </w:p>
        </w:tc>
        <w:tc>
          <w:tcPr>
            <w:tcW w:w="880" w:type="dxa"/>
            <w:noWrap/>
            <w:vAlign w:val="center"/>
          </w:tcPr>
          <w:p w14:paraId="536905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4568</w:t>
            </w:r>
          </w:p>
        </w:tc>
        <w:tc>
          <w:tcPr>
            <w:tcW w:w="1080" w:type="dxa"/>
            <w:noWrap/>
            <w:vAlign w:val="center"/>
          </w:tcPr>
          <w:p w14:paraId="4B37E3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6284</w:t>
            </w:r>
          </w:p>
        </w:tc>
        <w:tc>
          <w:tcPr>
            <w:tcW w:w="880" w:type="dxa"/>
            <w:noWrap/>
            <w:vAlign w:val="center"/>
          </w:tcPr>
          <w:p w14:paraId="7604FA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3180</w:t>
            </w:r>
          </w:p>
        </w:tc>
        <w:tc>
          <w:tcPr>
            <w:tcW w:w="1780" w:type="dxa"/>
            <w:noWrap/>
            <w:vAlign w:val="center"/>
          </w:tcPr>
          <w:p w14:paraId="70E2DF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2587</w:t>
            </w:r>
          </w:p>
        </w:tc>
        <w:tc>
          <w:tcPr>
            <w:tcW w:w="820" w:type="dxa"/>
            <w:noWrap/>
            <w:vAlign w:val="center"/>
          </w:tcPr>
          <w:p w14:paraId="34B837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3104</w:t>
            </w:r>
          </w:p>
        </w:tc>
        <w:tc>
          <w:tcPr>
            <w:tcW w:w="1900" w:type="dxa"/>
            <w:noWrap/>
            <w:vAlign w:val="center"/>
          </w:tcPr>
          <w:p w14:paraId="29245F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2611</w:t>
            </w:r>
          </w:p>
        </w:tc>
      </w:tr>
      <w:tr w14:paraId="7984C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71F066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油山镇</w:t>
            </w:r>
          </w:p>
        </w:tc>
        <w:tc>
          <w:tcPr>
            <w:tcW w:w="960" w:type="dxa"/>
            <w:noWrap/>
            <w:vAlign w:val="center"/>
          </w:tcPr>
          <w:p w14:paraId="09BA75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w:t>
            </w:r>
          </w:p>
        </w:tc>
        <w:tc>
          <w:tcPr>
            <w:tcW w:w="1040" w:type="dxa"/>
            <w:noWrap/>
            <w:vAlign w:val="center"/>
          </w:tcPr>
          <w:p w14:paraId="4F1C77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7898</w:t>
            </w:r>
          </w:p>
        </w:tc>
        <w:tc>
          <w:tcPr>
            <w:tcW w:w="1060" w:type="dxa"/>
            <w:noWrap/>
            <w:vAlign w:val="center"/>
          </w:tcPr>
          <w:p w14:paraId="3293F5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17185</w:t>
            </w:r>
          </w:p>
        </w:tc>
        <w:tc>
          <w:tcPr>
            <w:tcW w:w="816" w:type="dxa"/>
            <w:noWrap/>
            <w:vAlign w:val="center"/>
          </w:tcPr>
          <w:p w14:paraId="6E55E9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9117</w:t>
            </w:r>
          </w:p>
        </w:tc>
        <w:tc>
          <w:tcPr>
            <w:tcW w:w="816" w:type="dxa"/>
            <w:noWrap/>
            <w:vAlign w:val="center"/>
          </w:tcPr>
          <w:p w14:paraId="7BC4F1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8068</w:t>
            </w:r>
          </w:p>
        </w:tc>
        <w:tc>
          <w:tcPr>
            <w:tcW w:w="1080" w:type="dxa"/>
            <w:noWrap/>
            <w:vAlign w:val="center"/>
          </w:tcPr>
          <w:p w14:paraId="4FD12E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15048</w:t>
            </w:r>
          </w:p>
        </w:tc>
        <w:tc>
          <w:tcPr>
            <w:tcW w:w="860" w:type="dxa"/>
            <w:noWrap/>
            <w:vAlign w:val="center"/>
          </w:tcPr>
          <w:p w14:paraId="1DE18D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7901</w:t>
            </w:r>
          </w:p>
        </w:tc>
        <w:tc>
          <w:tcPr>
            <w:tcW w:w="880" w:type="dxa"/>
            <w:noWrap/>
            <w:vAlign w:val="center"/>
          </w:tcPr>
          <w:p w14:paraId="7E6C13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7147</w:t>
            </w:r>
          </w:p>
        </w:tc>
        <w:tc>
          <w:tcPr>
            <w:tcW w:w="1080" w:type="dxa"/>
            <w:noWrap/>
            <w:vAlign w:val="center"/>
          </w:tcPr>
          <w:p w14:paraId="55FAC7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11523</w:t>
            </w:r>
          </w:p>
        </w:tc>
        <w:tc>
          <w:tcPr>
            <w:tcW w:w="880" w:type="dxa"/>
            <w:noWrap/>
            <w:vAlign w:val="center"/>
          </w:tcPr>
          <w:p w14:paraId="22847E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5993</w:t>
            </w:r>
          </w:p>
        </w:tc>
        <w:tc>
          <w:tcPr>
            <w:tcW w:w="1780" w:type="dxa"/>
            <w:noWrap/>
            <w:vAlign w:val="center"/>
          </w:tcPr>
          <w:p w14:paraId="3E1C6E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3726</w:t>
            </w:r>
          </w:p>
        </w:tc>
        <w:tc>
          <w:tcPr>
            <w:tcW w:w="820" w:type="dxa"/>
            <w:noWrap/>
            <w:vAlign w:val="center"/>
          </w:tcPr>
          <w:p w14:paraId="009A4F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5530</w:t>
            </w:r>
          </w:p>
        </w:tc>
        <w:tc>
          <w:tcPr>
            <w:tcW w:w="1900" w:type="dxa"/>
            <w:noWrap/>
            <w:vAlign w:val="center"/>
          </w:tcPr>
          <w:p w14:paraId="0FC992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3185</w:t>
            </w:r>
          </w:p>
        </w:tc>
      </w:tr>
      <w:tr w14:paraId="126F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774221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南亩镇</w:t>
            </w:r>
          </w:p>
        </w:tc>
        <w:tc>
          <w:tcPr>
            <w:tcW w:w="960" w:type="dxa"/>
            <w:noWrap/>
            <w:vAlign w:val="center"/>
          </w:tcPr>
          <w:p w14:paraId="3E6718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1040" w:type="dxa"/>
            <w:noWrap/>
            <w:vAlign w:val="center"/>
          </w:tcPr>
          <w:p w14:paraId="6E1A24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3862</w:t>
            </w:r>
          </w:p>
        </w:tc>
        <w:tc>
          <w:tcPr>
            <w:tcW w:w="1060" w:type="dxa"/>
            <w:noWrap/>
            <w:vAlign w:val="center"/>
          </w:tcPr>
          <w:p w14:paraId="3C9E5A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9125</w:t>
            </w:r>
          </w:p>
        </w:tc>
        <w:tc>
          <w:tcPr>
            <w:tcW w:w="816" w:type="dxa"/>
            <w:noWrap/>
            <w:vAlign w:val="center"/>
          </w:tcPr>
          <w:p w14:paraId="7D61B2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4826</w:t>
            </w:r>
          </w:p>
        </w:tc>
        <w:tc>
          <w:tcPr>
            <w:tcW w:w="816" w:type="dxa"/>
            <w:noWrap/>
            <w:vAlign w:val="center"/>
          </w:tcPr>
          <w:p w14:paraId="527967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4299</w:t>
            </w:r>
          </w:p>
        </w:tc>
        <w:tc>
          <w:tcPr>
            <w:tcW w:w="1080" w:type="dxa"/>
            <w:noWrap/>
            <w:vAlign w:val="center"/>
          </w:tcPr>
          <w:p w14:paraId="15F6F9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8057</w:t>
            </w:r>
          </w:p>
        </w:tc>
        <w:tc>
          <w:tcPr>
            <w:tcW w:w="860" w:type="dxa"/>
            <w:noWrap/>
            <w:vAlign w:val="center"/>
          </w:tcPr>
          <w:p w14:paraId="07F141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4206</w:t>
            </w:r>
          </w:p>
        </w:tc>
        <w:tc>
          <w:tcPr>
            <w:tcW w:w="880" w:type="dxa"/>
            <w:noWrap/>
            <w:vAlign w:val="center"/>
          </w:tcPr>
          <w:p w14:paraId="15C7C9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3851</w:t>
            </w:r>
          </w:p>
        </w:tc>
        <w:tc>
          <w:tcPr>
            <w:tcW w:w="1080" w:type="dxa"/>
            <w:noWrap/>
            <w:vAlign w:val="center"/>
          </w:tcPr>
          <w:p w14:paraId="72EBE4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7103</w:t>
            </w:r>
          </w:p>
        </w:tc>
        <w:tc>
          <w:tcPr>
            <w:tcW w:w="880" w:type="dxa"/>
            <w:noWrap/>
            <w:vAlign w:val="center"/>
          </w:tcPr>
          <w:p w14:paraId="6CB052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3682</w:t>
            </w:r>
          </w:p>
        </w:tc>
        <w:tc>
          <w:tcPr>
            <w:tcW w:w="1780" w:type="dxa"/>
            <w:noWrap/>
            <w:vAlign w:val="center"/>
          </w:tcPr>
          <w:p w14:paraId="4D5B13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1682</w:t>
            </w:r>
          </w:p>
        </w:tc>
        <w:tc>
          <w:tcPr>
            <w:tcW w:w="820" w:type="dxa"/>
            <w:noWrap/>
            <w:vAlign w:val="center"/>
          </w:tcPr>
          <w:p w14:paraId="1EED47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3421</w:t>
            </w:r>
          </w:p>
        </w:tc>
        <w:tc>
          <w:tcPr>
            <w:tcW w:w="1900" w:type="dxa"/>
            <w:noWrap/>
            <w:vAlign w:val="center"/>
          </w:tcPr>
          <w:p w14:paraId="426BE6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1605</w:t>
            </w:r>
          </w:p>
        </w:tc>
      </w:tr>
      <w:tr w14:paraId="7AEB0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12EC6B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水口镇</w:t>
            </w:r>
          </w:p>
        </w:tc>
        <w:tc>
          <w:tcPr>
            <w:tcW w:w="960" w:type="dxa"/>
            <w:noWrap/>
            <w:vAlign w:val="center"/>
          </w:tcPr>
          <w:p w14:paraId="773A0D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40" w:type="dxa"/>
            <w:noWrap/>
            <w:vAlign w:val="center"/>
          </w:tcPr>
          <w:p w14:paraId="460BE3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5992</w:t>
            </w:r>
          </w:p>
        </w:tc>
        <w:tc>
          <w:tcPr>
            <w:tcW w:w="1060" w:type="dxa"/>
            <w:noWrap/>
            <w:vAlign w:val="center"/>
          </w:tcPr>
          <w:p w14:paraId="4E1EDC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17527</w:t>
            </w:r>
          </w:p>
        </w:tc>
        <w:tc>
          <w:tcPr>
            <w:tcW w:w="816" w:type="dxa"/>
            <w:noWrap/>
            <w:vAlign w:val="center"/>
          </w:tcPr>
          <w:p w14:paraId="7B6A8E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9395</w:t>
            </w:r>
          </w:p>
        </w:tc>
        <w:tc>
          <w:tcPr>
            <w:tcW w:w="816" w:type="dxa"/>
            <w:noWrap/>
            <w:vAlign w:val="center"/>
          </w:tcPr>
          <w:p w14:paraId="301BAB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8132</w:t>
            </w:r>
          </w:p>
        </w:tc>
        <w:tc>
          <w:tcPr>
            <w:tcW w:w="1080" w:type="dxa"/>
            <w:noWrap/>
            <w:vAlign w:val="center"/>
          </w:tcPr>
          <w:p w14:paraId="6A0C78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14306</w:t>
            </w:r>
          </w:p>
        </w:tc>
        <w:tc>
          <w:tcPr>
            <w:tcW w:w="860" w:type="dxa"/>
            <w:noWrap/>
            <w:vAlign w:val="center"/>
          </w:tcPr>
          <w:p w14:paraId="72D7ED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7402</w:t>
            </w:r>
          </w:p>
        </w:tc>
        <w:tc>
          <w:tcPr>
            <w:tcW w:w="880" w:type="dxa"/>
            <w:noWrap/>
            <w:vAlign w:val="center"/>
          </w:tcPr>
          <w:p w14:paraId="109FC3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6904</w:t>
            </w:r>
          </w:p>
        </w:tc>
        <w:tc>
          <w:tcPr>
            <w:tcW w:w="1080" w:type="dxa"/>
            <w:noWrap/>
            <w:vAlign w:val="center"/>
          </w:tcPr>
          <w:p w14:paraId="18ADE6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9460</w:t>
            </w:r>
          </w:p>
        </w:tc>
        <w:tc>
          <w:tcPr>
            <w:tcW w:w="880" w:type="dxa"/>
            <w:noWrap/>
            <w:vAlign w:val="center"/>
          </w:tcPr>
          <w:p w14:paraId="6F0582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4893</w:t>
            </w:r>
          </w:p>
        </w:tc>
        <w:tc>
          <w:tcPr>
            <w:tcW w:w="1780" w:type="dxa"/>
            <w:noWrap/>
            <w:vAlign w:val="center"/>
          </w:tcPr>
          <w:p w14:paraId="67D796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3251</w:t>
            </w:r>
          </w:p>
        </w:tc>
        <w:tc>
          <w:tcPr>
            <w:tcW w:w="820" w:type="dxa"/>
            <w:noWrap/>
            <w:vAlign w:val="center"/>
          </w:tcPr>
          <w:p w14:paraId="608DEC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4567</w:t>
            </w:r>
          </w:p>
        </w:tc>
        <w:tc>
          <w:tcPr>
            <w:tcW w:w="1900" w:type="dxa"/>
            <w:noWrap/>
            <w:vAlign w:val="center"/>
          </w:tcPr>
          <w:p w14:paraId="54DCC3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2983</w:t>
            </w:r>
          </w:p>
        </w:tc>
      </w:tr>
      <w:tr w14:paraId="313AE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3D8955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江头镇</w:t>
            </w:r>
          </w:p>
        </w:tc>
        <w:tc>
          <w:tcPr>
            <w:tcW w:w="960" w:type="dxa"/>
            <w:noWrap/>
            <w:vAlign w:val="center"/>
          </w:tcPr>
          <w:p w14:paraId="45A6CA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40" w:type="dxa"/>
            <w:noWrap/>
            <w:vAlign w:val="center"/>
          </w:tcPr>
          <w:p w14:paraId="1ED489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2692</w:t>
            </w:r>
          </w:p>
        </w:tc>
        <w:tc>
          <w:tcPr>
            <w:tcW w:w="1060" w:type="dxa"/>
            <w:noWrap/>
            <w:vAlign w:val="center"/>
          </w:tcPr>
          <w:p w14:paraId="63C7D1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7331</w:t>
            </w:r>
          </w:p>
        </w:tc>
        <w:tc>
          <w:tcPr>
            <w:tcW w:w="816" w:type="dxa"/>
            <w:noWrap/>
            <w:vAlign w:val="center"/>
          </w:tcPr>
          <w:p w14:paraId="0590CD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3845</w:t>
            </w:r>
          </w:p>
        </w:tc>
        <w:tc>
          <w:tcPr>
            <w:tcW w:w="816" w:type="dxa"/>
            <w:noWrap/>
            <w:vAlign w:val="center"/>
          </w:tcPr>
          <w:p w14:paraId="06CC9C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3486</w:t>
            </w:r>
          </w:p>
        </w:tc>
        <w:tc>
          <w:tcPr>
            <w:tcW w:w="1080" w:type="dxa"/>
            <w:noWrap/>
            <w:vAlign w:val="center"/>
          </w:tcPr>
          <w:p w14:paraId="4D2DBB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5436</w:t>
            </w:r>
          </w:p>
        </w:tc>
        <w:tc>
          <w:tcPr>
            <w:tcW w:w="860" w:type="dxa"/>
            <w:noWrap/>
            <w:vAlign w:val="center"/>
          </w:tcPr>
          <w:p w14:paraId="649E05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2875</w:t>
            </w:r>
          </w:p>
        </w:tc>
        <w:tc>
          <w:tcPr>
            <w:tcW w:w="880" w:type="dxa"/>
            <w:noWrap/>
            <w:vAlign w:val="center"/>
          </w:tcPr>
          <w:p w14:paraId="36E4FB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2561</w:t>
            </w:r>
          </w:p>
        </w:tc>
        <w:tc>
          <w:tcPr>
            <w:tcW w:w="1080" w:type="dxa"/>
            <w:noWrap/>
            <w:vAlign w:val="center"/>
          </w:tcPr>
          <w:p w14:paraId="6D7069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4061</w:t>
            </w:r>
          </w:p>
        </w:tc>
        <w:tc>
          <w:tcPr>
            <w:tcW w:w="880" w:type="dxa"/>
            <w:noWrap/>
            <w:vAlign w:val="center"/>
          </w:tcPr>
          <w:p w14:paraId="0F0B5A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2073</w:t>
            </w:r>
          </w:p>
        </w:tc>
        <w:tc>
          <w:tcPr>
            <w:tcW w:w="1780" w:type="dxa"/>
            <w:noWrap/>
            <w:vAlign w:val="center"/>
          </w:tcPr>
          <w:p w14:paraId="6F2EBA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1063</w:t>
            </w:r>
          </w:p>
        </w:tc>
        <w:tc>
          <w:tcPr>
            <w:tcW w:w="820" w:type="dxa"/>
            <w:noWrap/>
            <w:vAlign w:val="center"/>
          </w:tcPr>
          <w:p w14:paraId="48EE2D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1988</w:t>
            </w:r>
          </w:p>
        </w:tc>
        <w:tc>
          <w:tcPr>
            <w:tcW w:w="1900" w:type="dxa"/>
            <w:noWrap/>
            <w:vAlign w:val="center"/>
          </w:tcPr>
          <w:p w14:paraId="0E5279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1053</w:t>
            </w:r>
          </w:p>
        </w:tc>
      </w:tr>
      <w:tr w14:paraId="5AE36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7FC9FA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湖口镇</w:t>
            </w:r>
          </w:p>
        </w:tc>
        <w:tc>
          <w:tcPr>
            <w:tcW w:w="960" w:type="dxa"/>
            <w:noWrap/>
            <w:vAlign w:val="center"/>
          </w:tcPr>
          <w:p w14:paraId="4FBC5C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040" w:type="dxa"/>
            <w:noWrap/>
            <w:vAlign w:val="center"/>
          </w:tcPr>
          <w:p w14:paraId="7CA65A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8816</w:t>
            </w:r>
          </w:p>
        </w:tc>
        <w:tc>
          <w:tcPr>
            <w:tcW w:w="1060" w:type="dxa"/>
            <w:noWrap/>
            <w:vAlign w:val="center"/>
          </w:tcPr>
          <w:p w14:paraId="546644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18911</w:t>
            </w:r>
          </w:p>
        </w:tc>
        <w:tc>
          <w:tcPr>
            <w:tcW w:w="816" w:type="dxa"/>
            <w:noWrap/>
            <w:vAlign w:val="center"/>
          </w:tcPr>
          <w:p w14:paraId="001130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9532</w:t>
            </w:r>
          </w:p>
        </w:tc>
        <w:tc>
          <w:tcPr>
            <w:tcW w:w="816" w:type="dxa"/>
            <w:noWrap/>
            <w:vAlign w:val="center"/>
          </w:tcPr>
          <w:p w14:paraId="411F21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9379</w:t>
            </w:r>
          </w:p>
        </w:tc>
        <w:tc>
          <w:tcPr>
            <w:tcW w:w="1080" w:type="dxa"/>
            <w:noWrap/>
            <w:vAlign w:val="center"/>
          </w:tcPr>
          <w:p w14:paraId="5AD21C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16615</w:t>
            </w:r>
          </w:p>
        </w:tc>
        <w:tc>
          <w:tcPr>
            <w:tcW w:w="860" w:type="dxa"/>
            <w:noWrap/>
            <w:vAlign w:val="center"/>
          </w:tcPr>
          <w:p w14:paraId="3A1810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8372</w:t>
            </w:r>
          </w:p>
        </w:tc>
        <w:tc>
          <w:tcPr>
            <w:tcW w:w="880" w:type="dxa"/>
            <w:noWrap/>
            <w:vAlign w:val="center"/>
          </w:tcPr>
          <w:p w14:paraId="48628F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8243</w:t>
            </w:r>
          </w:p>
        </w:tc>
        <w:tc>
          <w:tcPr>
            <w:tcW w:w="1080" w:type="dxa"/>
            <w:noWrap/>
            <w:vAlign w:val="center"/>
          </w:tcPr>
          <w:p w14:paraId="134DF2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14496</w:t>
            </w:r>
          </w:p>
        </w:tc>
        <w:tc>
          <w:tcPr>
            <w:tcW w:w="880" w:type="dxa"/>
            <w:noWrap/>
            <w:vAlign w:val="center"/>
          </w:tcPr>
          <w:p w14:paraId="212E51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7304</w:t>
            </w:r>
          </w:p>
        </w:tc>
        <w:tc>
          <w:tcPr>
            <w:tcW w:w="1780" w:type="dxa"/>
            <w:noWrap/>
            <w:vAlign w:val="center"/>
          </w:tcPr>
          <w:p w14:paraId="1523DE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4615</w:t>
            </w:r>
          </w:p>
        </w:tc>
        <w:tc>
          <w:tcPr>
            <w:tcW w:w="820" w:type="dxa"/>
            <w:noWrap/>
            <w:vAlign w:val="center"/>
          </w:tcPr>
          <w:p w14:paraId="498945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7192</w:t>
            </w:r>
          </w:p>
        </w:tc>
        <w:tc>
          <w:tcPr>
            <w:tcW w:w="1900" w:type="dxa"/>
            <w:noWrap/>
            <w:vAlign w:val="center"/>
          </w:tcPr>
          <w:p w14:paraId="1E17BC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4617</w:t>
            </w:r>
          </w:p>
        </w:tc>
      </w:tr>
      <w:tr w14:paraId="23F8F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4938C1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珠玑镇</w:t>
            </w:r>
          </w:p>
        </w:tc>
        <w:tc>
          <w:tcPr>
            <w:tcW w:w="960" w:type="dxa"/>
            <w:noWrap/>
            <w:vAlign w:val="center"/>
          </w:tcPr>
          <w:p w14:paraId="5D6F55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w:t>
            </w:r>
          </w:p>
        </w:tc>
        <w:tc>
          <w:tcPr>
            <w:tcW w:w="1040" w:type="dxa"/>
            <w:noWrap/>
            <w:vAlign w:val="center"/>
          </w:tcPr>
          <w:p w14:paraId="521703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11249</w:t>
            </w:r>
          </w:p>
        </w:tc>
        <w:tc>
          <w:tcPr>
            <w:tcW w:w="1060" w:type="dxa"/>
            <w:noWrap/>
            <w:vAlign w:val="center"/>
          </w:tcPr>
          <w:p w14:paraId="71A09F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23276</w:t>
            </w:r>
          </w:p>
        </w:tc>
        <w:tc>
          <w:tcPr>
            <w:tcW w:w="816" w:type="dxa"/>
            <w:noWrap/>
            <w:vAlign w:val="center"/>
          </w:tcPr>
          <w:p w14:paraId="7B2CAF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11925</w:t>
            </w:r>
          </w:p>
        </w:tc>
        <w:tc>
          <w:tcPr>
            <w:tcW w:w="816" w:type="dxa"/>
            <w:noWrap/>
            <w:vAlign w:val="center"/>
          </w:tcPr>
          <w:p w14:paraId="148729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11351</w:t>
            </w:r>
          </w:p>
        </w:tc>
        <w:tc>
          <w:tcPr>
            <w:tcW w:w="1080" w:type="dxa"/>
            <w:noWrap/>
            <w:vAlign w:val="center"/>
          </w:tcPr>
          <w:p w14:paraId="0893ED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16159</w:t>
            </w:r>
          </w:p>
        </w:tc>
        <w:tc>
          <w:tcPr>
            <w:tcW w:w="860" w:type="dxa"/>
            <w:noWrap/>
            <w:vAlign w:val="center"/>
          </w:tcPr>
          <w:p w14:paraId="334736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8280</w:t>
            </w:r>
          </w:p>
        </w:tc>
        <w:tc>
          <w:tcPr>
            <w:tcW w:w="880" w:type="dxa"/>
            <w:noWrap/>
            <w:vAlign w:val="center"/>
          </w:tcPr>
          <w:p w14:paraId="3D5BEF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7879</w:t>
            </w:r>
          </w:p>
        </w:tc>
        <w:tc>
          <w:tcPr>
            <w:tcW w:w="1080" w:type="dxa"/>
            <w:noWrap/>
            <w:vAlign w:val="center"/>
          </w:tcPr>
          <w:p w14:paraId="719296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12152</w:t>
            </w:r>
          </w:p>
        </w:tc>
        <w:tc>
          <w:tcPr>
            <w:tcW w:w="880" w:type="dxa"/>
            <w:noWrap/>
            <w:vAlign w:val="center"/>
          </w:tcPr>
          <w:p w14:paraId="549799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6230</w:t>
            </w:r>
          </w:p>
        </w:tc>
        <w:tc>
          <w:tcPr>
            <w:tcW w:w="1780" w:type="dxa"/>
            <w:noWrap/>
            <w:vAlign w:val="center"/>
          </w:tcPr>
          <w:p w14:paraId="0AF375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3560</w:t>
            </w:r>
          </w:p>
        </w:tc>
        <w:tc>
          <w:tcPr>
            <w:tcW w:w="820" w:type="dxa"/>
            <w:noWrap/>
            <w:vAlign w:val="center"/>
          </w:tcPr>
          <w:p w14:paraId="35B09F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5922</w:t>
            </w:r>
          </w:p>
        </w:tc>
        <w:tc>
          <w:tcPr>
            <w:tcW w:w="1900" w:type="dxa"/>
            <w:noWrap/>
            <w:vAlign w:val="center"/>
          </w:tcPr>
          <w:p w14:paraId="07005F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3559</w:t>
            </w:r>
          </w:p>
        </w:tc>
      </w:tr>
      <w:tr w14:paraId="729D2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5A2080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主田镇</w:t>
            </w:r>
          </w:p>
        </w:tc>
        <w:tc>
          <w:tcPr>
            <w:tcW w:w="960" w:type="dxa"/>
            <w:noWrap/>
            <w:vAlign w:val="center"/>
          </w:tcPr>
          <w:p w14:paraId="034346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40" w:type="dxa"/>
            <w:noWrap/>
            <w:vAlign w:val="center"/>
          </w:tcPr>
          <w:p w14:paraId="3336DD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3058</w:t>
            </w:r>
          </w:p>
        </w:tc>
        <w:tc>
          <w:tcPr>
            <w:tcW w:w="1060" w:type="dxa"/>
            <w:noWrap/>
            <w:vAlign w:val="center"/>
          </w:tcPr>
          <w:p w14:paraId="20AA54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9383</w:t>
            </w:r>
          </w:p>
        </w:tc>
        <w:tc>
          <w:tcPr>
            <w:tcW w:w="816" w:type="dxa"/>
            <w:noWrap/>
            <w:vAlign w:val="center"/>
          </w:tcPr>
          <w:p w14:paraId="71F504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4750</w:t>
            </w:r>
          </w:p>
        </w:tc>
        <w:tc>
          <w:tcPr>
            <w:tcW w:w="816" w:type="dxa"/>
            <w:noWrap/>
            <w:vAlign w:val="center"/>
          </w:tcPr>
          <w:p w14:paraId="071744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4633</w:t>
            </w:r>
          </w:p>
        </w:tc>
        <w:tc>
          <w:tcPr>
            <w:tcW w:w="1080" w:type="dxa"/>
            <w:noWrap/>
            <w:vAlign w:val="center"/>
          </w:tcPr>
          <w:p w14:paraId="5EEF0A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6966</w:t>
            </w:r>
          </w:p>
        </w:tc>
        <w:tc>
          <w:tcPr>
            <w:tcW w:w="860" w:type="dxa"/>
            <w:noWrap/>
            <w:vAlign w:val="center"/>
          </w:tcPr>
          <w:p w14:paraId="08E56B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3537</w:t>
            </w:r>
          </w:p>
        </w:tc>
        <w:tc>
          <w:tcPr>
            <w:tcW w:w="880" w:type="dxa"/>
            <w:noWrap/>
            <w:vAlign w:val="center"/>
          </w:tcPr>
          <w:p w14:paraId="1D0211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3429</w:t>
            </w:r>
          </w:p>
        </w:tc>
        <w:tc>
          <w:tcPr>
            <w:tcW w:w="1080" w:type="dxa"/>
            <w:noWrap/>
            <w:vAlign w:val="center"/>
          </w:tcPr>
          <w:p w14:paraId="43C522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6139</w:t>
            </w:r>
          </w:p>
        </w:tc>
        <w:tc>
          <w:tcPr>
            <w:tcW w:w="880" w:type="dxa"/>
            <w:noWrap/>
            <w:vAlign w:val="center"/>
          </w:tcPr>
          <w:p w14:paraId="3A3A3D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3191</w:t>
            </w:r>
          </w:p>
        </w:tc>
        <w:tc>
          <w:tcPr>
            <w:tcW w:w="1780" w:type="dxa"/>
            <w:noWrap/>
            <w:vAlign w:val="center"/>
          </w:tcPr>
          <w:p w14:paraId="5B54FE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1832</w:t>
            </w:r>
          </w:p>
        </w:tc>
        <w:tc>
          <w:tcPr>
            <w:tcW w:w="820" w:type="dxa"/>
            <w:noWrap/>
            <w:vAlign w:val="center"/>
          </w:tcPr>
          <w:p w14:paraId="7594F7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2948</w:t>
            </w:r>
          </w:p>
        </w:tc>
        <w:tc>
          <w:tcPr>
            <w:tcW w:w="1900" w:type="dxa"/>
            <w:noWrap/>
            <w:vAlign w:val="center"/>
          </w:tcPr>
          <w:p w14:paraId="7D7C89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1482</w:t>
            </w:r>
          </w:p>
        </w:tc>
      </w:tr>
      <w:tr w14:paraId="24452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510B43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古市镇</w:t>
            </w:r>
          </w:p>
        </w:tc>
        <w:tc>
          <w:tcPr>
            <w:tcW w:w="960" w:type="dxa"/>
            <w:noWrap/>
            <w:vAlign w:val="center"/>
          </w:tcPr>
          <w:p w14:paraId="41A88A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40" w:type="dxa"/>
            <w:noWrap/>
            <w:vAlign w:val="center"/>
          </w:tcPr>
          <w:p w14:paraId="6B8936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5158</w:t>
            </w:r>
          </w:p>
        </w:tc>
        <w:tc>
          <w:tcPr>
            <w:tcW w:w="1060" w:type="dxa"/>
            <w:noWrap/>
            <w:vAlign w:val="center"/>
          </w:tcPr>
          <w:p w14:paraId="4AE5B4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13161</w:t>
            </w:r>
          </w:p>
        </w:tc>
        <w:tc>
          <w:tcPr>
            <w:tcW w:w="816" w:type="dxa"/>
            <w:noWrap/>
            <w:vAlign w:val="center"/>
          </w:tcPr>
          <w:p w14:paraId="156D8A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6701</w:t>
            </w:r>
          </w:p>
        </w:tc>
        <w:tc>
          <w:tcPr>
            <w:tcW w:w="816" w:type="dxa"/>
            <w:noWrap/>
            <w:vAlign w:val="center"/>
          </w:tcPr>
          <w:p w14:paraId="47A1F3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6460</w:t>
            </w:r>
          </w:p>
        </w:tc>
        <w:tc>
          <w:tcPr>
            <w:tcW w:w="1080" w:type="dxa"/>
            <w:noWrap/>
            <w:vAlign w:val="center"/>
          </w:tcPr>
          <w:p w14:paraId="069E40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12616</w:t>
            </w:r>
          </w:p>
        </w:tc>
        <w:tc>
          <w:tcPr>
            <w:tcW w:w="860" w:type="dxa"/>
            <w:noWrap/>
            <w:vAlign w:val="center"/>
          </w:tcPr>
          <w:p w14:paraId="7C4498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6403</w:t>
            </w:r>
          </w:p>
        </w:tc>
        <w:tc>
          <w:tcPr>
            <w:tcW w:w="880" w:type="dxa"/>
            <w:noWrap/>
            <w:vAlign w:val="center"/>
          </w:tcPr>
          <w:p w14:paraId="04C18D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6213</w:t>
            </w:r>
          </w:p>
        </w:tc>
        <w:tc>
          <w:tcPr>
            <w:tcW w:w="1080" w:type="dxa"/>
            <w:noWrap/>
            <w:vAlign w:val="center"/>
          </w:tcPr>
          <w:p w14:paraId="7508BC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7439</w:t>
            </w:r>
          </w:p>
        </w:tc>
        <w:tc>
          <w:tcPr>
            <w:tcW w:w="880" w:type="dxa"/>
            <w:noWrap/>
            <w:vAlign w:val="center"/>
          </w:tcPr>
          <w:p w14:paraId="0A89D5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4102</w:t>
            </w:r>
          </w:p>
        </w:tc>
        <w:tc>
          <w:tcPr>
            <w:tcW w:w="1780" w:type="dxa"/>
            <w:noWrap/>
            <w:vAlign w:val="center"/>
          </w:tcPr>
          <w:p w14:paraId="191BFF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2375</w:t>
            </w:r>
          </w:p>
        </w:tc>
        <w:tc>
          <w:tcPr>
            <w:tcW w:w="820" w:type="dxa"/>
            <w:noWrap/>
            <w:vAlign w:val="center"/>
          </w:tcPr>
          <w:p w14:paraId="4CC474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3337</w:t>
            </w:r>
          </w:p>
        </w:tc>
        <w:tc>
          <w:tcPr>
            <w:tcW w:w="1900" w:type="dxa"/>
            <w:noWrap/>
            <w:vAlign w:val="center"/>
          </w:tcPr>
          <w:p w14:paraId="6B380F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1931</w:t>
            </w:r>
          </w:p>
        </w:tc>
      </w:tr>
      <w:tr w14:paraId="4A570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6B24C9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全安镇</w:t>
            </w:r>
          </w:p>
        </w:tc>
        <w:tc>
          <w:tcPr>
            <w:tcW w:w="960" w:type="dxa"/>
            <w:noWrap w:val="0"/>
            <w:vAlign w:val="center"/>
          </w:tcPr>
          <w:p w14:paraId="1D0BE4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40" w:type="dxa"/>
            <w:noWrap w:val="0"/>
            <w:vAlign w:val="center"/>
          </w:tcPr>
          <w:p w14:paraId="03690F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6273</w:t>
            </w:r>
          </w:p>
        </w:tc>
        <w:tc>
          <w:tcPr>
            <w:tcW w:w="1060" w:type="dxa"/>
            <w:noWrap w:val="0"/>
            <w:vAlign w:val="center"/>
          </w:tcPr>
          <w:p w14:paraId="371C22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16215</w:t>
            </w:r>
          </w:p>
        </w:tc>
        <w:tc>
          <w:tcPr>
            <w:tcW w:w="816" w:type="dxa"/>
            <w:noWrap/>
            <w:vAlign w:val="center"/>
          </w:tcPr>
          <w:p w14:paraId="4C6251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8185</w:t>
            </w:r>
          </w:p>
        </w:tc>
        <w:tc>
          <w:tcPr>
            <w:tcW w:w="816" w:type="dxa"/>
            <w:noWrap/>
            <w:vAlign w:val="center"/>
          </w:tcPr>
          <w:p w14:paraId="67D42A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8030</w:t>
            </w:r>
          </w:p>
        </w:tc>
        <w:tc>
          <w:tcPr>
            <w:tcW w:w="1080" w:type="dxa"/>
            <w:noWrap/>
            <w:vAlign w:val="center"/>
          </w:tcPr>
          <w:p w14:paraId="4175F2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13638</w:t>
            </w:r>
          </w:p>
        </w:tc>
        <w:tc>
          <w:tcPr>
            <w:tcW w:w="860" w:type="dxa"/>
            <w:noWrap w:val="0"/>
            <w:vAlign w:val="center"/>
          </w:tcPr>
          <w:p w14:paraId="7E27DB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6942</w:t>
            </w:r>
          </w:p>
        </w:tc>
        <w:tc>
          <w:tcPr>
            <w:tcW w:w="880" w:type="dxa"/>
            <w:noWrap w:val="0"/>
            <w:vAlign w:val="center"/>
          </w:tcPr>
          <w:p w14:paraId="02506A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6696</w:t>
            </w:r>
          </w:p>
        </w:tc>
        <w:tc>
          <w:tcPr>
            <w:tcW w:w="1080" w:type="dxa"/>
            <w:noWrap/>
            <w:vAlign w:val="center"/>
          </w:tcPr>
          <w:p w14:paraId="5E97F2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7581</w:t>
            </w:r>
          </w:p>
        </w:tc>
        <w:tc>
          <w:tcPr>
            <w:tcW w:w="880" w:type="dxa"/>
            <w:noWrap w:val="0"/>
            <w:vAlign w:val="center"/>
          </w:tcPr>
          <w:p w14:paraId="160240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3869</w:t>
            </w:r>
          </w:p>
        </w:tc>
        <w:tc>
          <w:tcPr>
            <w:tcW w:w="1780" w:type="dxa"/>
            <w:noWrap w:val="0"/>
            <w:vAlign w:val="center"/>
          </w:tcPr>
          <w:p w14:paraId="4093C0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2702</w:t>
            </w:r>
          </w:p>
        </w:tc>
        <w:tc>
          <w:tcPr>
            <w:tcW w:w="820" w:type="dxa"/>
            <w:noWrap w:val="0"/>
            <w:vAlign w:val="center"/>
          </w:tcPr>
          <w:p w14:paraId="2EFA80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3712</w:t>
            </w:r>
          </w:p>
        </w:tc>
        <w:tc>
          <w:tcPr>
            <w:tcW w:w="1900" w:type="dxa"/>
            <w:noWrap w:val="0"/>
            <w:vAlign w:val="center"/>
          </w:tcPr>
          <w:p w14:paraId="7512BF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2573</w:t>
            </w:r>
          </w:p>
        </w:tc>
      </w:tr>
      <w:tr w14:paraId="49CC9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5832CD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百顺镇</w:t>
            </w:r>
          </w:p>
        </w:tc>
        <w:tc>
          <w:tcPr>
            <w:tcW w:w="960" w:type="dxa"/>
            <w:noWrap/>
            <w:vAlign w:val="center"/>
          </w:tcPr>
          <w:p w14:paraId="1D68B2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40" w:type="dxa"/>
            <w:noWrap/>
            <w:vAlign w:val="center"/>
          </w:tcPr>
          <w:p w14:paraId="16C5E5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3776</w:t>
            </w:r>
          </w:p>
        </w:tc>
        <w:tc>
          <w:tcPr>
            <w:tcW w:w="1060" w:type="dxa"/>
            <w:noWrap/>
            <w:vAlign w:val="center"/>
          </w:tcPr>
          <w:p w14:paraId="16260F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11148</w:t>
            </w:r>
          </w:p>
        </w:tc>
        <w:tc>
          <w:tcPr>
            <w:tcW w:w="816" w:type="dxa"/>
            <w:noWrap/>
            <w:vAlign w:val="center"/>
          </w:tcPr>
          <w:p w14:paraId="452EE0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5891</w:t>
            </w:r>
          </w:p>
        </w:tc>
        <w:tc>
          <w:tcPr>
            <w:tcW w:w="816" w:type="dxa"/>
            <w:noWrap/>
            <w:vAlign w:val="center"/>
          </w:tcPr>
          <w:p w14:paraId="6A4E1F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5257</w:t>
            </w:r>
          </w:p>
        </w:tc>
        <w:tc>
          <w:tcPr>
            <w:tcW w:w="1080" w:type="dxa"/>
            <w:noWrap/>
            <w:vAlign w:val="center"/>
          </w:tcPr>
          <w:p w14:paraId="30903A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8558</w:t>
            </w:r>
          </w:p>
        </w:tc>
        <w:tc>
          <w:tcPr>
            <w:tcW w:w="860" w:type="dxa"/>
            <w:noWrap/>
            <w:vAlign w:val="center"/>
          </w:tcPr>
          <w:p w14:paraId="32ADF8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4547</w:t>
            </w:r>
          </w:p>
        </w:tc>
        <w:tc>
          <w:tcPr>
            <w:tcW w:w="880" w:type="dxa"/>
            <w:noWrap/>
            <w:vAlign w:val="center"/>
          </w:tcPr>
          <w:p w14:paraId="0597F4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4011</w:t>
            </w:r>
          </w:p>
        </w:tc>
        <w:tc>
          <w:tcPr>
            <w:tcW w:w="1080" w:type="dxa"/>
            <w:noWrap/>
            <w:vAlign w:val="center"/>
          </w:tcPr>
          <w:p w14:paraId="373AC0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7459</w:t>
            </w:r>
          </w:p>
        </w:tc>
        <w:tc>
          <w:tcPr>
            <w:tcW w:w="880" w:type="dxa"/>
            <w:noWrap/>
            <w:vAlign w:val="center"/>
          </w:tcPr>
          <w:p w14:paraId="198AE2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3763</w:t>
            </w:r>
          </w:p>
        </w:tc>
        <w:tc>
          <w:tcPr>
            <w:tcW w:w="1780" w:type="dxa"/>
            <w:noWrap/>
            <w:vAlign w:val="center"/>
          </w:tcPr>
          <w:p w14:paraId="617FD5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2118</w:t>
            </w:r>
          </w:p>
        </w:tc>
        <w:tc>
          <w:tcPr>
            <w:tcW w:w="820" w:type="dxa"/>
            <w:noWrap/>
            <w:vAlign w:val="center"/>
          </w:tcPr>
          <w:p w14:paraId="37D988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3696</w:t>
            </w:r>
          </w:p>
        </w:tc>
        <w:tc>
          <w:tcPr>
            <w:tcW w:w="1900" w:type="dxa"/>
            <w:noWrap/>
            <w:vAlign w:val="center"/>
          </w:tcPr>
          <w:p w14:paraId="4E4869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2024</w:t>
            </w:r>
          </w:p>
        </w:tc>
      </w:tr>
      <w:tr w14:paraId="6ADD1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5AF176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澜河镇</w:t>
            </w:r>
          </w:p>
        </w:tc>
        <w:tc>
          <w:tcPr>
            <w:tcW w:w="960" w:type="dxa"/>
            <w:noWrap/>
            <w:vAlign w:val="center"/>
          </w:tcPr>
          <w:p w14:paraId="579C8F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040" w:type="dxa"/>
            <w:noWrap/>
            <w:vAlign w:val="center"/>
          </w:tcPr>
          <w:p w14:paraId="5CF0FD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2672</w:t>
            </w:r>
          </w:p>
        </w:tc>
        <w:tc>
          <w:tcPr>
            <w:tcW w:w="1060" w:type="dxa"/>
            <w:noWrap/>
            <w:vAlign w:val="center"/>
          </w:tcPr>
          <w:p w14:paraId="4BD940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6948</w:t>
            </w:r>
          </w:p>
        </w:tc>
        <w:tc>
          <w:tcPr>
            <w:tcW w:w="816" w:type="dxa"/>
            <w:noWrap/>
            <w:vAlign w:val="center"/>
          </w:tcPr>
          <w:p w14:paraId="60DB18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3787</w:t>
            </w:r>
          </w:p>
        </w:tc>
        <w:tc>
          <w:tcPr>
            <w:tcW w:w="816" w:type="dxa"/>
            <w:noWrap/>
            <w:vAlign w:val="center"/>
          </w:tcPr>
          <w:p w14:paraId="008BA8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3161</w:t>
            </w:r>
          </w:p>
        </w:tc>
        <w:tc>
          <w:tcPr>
            <w:tcW w:w="1080" w:type="dxa"/>
            <w:noWrap/>
            <w:vAlign w:val="center"/>
          </w:tcPr>
          <w:p w14:paraId="50C670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5865</w:t>
            </w:r>
          </w:p>
        </w:tc>
        <w:tc>
          <w:tcPr>
            <w:tcW w:w="860" w:type="dxa"/>
            <w:noWrap/>
            <w:vAlign w:val="center"/>
          </w:tcPr>
          <w:p w14:paraId="594A30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3109</w:t>
            </w:r>
          </w:p>
        </w:tc>
        <w:tc>
          <w:tcPr>
            <w:tcW w:w="880" w:type="dxa"/>
            <w:noWrap/>
            <w:vAlign w:val="center"/>
          </w:tcPr>
          <w:p w14:paraId="12BDA8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2756</w:t>
            </w:r>
          </w:p>
        </w:tc>
        <w:tc>
          <w:tcPr>
            <w:tcW w:w="1080" w:type="dxa"/>
            <w:noWrap/>
            <w:vAlign w:val="center"/>
          </w:tcPr>
          <w:p w14:paraId="16BE81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3203</w:t>
            </w:r>
          </w:p>
        </w:tc>
        <w:tc>
          <w:tcPr>
            <w:tcW w:w="880" w:type="dxa"/>
            <w:noWrap/>
            <w:vAlign w:val="center"/>
          </w:tcPr>
          <w:p w14:paraId="0B5AEF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1899</w:t>
            </w:r>
          </w:p>
        </w:tc>
        <w:tc>
          <w:tcPr>
            <w:tcW w:w="1780" w:type="dxa"/>
            <w:noWrap/>
            <w:vAlign w:val="center"/>
          </w:tcPr>
          <w:p w14:paraId="4FDF65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1321</w:t>
            </w:r>
          </w:p>
        </w:tc>
        <w:tc>
          <w:tcPr>
            <w:tcW w:w="820" w:type="dxa"/>
            <w:noWrap/>
            <w:vAlign w:val="center"/>
          </w:tcPr>
          <w:p w14:paraId="169CE1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1304</w:t>
            </w:r>
          </w:p>
        </w:tc>
        <w:tc>
          <w:tcPr>
            <w:tcW w:w="1900" w:type="dxa"/>
            <w:noWrap/>
            <w:vAlign w:val="center"/>
          </w:tcPr>
          <w:p w14:paraId="4073AB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765</w:t>
            </w:r>
          </w:p>
        </w:tc>
      </w:tr>
      <w:tr w14:paraId="0D954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496ED5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帽子峰镇</w:t>
            </w:r>
          </w:p>
        </w:tc>
        <w:tc>
          <w:tcPr>
            <w:tcW w:w="960" w:type="dxa"/>
            <w:noWrap/>
            <w:vAlign w:val="center"/>
          </w:tcPr>
          <w:p w14:paraId="3722B9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040" w:type="dxa"/>
            <w:noWrap/>
            <w:vAlign w:val="center"/>
          </w:tcPr>
          <w:p w14:paraId="77B8CF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2211</w:t>
            </w:r>
          </w:p>
        </w:tc>
        <w:tc>
          <w:tcPr>
            <w:tcW w:w="1060" w:type="dxa"/>
            <w:noWrap/>
            <w:vAlign w:val="center"/>
          </w:tcPr>
          <w:p w14:paraId="145817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6621</w:t>
            </w:r>
          </w:p>
        </w:tc>
        <w:tc>
          <w:tcPr>
            <w:tcW w:w="816" w:type="dxa"/>
            <w:noWrap/>
            <w:vAlign w:val="center"/>
          </w:tcPr>
          <w:p w14:paraId="615678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3431</w:t>
            </w:r>
          </w:p>
        </w:tc>
        <w:tc>
          <w:tcPr>
            <w:tcW w:w="816" w:type="dxa"/>
            <w:noWrap/>
            <w:vAlign w:val="center"/>
          </w:tcPr>
          <w:p w14:paraId="37ABD2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3190</w:t>
            </w:r>
          </w:p>
        </w:tc>
        <w:tc>
          <w:tcPr>
            <w:tcW w:w="1080" w:type="dxa"/>
            <w:noWrap/>
            <w:vAlign w:val="center"/>
          </w:tcPr>
          <w:p w14:paraId="0EFA91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5287</w:t>
            </w:r>
          </w:p>
        </w:tc>
        <w:tc>
          <w:tcPr>
            <w:tcW w:w="860" w:type="dxa"/>
            <w:noWrap/>
            <w:vAlign w:val="center"/>
          </w:tcPr>
          <w:p w14:paraId="213EC7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2717</w:t>
            </w:r>
          </w:p>
        </w:tc>
        <w:tc>
          <w:tcPr>
            <w:tcW w:w="880" w:type="dxa"/>
            <w:noWrap/>
            <w:vAlign w:val="center"/>
          </w:tcPr>
          <w:p w14:paraId="49B828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2570</w:t>
            </w:r>
          </w:p>
        </w:tc>
        <w:tc>
          <w:tcPr>
            <w:tcW w:w="1080" w:type="dxa"/>
            <w:noWrap/>
            <w:vAlign w:val="center"/>
          </w:tcPr>
          <w:p w14:paraId="1D0957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3849</w:t>
            </w:r>
          </w:p>
        </w:tc>
        <w:tc>
          <w:tcPr>
            <w:tcW w:w="880" w:type="dxa"/>
            <w:noWrap/>
            <w:vAlign w:val="center"/>
          </w:tcPr>
          <w:p w14:paraId="5A09D8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1986</w:t>
            </w:r>
          </w:p>
        </w:tc>
        <w:tc>
          <w:tcPr>
            <w:tcW w:w="1780" w:type="dxa"/>
            <w:noWrap/>
            <w:vAlign w:val="center"/>
          </w:tcPr>
          <w:p w14:paraId="2C920C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1207</w:t>
            </w:r>
          </w:p>
        </w:tc>
        <w:tc>
          <w:tcPr>
            <w:tcW w:w="820" w:type="dxa"/>
            <w:noWrap/>
            <w:vAlign w:val="center"/>
          </w:tcPr>
          <w:p w14:paraId="4DDE5E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1863</w:t>
            </w:r>
          </w:p>
        </w:tc>
        <w:tc>
          <w:tcPr>
            <w:tcW w:w="1900" w:type="dxa"/>
            <w:noWrap/>
            <w:vAlign w:val="center"/>
          </w:tcPr>
          <w:p w14:paraId="28CB75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1122</w:t>
            </w:r>
          </w:p>
        </w:tc>
      </w:tr>
      <w:tr w14:paraId="3B3DE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080" w:type="dxa"/>
            <w:noWrap w:val="0"/>
            <w:vAlign w:val="center"/>
          </w:tcPr>
          <w:p w14:paraId="2BD8EB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雄州街道</w:t>
            </w:r>
          </w:p>
        </w:tc>
        <w:tc>
          <w:tcPr>
            <w:tcW w:w="960" w:type="dxa"/>
            <w:noWrap/>
            <w:vAlign w:val="center"/>
          </w:tcPr>
          <w:p w14:paraId="195DAA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40" w:type="dxa"/>
            <w:noWrap/>
            <w:vAlign w:val="center"/>
          </w:tcPr>
          <w:p w14:paraId="521AF1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10371</w:t>
            </w:r>
          </w:p>
        </w:tc>
        <w:tc>
          <w:tcPr>
            <w:tcW w:w="1060" w:type="dxa"/>
            <w:noWrap/>
            <w:vAlign w:val="center"/>
          </w:tcPr>
          <w:p w14:paraId="457549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45409</w:t>
            </w:r>
          </w:p>
        </w:tc>
        <w:tc>
          <w:tcPr>
            <w:tcW w:w="816" w:type="dxa"/>
            <w:noWrap/>
            <w:vAlign w:val="center"/>
          </w:tcPr>
          <w:p w14:paraId="340869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22157</w:t>
            </w:r>
          </w:p>
        </w:tc>
        <w:tc>
          <w:tcPr>
            <w:tcW w:w="816" w:type="dxa"/>
            <w:noWrap/>
            <w:vAlign w:val="center"/>
          </w:tcPr>
          <w:p w14:paraId="4E4973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23252</w:t>
            </w:r>
          </w:p>
        </w:tc>
        <w:tc>
          <w:tcPr>
            <w:tcW w:w="1080" w:type="dxa"/>
            <w:noWrap/>
            <w:vAlign w:val="center"/>
          </w:tcPr>
          <w:p w14:paraId="7A95B9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38798</w:t>
            </w:r>
          </w:p>
        </w:tc>
        <w:tc>
          <w:tcPr>
            <w:tcW w:w="860" w:type="dxa"/>
            <w:noWrap/>
            <w:vAlign w:val="center"/>
          </w:tcPr>
          <w:p w14:paraId="1C51D3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19425</w:t>
            </w:r>
          </w:p>
        </w:tc>
        <w:tc>
          <w:tcPr>
            <w:tcW w:w="880" w:type="dxa"/>
            <w:noWrap/>
            <w:vAlign w:val="center"/>
          </w:tcPr>
          <w:p w14:paraId="0DB750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19373</w:t>
            </w:r>
          </w:p>
        </w:tc>
        <w:tc>
          <w:tcPr>
            <w:tcW w:w="1080" w:type="dxa"/>
            <w:noWrap/>
            <w:vAlign w:val="center"/>
          </w:tcPr>
          <w:p w14:paraId="765B1E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22475</w:t>
            </w:r>
          </w:p>
        </w:tc>
        <w:tc>
          <w:tcPr>
            <w:tcW w:w="880" w:type="dxa"/>
            <w:noWrap/>
            <w:vAlign w:val="center"/>
          </w:tcPr>
          <w:p w14:paraId="1AB616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11795</w:t>
            </w:r>
          </w:p>
        </w:tc>
        <w:tc>
          <w:tcPr>
            <w:tcW w:w="1780" w:type="dxa"/>
            <w:noWrap/>
            <w:vAlign w:val="center"/>
          </w:tcPr>
          <w:p w14:paraId="07679D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3658</w:t>
            </w:r>
          </w:p>
        </w:tc>
        <w:tc>
          <w:tcPr>
            <w:tcW w:w="820" w:type="dxa"/>
            <w:noWrap/>
            <w:vAlign w:val="center"/>
          </w:tcPr>
          <w:p w14:paraId="3DB86D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10680</w:t>
            </w:r>
          </w:p>
        </w:tc>
        <w:tc>
          <w:tcPr>
            <w:tcW w:w="1900" w:type="dxa"/>
            <w:noWrap/>
            <w:vAlign w:val="center"/>
          </w:tcPr>
          <w:p w14:paraId="667F81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3269</w:t>
            </w:r>
          </w:p>
        </w:tc>
      </w:tr>
    </w:tbl>
    <w:p w14:paraId="26AB952E">
      <w:pPr>
        <w:jc w:val="center"/>
        <w:rPr>
          <w:rFonts w:hint="eastAsia" w:hAnsi="宋体" w:cs="宋体"/>
          <w:highlight w:val="none"/>
        </w:rPr>
      </w:pPr>
      <w:r>
        <w:rPr>
          <w:rFonts w:hAnsi="宋体" w:cs="宋体"/>
          <w:highlight w:val="none"/>
        </w:rPr>
        <w:br w:type="page"/>
      </w:r>
      <w:r>
        <w:rPr>
          <w:rFonts w:hint="eastAsia" w:hAnsi="宋体" w:cs="宋体"/>
          <w:highlight w:val="none"/>
        </w:rPr>
        <w:t>农村基本情况及农业生产条件（二）</w:t>
      </w:r>
    </w:p>
    <w:p w14:paraId="67E2FB57">
      <w:pPr>
        <w:rPr>
          <w:rFonts w:hint="eastAsia" w:hAnsi="宋体" w:cs="宋体"/>
          <w:highlight w:val="none"/>
        </w:rPr>
      </w:pPr>
      <w:r>
        <w:rPr>
          <w:rFonts w:hint="eastAsia" w:hAnsi="宋体" w:cs="宋体"/>
          <w:highlight w:val="none"/>
        </w:rPr>
        <w:t>表49</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822"/>
        <w:gridCol w:w="787"/>
        <w:gridCol w:w="667"/>
        <w:gridCol w:w="1094"/>
        <w:gridCol w:w="957"/>
        <w:gridCol w:w="957"/>
        <w:gridCol w:w="957"/>
        <w:gridCol w:w="957"/>
        <w:gridCol w:w="957"/>
        <w:gridCol w:w="1214"/>
        <w:gridCol w:w="889"/>
        <w:gridCol w:w="889"/>
        <w:gridCol w:w="838"/>
        <w:gridCol w:w="1111"/>
      </w:tblGrid>
      <w:tr w14:paraId="1CB91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vMerge w:val="restart"/>
            <w:noWrap/>
            <w:vAlign w:val="center"/>
          </w:tcPr>
          <w:p w14:paraId="3A8088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单位名称</w:t>
            </w:r>
          </w:p>
        </w:tc>
        <w:tc>
          <w:tcPr>
            <w:tcW w:w="2276" w:type="dxa"/>
            <w:gridSpan w:val="3"/>
            <w:noWrap/>
            <w:vAlign w:val="center"/>
          </w:tcPr>
          <w:p w14:paraId="72AF25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三、农村基础设施</w:t>
            </w:r>
          </w:p>
        </w:tc>
        <w:tc>
          <w:tcPr>
            <w:tcW w:w="10820" w:type="dxa"/>
            <w:gridSpan w:val="11"/>
            <w:noWrap/>
            <w:vAlign w:val="center"/>
          </w:tcPr>
          <w:p w14:paraId="1FFBA9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四、农业主要物质消耗</w:t>
            </w:r>
          </w:p>
        </w:tc>
      </w:tr>
      <w:tr w14:paraId="1C769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vMerge w:val="continue"/>
            <w:noWrap w:val="0"/>
            <w:vAlign w:val="center"/>
          </w:tcPr>
          <w:p w14:paraId="643349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22" w:type="dxa"/>
            <w:vMerge w:val="restart"/>
            <w:noWrap w:val="0"/>
            <w:vAlign w:val="center"/>
          </w:tcPr>
          <w:p w14:paraId="2D97F3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自来水受益村数（个）</w:t>
            </w:r>
          </w:p>
        </w:tc>
        <w:tc>
          <w:tcPr>
            <w:tcW w:w="787" w:type="dxa"/>
            <w:vMerge w:val="restart"/>
            <w:noWrap w:val="0"/>
            <w:vAlign w:val="center"/>
          </w:tcPr>
          <w:p w14:paraId="0E6E43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通有线电视村数（个）</w:t>
            </w:r>
          </w:p>
        </w:tc>
        <w:tc>
          <w:tcPr>
            <w:tcW w:w="667" w:type="dxa"/>
            <w:vMerge w:val="restart"/>
            <w:noWrap w:val="0"/>
            <w:vAlign w:val="center"/>
          </w:tcPr>
          <w:p w14:paraId="74355A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通宽带村数（个）</w:t>
            </w:r>
          </w:p>
        </w:tc>
        <w:tc>
          <w:tcPr>
            <w:tcW w:w="1094" w:type="dxa"/>
            <w:vMerge w:val="restart"/>
            <w:noWrap w:val="0"/>
            <w:vAlign w:val="center"/>
          </w:tcPr>
          <w:p w14:paraId="53F6AC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农用化肥施用量（折纯）（吨）</w:t>
            </w:r>
          </w:p>
        </w:tc>
        <w:tc>
          <w:tcPr>
            <w:tcW w:w="957" w:type="dxa"/>
            <w:noWrap/>
            <w:vAlign w:val="bottom"/>
          </w:tcPr>
          <w:p w14:paraId="6C443A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7" w:type="dxa"/>
            <w:noWrap/>
            <w:vAlign w:val="bottom"/>
          </w:tcPr>
          <w:p w14:paraId="307F24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7" w:type="dxa"/>
            <w:noWrap/>
            <w:vAlign w:val="bottom"/>
          </w:tcPr>
          <w:p w14:paraId="35E71A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7" w:type="dxa"/>
            <w:noWrap/>
            <w:vAlign w:val="bottom"/>
          </w:tcPr>
          <w:p w14:paraId="2B3B82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7" w:type="dxa"/>
            <w:vMerge w:val="restart"/>
            <w:noWrap w:val="0"/>
            <w:vAlign w:val="center"/>
          </w:tcPr>
          <w:p w14:paraId="0CECEA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农用塑料薄膜使用量（吨）</w:t>
            </w:r>
          </w:p>
        </w:tc>
        <w:tc>
          <w:tcPr>
            <w:tcW w:w="1214" w:type="dxa"/>
            <w:noWrap/>
            <w:vAlign w:val="bottom"/>
          </w:tcPr>
          <w:p w14:paraId="0A27CF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89" w:type="dxa"/>
            <w:vMerge w:val="restart"/>
            <w:noWrap w:val="0"/>
            <w:vAlign w:val="center"/>
          </w:tcPr>
          <w:p w14:paraId="7FDEBE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地膜覆盖面积（亩）</w:t>
            </w:r>
          </w:p>
        </w:tc>
        <w:tc>
          <w:tcPr>
            <w:tcW w:w="889" w:type="dxa"/>
            <w:vMerge w:val="restart"/>
            <w:noWrap w:val="0"/>
            <w:vAlign w:val="center"/>
          </w:tcPr>
          <w:p w14:paraId="5A5514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农用柴油使用量（吨）</w:t>
            </w:r>
          </w:p>
        </w:tc>
        <w:tc>
          <w:tcPr>
            <w:tcW w:w="838" w:type="dxa"/>
            <w:vMerge w:val="restart"/>
            <w:noWrap w:val="0"/>
            <w:vAlign w:val="center"/>
          </w:tcPr>
          <w:p w14:paraId="511269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农药</w:t>
            </w:r>
            <w:r>
              <w:rPr>
                <w:rFonts w:hint="eastAsia"/>
                <w:highlight w:val="none"/>
              </w:rPr>
              <w:br w:type="textWrapping"/>
            </w:r>
            <w:r>
              <w:rPr>
                <w:rFonts w:hint="eastAsia"/>
                <w:highlight w:val="none"/>
              </w:rPr>
              <w:t>使用量（吨）</w:t>
            </w:r>
          </w:p>
        </w:tc>
        <w:tc>
          <w:tcPr>
            <w:tcW w:w="1111" w:type="dxa"/>
            <w:vMerge w:val="restart"/>
            <w:noWrap w:val="0"/>
            <w:vAlign w:val="center"/>
          </w:tcPr>
          <w:p w14:paraId="218BA4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农村用电量（万千万时）</w:t>
            </w:r>
          </w:p>
        </w:tc>
      </w:tr>
      <w:tr w14:paraId="00CDE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vMerge w:val="continue"/>
            <w:noWrap w:val="0"/>
            <w:vAlign w:val="center"/>
          </w:tcPr>
          <w:p w14:paraId="276305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22" w:type="dxa"/>
            <w:vMerge w:val="continue"/>
            <w:noWrap w:val="0"/>
            <w:vAlign w:val="center"/>
          </w:tcPr>
          <w:p w14:paraId="2189EA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787" w:type="dxa"/>
            <w:vMerge w:val="continue"/>
            <w:noWrap w:val="0"/>
            <w:vAlign w:val="center"/>
          </w:tcPr>
          <w:p w14:paraId="0827B4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667" w:type="dxa"/>
            <w:vMerge w:val="continue"/>
            <w:noWrap w:val="0"/>
            <w:vAlign w:val="center"/>
          </w:tcPr>
          <w:p w14:paraId="264494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094" w:type="dxa"/>
            <w:vMerge w:val="continue"/>
            <w:noWrap w:val="0"/>
            <w:vAlign w:val="center"/>
          </w:tcPr>
          <w:p w14:paraId="3ADC06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57" w:type="dxa"/>
            <w:noWrap w:val="0"/>
            <w:vAlign w:val="center"/>
          </w:tcPr>
          <w:p w14:paraId="2F3948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氮肥（吨）</w:t>
            </w:r>
          </w:p>
        </w:tc>
        <w:tc>
          <w:tcPr>
            <w:tcW w:w="957" w:type="dxa"/>
            <w:noWrap w:val="0"/>
            <w:vAlign w:val="center"/>
          </w:tcPr>
          <w:p w14:paraId="13752F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磷肥（吨）</w:t>
            </w:r>
          </w:p>
        </w:tc>
        <w:tc>
          <w:tcPr>
            <w:tcW w:w="957" w:type="dxa"/>
            <w:noWrap w:val="0"/>
            <w:vAlign w:val="center"/>
          </w:tcPr>
          <w:p w14:paraId="7BFFA0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钾肥（吨）</w:t>
            </w:r>
          </w:p>
        </w:tc>
        <w:tc>
          <w:tcPr>
            <w:tcW w:w="957" w:type="dxa"/>
            <w:noWrap w:val="0"/>
            <w:vAlign w:val="center"/>
          </w:tcPr>
          <w:p w14:paraId="349C5F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复合肥（吨）</w:t>
            </w:r>
          </w:p>
        </w:tc>
        <w:tc>
          <w:tcPr>
            <w:tcW w:w="957" w:type="dxa"/>
            <w:vMerge w:val="continue"/>
            <w:noWrap w:val="0"/>
            <w:vAlign w:val="center"/>
          </w:tcPr>
          <w:p w14:paraId="68371E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214" w:type="dxa"/>
            <w:noWrap w:val="0"/>
            <w:vAlign w:val="center"/>
          </w:tcPr>
          <w:p w14:paraId="19ABD0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地膜使用量（吨）</w:t>
            </w:r>
          </w:p>
        </w:tc>
        <w:tc>
          <w:tcPr>
            <w:tcW w:w="889" w:type="dxa"/>
            <w:vMerge w:val="continue"/>
            <w:noWrap w:val="0"/>
            <w:vAlign w:val="center"/>
          </w:tcPr>
          <w:p w14:paraId="3F6DCD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89" w:type="dxa"/>
            <w:vMerge w:val="continue"/>
            <w:noWrap w:val="0"/>
            <w:vAlign w:val="center"/>
          </w:tcPr>
          <w:p w14:paraId="1465FD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38" w:type="dxa"/>
            <w:vMerge w:val="continue"/>
            <w:noWrap w:val="0"/>
            <w:vAlign w:val="center"/>
          </w:tcPr>
          <w:p w14:paraId="0E9B9A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11" w:type="dxa"/>
            <w:vMerge w:val="continue"/>
            <w:noWrap w:val="0"/>
            <w:vAlign w:val="center"/>
          </w:tcPr>
          <w:p w14:paraId="0637D7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4CFD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ign w:val="center"/>
          </w:tcPr>
          <w:p w14:paraId="5A808A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w:t>
            </w:r>
          </w:p>
        </w:tc>
        <w:tc>
          <w:tcPr>
            <w:tcW w:w="822" w:type="dxa"/>
            <w:noWrap/>
            <w:vAlign w:val="center"/>
          </w:tcPr>
          <w:p w14:paraId="02C878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w:t>
            </w:r>
          </w:p>
        </w:tc>
        <w:tc>
          <w:tcPr>
            <w:tcW w:w="787" w:type="dxa"/>
            <w:noWrap/>
            <w:vAlign w:val="center"/>
          </w:tcPr>
          <w:p w14:paraId="60F3FE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200</w:t>
            </w:r>
          </w:p>
        </w:tc>
        <w:tc>
          <w:tcPr>
            <w:tcW w:w="667" w:type="dxa"/>
            <w:noWrap/>
            <w:vAlign w:val="center"/>
          </w:tcPr>
          <w:p w14:paraId="58F2A8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w:t>
            </w:r>
          </w:p>
        </w:tc>
        <w:tc>
          <w:tcPr>
            <w:tcW w:w="1094" w:type="dxa"/>
            <w:noWrap/>
            <w:vAlign w:val="center"/>
          </w:tcPr>
          <w:p w14:paraId="25A55C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18206</w:t>
            </w:r>
          </w:p>
        </w:tc>
        <w:tc>
          <w:tcPr>
            <w:tcW w:w="957" w:type="dxa"/>
            <w:noWrap/>
            <w:vAlign w:val="center"/>
          </w:tcPr>
          <w:p w14:paraId="24082C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6365</w:t>
            </w:r>
          </w:p>
        </w:tc>
        <w:tc>
          <w:tcPr>
            <w:tcW w:w="957" w:type="dxa"/>
            <w:noWrap/>
            <w:vAlign w:val="center"/>
          </w:tcPr>
          <w:p w14:paraId="04E989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1495</w:t>
            </w:r>
          </w:p>
        </w:tc>
        <w:tc>
          <w:tcPr>
            <w:tcW w:w="957" w:type="dxa"/>
            <w:noWrap/>
            <w:vAlign w:val="center"/>
          </w:tcPr>
          <w:p w14:paraId="0639EE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3251</w:t>
            </w:r>
          </w:p>
        </w:tc>
        <w:tc>
          <w:tcPr>
            <w:tcW w:w="957" w:type="dxa"/>
            <w:noWrap/>
            <w:vAlign w:val="center"/>
          </w:tcPr>
          <w:p w14:paraId="0A1D2D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7095</w:t>
            </w:r>
          </w:p>
        </w:tc>
        <w:tc>
          <w:tcPr>
            <w:tcW w:w="957" w:type="dxa"/>
            <w:noWrap/>
            <w:vAlign w:val="center"/>
          </w:tcPr>
          <w:p w14:paraId="39B5FD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915</w:t>
            </w:r>
          </w:p>
        </w:tc>
        <w:tc>
          <w:tcPr>
            <w:tcW w:w="1214" w:type="dxa"/>
            <w:noWrap/>
            <w:vAlign w:val="center"/>
          </w:tcPr>
          <w:p w14:paraId="6B6F80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624</w:t>
            </w:r>
          </w:p>
        </w:tc>
        <w:tc>
          <w:tcPr>
            <w:tcW w:w="889" w:type="dxa"/>
            <w:noWrap/>
            <w:vAlign w:val="center"/>
          </w:tcPr>
          <w:p w14:paraId="76AFDD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71644</w:t>
            </w:r>
          </w:p>
        </w:tc>
        <w:tc>
          <w:tcPr>
            <w:tcW w:w="889" w:type="dxa"/>
            <w:noWrap/>
            <w:vAlign w:val="center"/>
          </w:tcPr>
          <w:p w14:paraId="2BF809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6288</w:t>
            </w:r>
          </w:p>
        </w:tc>
        <w:tc>
          <w:tcPr>
            <w:tcW w:w="838" w:type="dxa"/>
            <w:noWrap/>
            <w:vAlign w:val="center"/>
          </w:tcPr>
          <w:p w14:paraId="768BF6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898</w:t>
            </w:r>
          </w:p>
        </w:tc>
        <w:tc>
          <w:tcPr>
            <w:tcW w:w="1111" w:type="dxa"/>
            <w:noWrap/>
            <w:vAlign w:val="center"/>
          </w:tcPr>
          <w:p w14:paraId="2DBE03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8020</w:t>
            </w:r>
          </w:p>
        </w:tc>
      </w:tr>
      <w:tr w14:paraId="6AA16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41BEF2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乌迳镇</w:t>
            </w:r>
          </w:p>
        </w:tc>
        <w:tc>
          <w:tcPr>
            <w:tcW w:w="822" w:type="dxa"/>
            <w:noWrap/>
            <w:vAlign w:val="center"/>
          </w:tcPr>
          <w:p w14:paraId="13DCF7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787" w:type="dxa"/>
            <w:noWrap/>
            <w:vAlign w:val="center"/>
          </w:tcPr>
          <w:p w14:paraId="093C8A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667" w:type="dxa"/>
            <w:noWrap/>
            <w:vAlign w:val="center"/>
          </w:tcPr>
          <w:p w14:paraId="73CDFD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1094" w:type="dxa"/>
            <w:noWrap/>
            <w:vAlign w:val="center"/>
          </w:tcPr>
          <w:p w14:paraId="4D03DE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1878</w:t>
            </w:r>
          </w:p>
        </w:tc>
        <w:tc>
          <w:tcPr>
            <w:tcW w:w="957" w:type="dxa"/>
            <w:noWrap/>
            <w:vAlign w:val="center"/>
          </w:tcPr>
          <w:p w14:paraId="36EA96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643</w:t>
            </w:r>
          </w:p>
        </w:tc>
        <w:tc>
          <w:tcPr>
            <w:tcW w:w="957" w:type="dxa"/>
            <w:noWrap/>
            <w:vAlign w:val="center"/>
          </w:tcPr>
          <w:p w14:paraId="12C3B6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158</w:t>
            </w:r>
          </w:p>
        </w:tc>
        <w:tc>
          <w:tcPr>
            <w:tcW w:w="957" w:type="dxa"/>
            <w:noWrap/>
            <w:vAlign w:val="center"/>
          </w:tcPr>
          <w:p w14:paraId="2ED64B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336</w:t>
            </w:r>
          </w:p>
        </w:tc>
        <w:tc>
          <w:tcPr>
            <w:tcW w:w="957" w:type="dxa"/>
            <w:noWrap/>
            <w:vAlign w:val="center"/>
          </w:tcPr>
          <w:p w14:paraId="19B832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741</w:t>
            </w:r>
          </w:p>
        </w:tc>
        <w:tc>
          <w:tcPr>
            <w:tcW w:w="957" w:type="dxa"/>
            <w:noWrap/>
            <w:vAlign w:val="center"/>
          </w:tcPr>
          <w:p w14:paraId="7CCF85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w:t>
            </w:r>
          </w:p>
        </w:tc>
        <w:tc>
          <w:tcPr>
            <w:tcW w:w="1214" w:type="dxa"/>
            <w:noWrap/>
            <w:vAlign w:val="center"/>
          </w:tcPr>
          <w:p w14:paraId="6BB71E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w:t>
            </w:r>
          </w:p>
        </w:tc>
        <w:tc>
          <w:tcPr>
            <w:tcW w:w="889" w:type="dxa"/>
            <w:noWrap/>
            <w:vAlign w:val="center"/>
          </w:tcPr>
          <w:p w14:paraId="72FA22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4030</w:t>
            </w:r>
          </w:p>
        </w:tc>
        <w:tc>
          <w:tcPr>
            <w:tcW w:w="889" w:type="dxa"/>
            <w:noWrap/>
            <w:vAlign w:val="center"/>
          </w:tcPr>
          <w:p w14:paraId="0C7844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452</w:t>
            </w:r>
          </w:p>
        </w:tc>
        <w:tc>
          <w:tcPr>
            <w:tcW w:w="838" w:type="dxa"/>
            <w:noWrap/>
            <w:vAlign w:val="center"/>
          </w:tcPr>
          <w:p w14:paraId="7DC4E7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w:t>
            </w:r>
          </w:p>
        </w:tc>
        <w:tc>
          <w:tcPr>
            <w:tcW w:w="1111" w:type="dxa"/>
            <w:noWrap/>
            <w:vAlign w:val="center"/>
          </w:tcPr>
          <w:p w14:paraId="47FDDE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814</w:t>
            </w:r>
          </w:p>
        </w:tc>
      </w:tr>
      <w:tr w14:paraId="00193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51E434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界址镇</w:t>
            </w:r>
          </w:p>
        </w:tc>
        <w:tc>
          <w:tcPr>
            <w:tcW w:w="822" w:type="dxa"/>
            <w:noWrap/>
            <w:vAlign w:val="center"/>
          </w:tcPr>
          <w:p w14:paraId="344B4E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787" w:type="dxa"/>
            <w:noWrap/>
            <w:vAlign w:val="center"/>
          </w:tcPr>
          <w:p w14:paraId="4D1C26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667" w:type="dxa"/>
            <w:noWrap/>
            <w:vAlign w:val="center"/>
          </w:tcPr>
          <w:p w14:paraId="27FD6E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94" w:type="dxa"/>
            <w:noWrap/>
            <w:vAlign w:val="center"/>
          </w:tcPr>
          <w:p w14:paraId="75B817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488</w:t>
            </w:r>
          </w:p>
        </w:tc>
        <w:tc>
          <w:tcPr>
            <w:tcW w:w="957" w:type="dxa"/>
            <w:noWrap/>
            <w:vAlign w:val="center"/>
          </w:tcPr>
          <w:p w14:paraId="787390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167</w:t>
            </w:r>
          </w:p>
        </w:tc>
        <w:tc>
          <w:tcPr>
            <w:tcW w:w="957" w:type="dxa"/>
            <w:noWrap/>
            <w:vAlign w:val="center"/>
          </w:tcPr>
          <w:p w14:paraId="34CCFF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w:t>
            </w:r>
          </w:p>
        </w:tc>
        <w:tc>
          <w:tcPr>
            <w:tcW w:w="957" w:type="dxa"/>
            <w:noWrap/>
            <w:vAlign w:val="center"/>
          </w:tcPr>
          <w:p w14:paraId="047632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w:t>
            </w:r>
          </w:p>
        </w:tc>
        <w:tc>
          <w:tcPr>
            <w:tcW w:w="957" w:type="dxa"/>
            <w:noWrap/>
            <w:vAlign w:val="center"/>
          </w:tcPr>
          <w:p w14:paraId="75C438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204</w:t>
            </w:r>
          </w:p>
        </w:tc>
        <w:tc>
          <w:tcPr>
            <w:tcW w:w="957" w:type="dxa"/>
            <w:noWrap/>
            <w:vAlign w:val="center"/>
          </w:tcPr>
          <w:p w14:paraId="4BE945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w:t>
            </w:r>
          </w:p>
        </w:tc>
        <w:tc>
          <w:tcPr>
            <w:tcW w:w="1214" w:type="dxa"/>
            <w:noWrap/>
            <w:vAlign w:val="center"/>
          </w:tcPr>
          <w:p w14:paraId="54693F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w:t>
            </w:r>
          </w:p>
        </w:tc>
        <w:tc>
          <w:tcPr>
            <w:tcW w:w="889" w:type="dxa"/>
            <w:noWrap/>
            <w:vAlign w:val="center"/>
          </w:tcPr>
          <w:p w14:paraId="4DB55A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1768</w:t>
            </w:r>
          </w:p>
        </w:tc>
        <w:tc>
          <w:tcPr>
            <w:tcW w:w="889" w:type="dxa"/>
            <w:noWrap/>
            <w:vAlign w:val="center"/>
          </w:tcPr>
          <w:p w14:paraId="19B67D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161</w:t>
            </w:r>
          </w:p>
        </w:tc>
        <w:tc>
          <w:tcPr>
            <w:tcW w:w="838" w:type="dxa"/>
            <w:noWrap/>
            <w:vAlign w:val="center"/>
          </w:tcPr>
          <w:p w14:paraId="63C31B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w:t>
            </w:r>
          </w:p>
        </w:tc>
        <w:tc>
          <w:tcPr>
            <w:tcW w:w="1111" w:type="dxa"/>
            <w:noWrap/>
            <w:vAlign w:val="center"/>
          </w:tcPr>
          <w:p w14:paraId="5B9BDB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284</w:t>
            </w:r>
          </w:p>
        </w:tc>
      </w:tr>
      <w:tr w14:paraId="4F1DC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68851A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坪田镇</w:t>
            </w:r>
          </w:p>
        </w:tc>
        <w:tc>
          <w:tcPr>
            <w:tcW w:w="822" w:type="dxa"/>
            <w:noWrap/>
            <w:vAlign w:val="center"/>
          </w:tcPr>
          <w:p w14:paraId="2417FB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787" w:type="dxa"/>
            <w:noWrap/>
            <w:vAlign w:val="center"/>
          </w:tcPr>
          <w:p w14:paraId="06E06C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667" w:type="dxa"/>
            <w:noWrap/>
            <w:vAlign w:val="center"/>
          </w:tcPr>
          <w:p w14:paraId="6B2A38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1094" w:type="dxa"/>
            <w:noWrap/>
            <w:vAlign w:val="center"/>
          </w:tcPr>
          <w:p w14:paraId="202F47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1068</w:t>
            </w:r>
          </w:p>
        </w:tc>
        <w:tc>
          <w:tcPr>
            <w:tcW w:w="957" w:type="dxa"/>
            <w:noWrap/>
            <w:vAlign w:val="center"/>
          </w:tcPr>
          <w:p w14:paraId="11AB55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372</w:t>
            </w:r>
          </w:p>
        </w:tc>
        <w:tc>
          <w:tcPr>
            <w:tcW w:w="957" w:type="dxa"/>
            <w:noWrap/>
            <w:vAlign w:val="center"/>
          </w:tcPr>
          <w:p w14:paraId="022720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w:t>
            </w:r>
          </w:p>
        </w:tc>
        <w:tc>
          <w:tcPr>
            <w:tcW w:w="957" w:type="dxa"/>
            <w:noWrap/>
            <w:vAlign w:val="center"/>
          </w:tcPr>
          <w:p w14:paraId="34AF03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186</w:t>
            </w:r>
          </w:p>
        </w:tc>
        <w:tc>
          <w:tcPr>
            <w:tcW w:w="957" w:type="dxa"/>
            <w:noWrap/>
            <w:vAlign w:val="center"/>
          </w:tcPr>
          <w:p w14:paraId="058F76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421</w:t>
            </w:r>
          </w:p>
        </w:tc>
        <w:tc>
          <w:tcPr>
            <w:tcW w:w="957" w:type="dxa"/>
            <w:noWrap/>
            <w:vAlign w:val="center"/>
          </w:tcPr>
          <w:p w14:paraId="3B59CF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w:t>
            </w:r>
          </w:p>
        </w:tc>
        <w:tc>
          <w:tcPr>
            <w:tcW w:w="1214" w:type="dxa"/>
            <w:noWrap/>
            <w:vAlign w:val="center"/>
          </w:tcPr>
          <w:p w14:paraId="45CEF8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w:t>
            </w:r>
          </w:p>
        </w:tc>
        <w:tc>
          <w:tcPr>
            <w:tcW w:w="889" w:type="dxa"/>
            <w:noWrap/>
            <w:vAlign w:val="center"/>
          </w:tcPr>
          <w:p w14:paraId="064571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1418</w:t>
            </w:r>
          </w:p>
        </w:tc>
        <w:tc>
          <w:tcPr>
            <w:tcW w:w="889" w:type="dxa"/>
            <w:noWrap/>
            <w:vAlign w:val="center"/>
          </w:tcPr>
          <w:p w14:paraId="15803E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186</w:t>
            </w:r>
          </w:p>
        </w:tc>
        <w:tc>
          <w:tcPr>
            <w:tcW w:w="838" w:type="dxa"/>
            <w:noWrap/>
            <w:vAlign w:val="center"/>
          </w:tcPr>
          <w:p w14:paraId="0F63C0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w:t>
            </w:r>
          </w:p>
        </w:tc>
        <w:tc>
          <w:tcPr>
            <w:tcW w:w="1111" w:type="dxa"/>
            <w:noWrap/>
            <w:vAlign w:val="center"/>
          </w:tcPr>
          <w:p w14:paraId="0D5606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467</w:t>
            </w:r>
          </w:p>
        </w:tc>
      </w:tr>
      <w:tr w14:paraId="6188F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0E60EE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黄坑镇</w:t>
            </w:r>
          </w:p>
        </w:tc>
        <w:tc>
          <w:tcPr>
            <w:tcW w:w="822" w:type="dxa"/>
            <w:noWrap/>
            <w:vAlign w:val="center"/>
          </w:tcPr>
          <w:p w14:paraId="678DA2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787" w:type="dxa"/>
            <w:noWrap/>
            <w:vAlign w:val="center"/>
          </w:tcPr>
          <w:p w14:paraId="6775C4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667" w:type="dxa"/>
            <w:noWrap/>
            <w:vAlign w:val="center"/>
          </w:tcPr>
          <w:p w14:paraId="2C2BC2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094" w:type="dxa"/>
            <w:noWrap/>
            <w:vAlign w:val="center"/>
          </w:tcPr>
          <w:p w14:paraId="773684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1308</w:t>
            </w:r>
          </w:p>
        </w:tc>
        <w:tc>
          <w:tcPr>
            <w:tcW w:w="957" w:type="dxa"/>
            <w:noWrap/>
            <w:vAlign w:val="center"/>
          </w:tcPr>
          <w:p w14:paraId="629452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463</w:t>
            </w:r>
          </w:p>
        </w:tc>
        <w:tc>
          <w:tcPr>
            <w:tcW w:w="957" w:type="dxa"/>
            <w:noWrap/>
            <w:vAlign w:val="center"/>
          </w:tcPr>
          <w:p w14:paraId="351937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99</w:t>
            </w:r>
          </w:p>
        </w:tc>
        <w:tc>
          <w:tcPr>
            <w:tcW w:w="957" w:type="dxa"/>
            <w:noWrap/>
            <w:vAlign w:val="center"/>
          </w:tcPr>
          <w:p w14:paraId="19B96D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229</w:t>
            </w:r>
          </w:p>
        </w:tc>
        <w:tc>
          <w:tcPr>
            <w:tcW w:w="957" w:type="dxa"/>
            <w:noWrap/>
            <w:vAlign w:val="center"/>
          </w:tcPr>
          <w:p w14:paraId="7548D0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517</w:t>
            </w:r>
          </w:p>
        </w:tc>
        <w:tc>
          <w:tcPr>
            <w:tcW w:w="957" w:type="dxa"/>
            <w:noWrap/>
            <w:vAlign w:val="center"/>
          </w:tcPr>
          <w:p w14:paraId="2252ED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w:t>
            </w:r>
          </w:p>
        </w:tc>
        <w:tc>
          <w:tcPr>
            <w:tcW w:w="1214" w:type="dxa"/>
            <w:noWrap/>
            <w:vAlign w:val="center"/>
          </w:tcPr>
          <w:p w14:paraId="0665BA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w:t>
            </w:r>
          </w:p>
        </w:tc>
        <w:tc>
          <w:tcPr>
            <w:tcW w:w="889" w:type="dxa"/>
            <w:noWrap/>
            <w:vAlign w:val="center"/>
          </w:tcPr>
          <w:p w14:paraId="36F651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4563</w:t>
            </w:r>
          </w:p>
        </w:tc>
        <w:tc>
          <w:tcPr>
            <w:tcW w:w="889" w:type="dxa"/>
            <w:noWrap/>
            <w:vAlign w:val="center"/>
          </w:tcPr>
          <w:p w14:paraId="62423A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431</w:t>
            </w:r>
          </w:p>
        </w:tc>
        <w:tc>
          <w:tcPr>
            <w:tcW w:w="838" w:type="dxa"/>
            <w:noWrap/>
            <w:vAlign w:val="center"/>
          </w:tcPr>
          <w:p w14:paraId="1341E7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w:t>
            </w:r>
          </w:p>
        </w:tc>
        <w:tc>
          <w:tcPr>
            <w:tcW w:w="1111" w:type="dxa"/>
            <w:noWrap/>
            <w:vAlign w:val="center"/>
          </w:tcPr>
          <w:p w14:paraId="0F625E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472</w:t>
            </w:r>
          </w:p>
        </w:tc>
      </w:tr>
      <w:tr w14:paraId="6F0EB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3BFF2A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邓坊镇</w:t>
            </w:r>
          </w:p>
        </w:tc>
        <w:tc>
          <w:tcPr>
            <w:tcW w:w="822" w:type="dxa"/>
            <w:noWrap/>
            <w:vAlign w:val="center"/>
          </w:tcPr>
          <w:p w14:paraId="7DEDB4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787" w:type="dxa"/>
            <w:noWrap/>
            <w:vAlign w:val="center"/>
          </w:tcPr>
          <w:p w14:paraId="1F9BC5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667" w:type="dxa"/>
            <w:noWrap/>
            <w:vAlign w:val="center"/>
          </w:tcPr>
          <w:p w14:paraId="2B3ABD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94" w:type="dxa"/>
            <w:noWrap/>
            <w:vAlign w:val="center"/>
          </w:tcPr>
          <w:p w14:paraId="24897B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889</w:t>
            </w:r>
          </w:p>
        </w:tc>
        <w:tc>
          <w:tcPr>
            <w:tcW w:w="957" w:type="dxa"/>
            <w:noWrap/>
            <w:vAlign w:val="center"/>
          </w:tcPr>
          <w:p w14:paraId="210190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315</w:t>
            </w:r>
          </w:p>
        </w:tc>
        <w:tc>
          <w:tcPr>
            <w:tcW w:w="957" w:type="dxa"/>
            <w:noWrap/>
            <w:vAlign w:val="center"/>
          </w:tcPr>
          <w:p w14:paraId="256FD7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w:t>
            </w:r>
          </w:p>
        </w:tc>
        <w:tc>
          <w:tcPr>
            <w:tcW w:w="957" w:type="dxa"/>
            <w:noWrap/>
            <w:vAlign w:val="center"/>
          </w:tcPr>
          <w:p w14:paraId="7B5BEB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165</w:t>
            </w:r>
          </w:p>
        </w:tc>
        <w:tc>
          <w:tcPr>
            <w:tcW w:w="957" w:type="dxa"/>
            <w:noWrap/>
            <w:vAlign w:val="center"/>
          </w:tcPr>
          <w:p w14:paraId="1A762C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343</w:t>
            </w:r>
          </w:p>
        </w:tc>
        <w:tc>
          <w:tcPr>
            <w:tcW w:w="957" w:type="dxa"/>
            <w:noWrap/>
            <w:vAlign w:val="center"/>
          </w:tcPr>
          <w:p w14:paraId="476608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w:t>
            </w:r>
          </w:p>
        </w:tc>
        <w:tc>
          <w:tcPr>
            <w:tcW w:w="1214" w:type="dxa"/>
            <w:noWrap/>
            <w:vAlign w:val="center"/>
          </w:tcPr>
          <w:p w14:paraId="51EE64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w:t>
            </w:r>
          </w:p>
        </w:tc>
        <w:tc>
          <w:tcPr>
            <w:tcW w:w="889" w:type="dxa"/>
            <w:noWrap/>
            <w:vAlign w:val="center"/>
          </w:tcPr>
          <w:p w14:paraId="07F797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2402</w:t>
            </w:r>
          </w:p>
        </w:tc>
        <w:tc>
          <w:tcPr>
            <w:tcW w:w="889" w:type="dxa"/>
            <w:noWrap/>
            <w:vAlign w:val="center"/>
          </w:tcPr>
          <w:p w14:paraId="44F5F9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250</w:t>
            </w:r>
          </w:p>
        </w:tc>
        <w:tc>
          <w:tcPr>
            <w:tcW w:w="838" w:type="dxa"/>
            <w:noWrap/>
            <w:vAlign w:val="center"/>
          </w:tcPr>
          <w:p w14:paraId="2D6576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w:t>
            </w:r>
          </w:p>
        </w:tc>
        <w:tc>
          <w:tcPr>
            <w:tcW w:w="1111" w:type="dxa"/>
            <w:noWrap/>
            <w:vAlign w:val="center"/>
          </w:tcPr>
          <w:p w14:paraId="04BABA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318</w:t>
            </w:r>
          </w:p>
        </w:tc>
      </w:tr>
      <w:tr w14:paraId="47D85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38C7EB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油山镇</w:t>
            </w:r>
          </w:p>
        </w:tc>
        <w:tc>
          <w:tcPr>
            <w:tcW w:w="822" w:type="dxa"/>
            <w:noWrap/>
            <w:vAlign w:val="center"/>
          </w:tcPr>
          <w:p w14:paraId="0128B7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w:t>
            </w:r>
          </w:p>
        </w:tc>
        <w:tc>
          <w:tcPr>
            <w:tcW w:w="787" w:type="dxa"/>
            <w:noWrap/>
            <w:vAlign w:val="center"/>
          </w:tcPr>
          <w:p w14:paraId="7B2CE4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w:t>
            </w:r>
          </w:p>
        </w:tc>
        <w:tc>
          <w:tcPr>
            <w:tcW w:w="667" w:type="dxa"/>
            <w:noWrap/>
            <w:vAlign w:val="center"/>
          </w:tcPr>
          <w:p w14:paraId="627732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w:t>
            </w:r>
          </w:p>
        </w:tc>
        <w:tc>
          <w:tcPr>
            <w:tcW w:w="1094" w:type="dxa"/>
            <w:noWrap/>
            <w:vAlign w:val="center"/>
          </w:tcPr>
          <w:p w14:paraId="21D553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1457</w:t>
            </w:r>
          </w:p>
        </w:tc>
        <w:tc>
          <w:tcPr>
            <w:tcW w:w="957" w:type="dxa"/>
            <w:noWrap/>
            <w:vAlign w:val="center"/>
          </w:tcPr>
          <w:p w14:paraId="26FFF0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510</w:t>
            </w:r>
          </w:p>
        </w:tc>
        <w:tc>
          <w:tcPr>
            <w:tcW w:w="957" w:type="dxa"/>
            <w:noWrap/>
            <w:vAlign w:val="center"/>
          </w:tcPr>
          <w:p w14:paraId="4AF3EF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w:t>
            </w:r>
          </w:p>
        </w:tc>
        <w:tc>
          <w:tcPr>
            <w:tcW w:w="957" w:type="dxa"/>
            <w:noWrap/>
            <w:vAlign w:val="center"/>
          </w:tcPr>
          <w:p w14:paraId="6C4644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256</w:t>
            </w:r>
          </w:p>
        </w:tc>
        <w:tc>
          <w:tcPr>
            <w:tcW w:w="957" w:type="dxa"/>
            <w:noWrap/>
            <w:vAlign w:val="center"/>
          </w:tcPr>
          <w:p w14:paraId="12F993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565</w:t>
            </w:r>
          </w:p>
        </w:tc>
        <w:tc>
          <w:tcPr>
            <w:tcW w:w="957" w:type="dxa"/>
            <w:noWrap/>
            <w:vAlign w:val="center"/>
          </w:tcPr>
          <w:p w14:paraId="150E9B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w:t>
            </w:r>
          </w:p>
        </w:tc>
        <w:tc>
          <w:tcPr>
            <w:tcW w:w="1214" w:type="dxa"/>
            <w:noWrap/>
            <w:vAlign w:val="center"/>
          </w:tcPr>
          <w:p w14:paraId="1D9648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w:t>
            </w:r>
          </w:p>
        </w:tc>
        <w:tc>
          <w:tcPr>
            <w:tcW w:w="889" w:type="dxa"/>
            <w:noWrap/>
            <w:vAlign w:val="center"/>
          </w:tcPr>
          <w:p w14:paraId="44DDB6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6175</w:t>
            </w:r>
          </w:p>
        </w:tc>
        <w:tc>
          <w:tcPr>
            <w:tcW w:w="889" w:type="dxa"/>
            <w:noWrap/>
            <w:vAlign w:val="center"/>
          </w:tcPr>
          <w:p w14:paraId="685220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304</w:t>
            </w:r>
          </w:p>
        </w:tc>
        <w:tc>
          <w:tcPr>
            <w:tcW w:w="838" w:type="dxa"/>
            <w:noWrap/>
            <w:vAlign w:val="center"/>
          </w:tcPr>
          <w:p w14:paraId="5CEE38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w:t>
            </w:r>
          </w:p>
        </w:tc>
        <w:tc>
          <w:tcPr>
            <w:tcW w:w="1111" w:type="dxa"/>
            <w:noWrap/>
            <w:vAlign w:val="center"/>
          </w:tcPr>
          <w:p w14:paraId="778DE1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633</w:t>
            </w:r>
          </w:p>
        </w:tc>
      </w:tr>
      <w:tr w14:paraId="09A21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2B90F8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南亩镇</w:t>
            </w:r>
          </w:p>
        </w:tc>
        <w:tc>
          <w:tcPr>
            <w:tcW w:w="822" w:type="dxa"/>
            <w:noWrap/>
            <w:vAlign w:val="center"/>
          </w:tcPr>
          <w:p w14:paraId="47FF73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787" w:type="dxa"/>
            <w:noWrap/>
            <w:vAlign w:val="center"/>
          </w:tcPr>
          <w:p w14:paraId="6A10B5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667" w:type="dxa"/>
            <w:noWrap/>
            <w:vAlign w:val="center"/>
          </w:tcPr>
          <w:p w14:paraId="04E3F7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w:t>
            </w:r>
          </w:p>
        </w:tc>
        <w:tc>
          <w:tcPr>
            <w:tcW w:w="1094" w:type="dxa"/>
            <w:noWrap/>
            <w:vAlign w:val="center"/>
          </w:tcPr>
          <w:p w14:paraId="1CC30D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668</w:t>
            </w:r>
          </w:p>
        </w:tc>
        <w:tc>
          <w:tcPr>
            <w:tcW w:w="957" w:type="dxa"/>
            <w:noWrap/>
            <w:vAlign w:val="center"/>
          </w:tcPr>
          <w:p w14:paraId="4B44FA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238</w:t>
            </w:r>
          </w:p>
        </w:tc>
        <w:tc>
          <w:tcPr>
            <w:tcW w:w="957" w:type="dxa"/>
            <w:noWrap/>
            <w:vAlign w:val="center"/>
          </w:tcPr>
          <w:p w14:paraId="7A85B1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w:t>
            </w:r>
          </w:p>
        </w:tc>
        <w:tc>
          <w:tcPr>
            <w:tcW w:w="957" w:type="dxa"/>
            <w:noWrap/>
            <w:vAlign w:val="center"/>
          </w:tcPr>
          <w:p w14:paraId="5C01F4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w:t>
            </w:r>
          </w:p>
        </w:tc>
        <w:tc>
          <w:tcPr>
            <w:tcW w:w="957" w:type="dxa"/>
            <w:noWrap/>
            <w:vAlign w:val="center"/>
          </w:tcPr>
          <w:p w14:paraId="5AC5E0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266</w:t>
            </w:r>
          </w:p>
        </w:tc>
        <w:tc>
          <w:tcPr>
            <w:tcW w:w="957" w:type="dxa"/>
            <w:noWrap/>
            <w:vAlign w:val="center"/>
          </w:tcPr>
          <w:p w14:paraId="68F232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w:t>
            </w:r>
          </w:p>
        </w:tc>
        <w:tc>
          <w:tcPr>
            <w:tcW w:w="1214" w:type="dxa"/>
            <w:noWrap/>
            <w:vAlign w:val="center"/>
          </w:tcPr>
          <w:p w14:paraId="2AB342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889" w:type="dxa"/>
            <w:noWrap/>
            <w:vAlign w:val="center"/>
          </w:tcPr>
          <w:p w14:paraId="2E3A2C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2944</w:t>
            </w:r>
          </w:p>
        </w:tc>
        <w:tc>
          <w:tcPr>
            <w:tcW w:w="889" w:type="dxa"/>
            <w:noWrap/>
            <w:vAlign w:val="center"/>
          </w:tcPr>
          <w:p w14:paraId="0AA4E3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263</w:t>
            </w:r>
          </w:p>
        </w:tc>
        <w:tc>
          <w:tcPr>
            <w:tcW w:w="838" w:type="dxa"/>
            <w:noWrap/>
            <w:vAlign w:val="center"/>
          </w:tcPr>
          <w:p w14:paraId="1E9B25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p>
        </w:tc>
        <w:tc>
          <w:tcPr>
            <w:tcW w:w="1111" w:type="dxa"/>
            <w:noWrap/>
            <w:vAlign w:val="center"/>
          </w:tcPr>
          <w:p w14:paraId="32DA6D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347</w:t>
            </w:r>
          </w:p>
        </w:tc>
      </w:tr>
      <w:tr w14:paraId="48C9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3CA881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水口镇</w:t>
            </w:r>
          </w:p>
        </w:tc>
        <w:tc>
          <w:tcPr>
            <w:tcW w:w="822" w:type="dxa"/>
            <w:noWrap/>
            <w:vAlign w:val="center"/>
          </w:tcPr>
          <w:p w14:paraId="48F248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787" w:type="dxa"/>
            <w:noWrap/>
            <w:vAlign w:val="center"/>
          </w:tcPr>
          <w:p w14:paraId="625DF1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667" w:type="dxa"/>
            <w:noWrap/>
            <w:vAlign w:val="center"/>
          </w:tcPr>
          <w:p w14:paraId="3DB2B9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94" w:type="dxa"/>
            <w:noWrap/>
            <w:vAlign w:val="center"/>
          </w:tcPr>
          <w:p w14:paraId="531F07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875</w:t>
            </w:r>
          </w:p>
        </w:tc>
        <w:tc>
          <w:tcPr>
            <w:tcW w:w="957" w:type="dxa"/>
            <w:noWrap/>
            <w:vAlign w:val="center"/>
          </w:tcPr>
          <w:p w14:paraId="0F3285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283</w:t>
            </w:r>
          </w:p>
        </w:tc>
        <w:tc>
          <w:tcPr>
            <w:tcW w:w="957" w:type="dxa"/>
            <w:noWrap/>
            <w:vAlign w:val="center"/>
          </w:tcPr>
          <w:p w14:paraId="1F2FC9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w:t>
            </w:r>
          </w:p>
        </w:tc>
        <w:tc>
          <w:tcPr>
            <w:tcW w:w="957" w:type="dxa"/>
            <w:noWrap/>
            <w:vAlign w:val="center"/>
          </w:tcPr>
          <w:p w14:paraId="021AB7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w:t>
            </w:r>
          </w:p>
        </w:tc>
        <w:tc>
          <w:tcPr>
            <w:tcW w:w="957" w:type="dxa"/>
            <w:noWrap/>
            <w:vAlign w:val="center"/>
          </w:tcPr>
          <w:p w14:paraId="57440C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371</w:t>
            </w:r>
          </w:p>
        </w:tc>
        <w:tc>
          <w:tcPr>
            <w:tcW w:w="957" w:type="dxa"/>
            <w:noWrap/>
            <w:vAlign w:val="center"/>
          </w:tcPr>
          <w:p w14:paraId="75AB6C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w:t>
            </w:r>
          </w:p>
        </w:tc>
        <w:tc>
          <w:tcPr>
            <w:tcW w:w="1214" w:type="dxa"/>
            <w:noWrap/>
            <w:vAlign w:val="center"/>
          </w:tcPr>
          <w:p w14:paraId="2D2F17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w:t>
            </w:r>
          </w:p>
        </w:tc>
        <w:tc>
          <w:tcPr>
            <w:tcW w:w="889" w:type="dxa"/>
            <w:noWrap/>
            <w:vAlign w:val="center"/>
          </w:tcPr>
          <w:p w14:paraId="3ABBAF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1236</w:t>
            </w:r>
          </w:p>
        </w:tc>
        <w:tc>
          <w:tcPr>
            <w:tcW w:w="889" w:type="dxa"/>
            <w:noWrap/>
            <w:vAlign w:val="center"/>
          </w:tcPr>
          <w:p w14:paraId="380361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228</w:t>
            </w:r>
          </w:p>
        </w:tc>
        <w:tc>
          <w:tcPr>
            <w:tcW w:w="838" w:type="dxa"/>
            <w:noWrap/>
            <w:vAlign w:val="center"/>
          </w:tcPr>
          <w:p w14:paraId="46F0F6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w:t>
            </w:r>
          </w:p>
        </w:tc>
        <w:tc>
          <w:tcPr>
            <w:tcW w:w="1111" w:type="dxa"/>
            <w:noWrap/>
            <w:vAlign w:val="center"/>
          </w:tcPr>
          <w:p w14:paraId="7EC4AD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454</w:t>
            </w:r>
          </w:p>
        </w:tc>
      </w:tr>
      <w:tr w14:paraId="16278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1323FD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江头镇</w:t>
            </w:r>
          </w:p>
        </w:tc>
        <w:tc>
          <w:tcPr>
            <w:tcW w:w="822" w:type="dxa"/>
            <w:noWrap/>
            <w:vAlign w:val="center"/>
          </w:tcPr>
          <w:p w14:paraId="571128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787" w:type="dxa"/>
            <w:noWrap/>
            <w:vAlign w:val="center"/>
          </w:tcPr>
          <w:p w14:paraId="05D0E9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667" w:type="dxa"/>
            <w:noWrap/>
            <w:vAlign w:val="center"/>
          </w:tcPr>
          <w:p w14:paraId="70B582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94" w:type="dxa"/>
            <w:noWrap/>
            <w:vAlign w:val="center"/>
          </w:tcPr>
          <w:p w14:paraId="3E1A31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620</w:t>
            </w:r>
          </w:p>
        </w:tc>
        <w:tc>
          <w:tcPr>
            <w:tcW w:w="957" w:type="dxa"/>
            <w:noWrap/>
            <w:vAlign w:val="center"/>
          </w:tcPr>
          <w:p w14:paraId="5EEB29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216</w:t>
            </w:r>
          </w:p>
        </w:tc>
        <w:tc>
          <w:tcPr>
            <w:tcW w:w="957" w:type="dxa"/>
            <w:noWrap/>
            <w:vAlign w:val="center"/>
          </w:tcPr>
          <w:p w14:paraId="79F873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w:t>
            </w:r>
          </w:p>
        </w:tc>
        <w:tc>
          <w:tcPr>
            <w:tcW w:w="957" w:type="dxa"/>
            <w:noWrap/>
            <w:vAlign w:val="center"/>
          </w:tcPr>
          <w:p w14:paraId="596CCD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109</w:t>
            </w:r>
          </w:p>
        </w:tc>
        <w:tc>
          <w:tcPr>
            <w:tcW w:w="957" w:type="dxa"/>
            <w:noWrap/>
            <w:vAlign w:val="center"/>
          </w:tcPr>
          <w:p w14:paraId="238A0D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245</w:t>
            </w:r>
          </w:p>
        </w:tc>
        <w:tc>
          <w:tcPr>
            <w:tcW w:w="957" w:type="dxa"/>
            <w:noWrap/>
            <w:vAlign w:val="center"/>
          </w:tcPr>
          <w:p w14:paraId="303720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w:t>
            </w:r>
          </w:p>
        </w:tc>
        <w:tc>
          <w:tcPr>
            <w:tcW w:w="1214" w:type="dxa"/>
            <w:noWrap/>
            <w:vAlign w:val="center"/>
          </w:tcPr>
          <w:p w14:paraId="30CBF4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w:t>
            </w:r>
          </w:p>
        </w:tc>
        <w:tc>
          <w:tcPr>
            <w:tcW w:w="889" w:type="dxa"/>
            <w:noWrap/>
            <w:vAlign w:val="center"/>
          </w:tcPr>
          <w:p w14:paraId="1611B4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2713</w:t>
            </w:r>
          </w:p>
        </w:tc>
        <w:tc>
          <w:tcPr>
            <w:tcW w:w="889" w:type="dxa"/>
            <w:noWrap/>
            <w:vAlign w:val="center"/>
          </w:tcPr>
          <w:p w14:paraId="73AAD8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91</w:t>
            </w:r>
          </w:p>
        </w:tc>
        <w:tc>
          <w:tcPr>
            <w:tcW w:w="838" w:type="dxa"/>
            <w:noWrap/>
            <w:vAlign w:val="center"/>
          </w:tcPr>
          <w:p w14:paraId="681489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111" w:type="dxa"/>
            <w:noWrap/>
            <w:vAlign w:val="center"/>
          </w:tcPr>
          <w:p w14:paraId="0DD94F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240</w:t>
            </w:r>
          </w:p>
        </w:tc>
      </w:tr>
      <w:tr w14:paraId="3FED2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2904EB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湖口镇</w:t>
            </w:r>
          </w:p>
        </w:tc>
        <w:tc>
          <w:tcPr>
            <w:tcW w:w="822" w:type="dxa"/>
            <w:noWrap/>
            <w:vAlign w:val="center"/>
          </w:tcPr>
          <w:p w14:paraId="30FA61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787" w:type="dxa"/>
            <w:noWrap/>
            <w:vAlign w:val="center"/>
          </w:tcPr>
          <w:p w14:paraId="17110C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667" w:type="dxa"/>
            <w:noWrap/>
            <w:vAlign w:val="center"/>
          </w:tcPr>
          <w:p w14:paraId="17F045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094" w:type="dxa"/>
            <w:noWrap/>
            <w:vAlign w:val="center"/>
          </w:tcPr>
          <w:p w14:paraId="36D6BB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1183</w:t>
            </w:r>
          </w:p>
        </w:tc>
        <w:tc>
          <w:tcPr>
            <w:tcW w:w="957" w:type="dxa"/>
            <w:noWrap/>
            <w:vAlign w:val="center"/>
          </w:tcPr>
          <w:p w14:paraId="6DFAF6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518</w:t>
            </w:r>
          </w:p>
        </w:tc>
        <w:tc>
          <w:tcPr>
            <w:tcW w:w="957" w:type="dxa"/>
            <w:noWrap/>
            <w:vAlign w:val="center"/>
          </w:tcPr>
          <w:p w14:paraId="05B096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w:t>
            </w:r>
          </w:p>
        </w:tc>
        <w:tc>
          <w:tcPr>
            <w:tcW w:w="957" w:type="dxa"/>
            <w:noWrap/>
            <w:vAlign w:val="center"/>
          </w:tcPr>
          <w:p w14:paraId="146025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256</w:t>
            </w:r>
          </w:p>
        </w:tc>
        <w:tc>
          <w:tcPr>
            <w:tcW w:w="957" w:type="dxa"/>
            <w:noWrap/>
            <w:vAlign w:val="center"/>
          </w:tcPr>
          <w:p w14:paraId="507614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291</w:t>
            </w:r>
          </w:p>
        </w:tc>
        <w:tc>
          <w:tcPr>
            <w:tcW w:w="957" w:type="dxa"/>
            <w:noWrap/>
            <w:vAlign w:val="center"/>
          </w:tcPr>
          <w:p w14:paraId="663F0E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w:t>
            </w:r>
          </w:p>
        </w:tc>
        <w:tc>
          <w:tcPr>
            <w:tcW w:w="1214" w:type="dxa"/>
            <w:noWrap/>
            <w:vAlign w:val="center"/>
          </w:tcPr>
          <w:p w14:paraId="5DB1A2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w:t>
            </w:r>
          </w:p>
        </w:tc>
        <w:tc>
          <w:tcPr>
            <w:tcW w:w="889" w:type="dxa"/>
            <w:noWrap/>
            <w:vAlign w:val="center"/>
          </w:tcPr>
          <w:p w14:paraId="663A80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3364</w:t>
            </w:r>
          </w:p>
        </w:tc>
        <w:tc>
          <w:tcPr>
            <w:tcW w:w="889" w:type="dxa"/>
            <w:noWrap/>
            <w:vAlign w:val="center"/>
          </w:tcPr>
          <w:p w14:paraId="19C39F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493</w:t>
            </w:r>
          </w:p>
        </w:tc>
        <w:tc>
          <w:tcPr>
            <w:tcW w:w="838" w:type="dxa"/>
            <w:noWrap/>
            <w:vAlign w:val="center"/>
          </w:tcPr>
          <w:p w14:paraId="1306EC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w:t>
            </w:r>
          </w:p>
        </w:tc>
        <w:tc>
          <w:tcPr>
            <w:tcW w:w="1111" w:type="dxa"/>
            <w:noWrap/>
            <w:vAlign w:val="center"/>
          </w:tcPr>
          <w:p w14:paraId="58B1E0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672</w:t>
            </w:r>
          </w:p>
        </w:tc>
      </w:tr>
      <w:tr w14:paraId="6920E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23EF95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珠玑镇</w:t>
            </w:r>
          </w:p>
        </w:tc>
        <w:tc>
          <w:tcPr>
            <w:tcW w:w="822" w:type="dxa"/>
            <w:noWrap/>
            <w:vAlign w:val="center"/>
          </w:tcPr>
          <w:p w14:paraId="271969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w:t>
            </w:r>
          </w:p>
        </w:tc>
        <w:tc>
          <w:tcPr>
            <w:tcW w:w="787" w:type="dxa"/>
            <w:noWrap/>
            <w:vAlign w:val="center"/>
          </w:tcPr>
          <w:p w14:paraId="6D73F6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w:t>
            </w:r>
          </w:p>
        </w:tc>
        <w:tc>
          <w:tcPr>
            <w:tcW w:w="667" w:type="dxa"/>
            <w:noWrap/>
            <w:vAlign w:val="center"/>
          </w:tcPr>
          <w:p w14:paraId="1A8B87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w:t>
            </w:r>
          </w:p>
        </w:tc>
        <w:tc>
          <w:tcPr>
            <w:tcW w:w="1094" w:type="dxa"/>
            <w:noWrap/>
            <w:vAlign w:val="center"/>
          </w:tcPr>
          <w:p w14:paraId="0368F8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1417</w:t>
            </w:r>
          </w:p>
        </w:tc>
        <w:tc>
          <w:tcPr>
            <w:tcW w:w="957" w:type="dxa"/>
            <w:noWrap/>
            <w:vAlign w:val="center"/>
          </w:tcPr>
          <w:p w14:paraId="06964F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500</w:t>
            </w:r>
          </w:p>
        </w:tc>
        <w:tc>
          <w:tcPr>
            <w:tcW w:w="957" w:type="dxa"/>
            <w:noWrap/>
            <w:vAlign w:val="center"/>
          </w:tcPr>
          <w:p w14:paraId="6904ED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108</w:t>
            </w:r>
          </w:p>
        </w:tc>
        <w:tc>
          <w:tcPr>
            <w:tcW w:w="957" w:type="dxa"/>
            <w:noWrap/>
            <w:vAlign w:val="center"/>
          </w:tcPr>
          <w:p w14:paraId="686A3F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250</w:t>
            </w:r>
          </w:p>
        </w:tc>
        <w:tc>
          <w:tcPr>
            <w:tcW w:w="957" w:type="dxa"/>
            <w:noWrap/>
            <w:vAlign w:val="center"/>
          </w:tcPr>
          <w:p w14:paraId="2FABE9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559</w:t>
            </w:r>
          </w:p>
        </w:tc>
        <w:tc>
          <w:tcPr>
            <w:tcW w:w="957" w:type="dxa"/>
            <w:noWrap/>
            <w:vAlign w:val="center"/>
          </w:tcPr>
          <w:p w14:paraId="610A4C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w:t>
            </w:r>
          </w:p>
        </w:tc>
        <w:tc>
          <w:tcPr>
            <w:tcW w:w="1214" w:type="dxa"/>
            <w:noWrap/>
            <w:vAlign w:val="center"/>
          </w:tcPr>
          <w:p w14:paraId="76F244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w:t>
            </w:r>
          </w:p>
        </w:tc>
        <w:tc>
          <w:tcPr>
            <w:tcW w:w="889" w:type="dxa"/>
            <w:noWrap/>
            <w:vAlign w:val="center"/>
          </w:tcPr>
          <w:p w14:paraId="77BED3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4507</w:t>
            </w:r>
          </w:p>
        </w:tc>
        <w:tc>
          <w:tcPr>
            <w:tcW w:w="889" w:type="dxa"/>
            <w:noWrap/>
            <w:vAlign w:val="center"/>
          </w:tcPr>
          <w:p w14:paraId="43D2A7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414</w:t>
            </w:r>
          </w:p>
        </w:tc>
        <w:tc>
          <w:tcPr>
            <w:tcW w:w="838" w:type="dxa"/>
            <w:noWrap/>
            <w:vAlign w:val="center"/>
          </w:tcPr>
          <w:p w14:paraId="799F83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w:t>
            </w:r>
          </w:p>
        </w:tc>
        <w:tc>
          <w:tcPr>
            <w:tcW w:w="1111" w:type="dxa"/>
            <w:noWrap/>
            <w:vAlign w:val="center"/>
          </w:tcPr>
          <w:p w14:paraId="5F71F9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835</w:t>
            </w:r>
          </w:p>
        </w:tc>
      </w:tr>
      <w:tr w14:paraId="316A6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6BDD10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主田镇</w:t>
            </w:r>
          </w:p>
        </w:tc>
        <w:tc>
          <w:tcPr>
            <w:tcW w:w="822" w:type="dxa"/>
            <w:noWrap/>
            <w:vAlign w:val="center"/>
          </w:tcPr>
          <w:p w14:paraId="677636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787" w:type="dxa"/>
            <w:noWrap/>
            <w:vAlign w:val="center"/>
          </w:tcPr>
          <w:p w14:paraId="7C0C38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667" w:type="dxa"/>
            <w:noWrap/>
            <w:vAlign w:val="center"/>
          </w:tcPr>
          <w:p w14:paraId="7D53E5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94" w:type="dxa"/>
            <w:noWrap/>
            <w:vAlign w:val="center"/>
          </w:tcPr>
          <w:p w14:paraId="79B8CE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813</w:t>
            </w:r>
          </w:p>
        </w:tc>
        <w:tc>
          <w:tcPr>
            <w:tcW w:w="957" w:type="dxa"/>
            <w:noWrap/>
            <w:vAlign w:val="center"/>
          </w:tcPr>
          <w:p w14:paraId="43D035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260</w:t>
            </w:r>
          </w:p>
        </w:tc>
        <w:tc>
          <w:tcPr>
            <w:tcW w:w="957" w:type="dxa"/>
            <w:noWrap/>
            <w:vAlign w:val="center"/>
          </w:tcPr>
          <w:p w14:paraId="2445C1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w:t>
            </w:r>
          </w:p>
        </w:tc>
        <w:tc>
          <w:tcPr>
            <w:tcW w:w="957" w:type="dxa"/>
            <w:noWrap/>
            <w:vAlign w:val="center"/>
          </w:tcPr>
          <w:p w14:paraId="2C297D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144</w:t>
            </w:r>
          </w:p>
        </w:tc>
        <w:tc>
          <w:tcPr>
            <w:tcW w:w="957" w:type="dxa"/>
            <w:noWrap/>
            <w:vAlign w:val="center"/>
          </w:tcPr>
          <w:p w14:paraId="26E557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333</w:t>
            </w:r>
          </w:p>
        </w:tc>
        <w:tc>
          <w:tcPr>
            <w:tcW w:w="957" w:type="dxa"/>
            <w:noWrap/>
            <w:vAlign w:val="center"/>
          </w:tcPr>
          <w:p w14:paraId="58807B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w:t>
            </w:r>
          </w:p>
        </w:tc>
        <w:tc>
          <w:tcPr>
            <w:tcW w:w="1214" w:type="dxa"/>
            <w:noWrap/>
            <w:vAlign w:val="center"/>
          </w:tcPr>
          <w:p w14:paraId="39C6D2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w:t>
            </w:r>
          </w:p>
        </w:tc>
        <w:tc>
          <w:tcPr>
            <w:tcW w:w="889" w:type="dxa"/>
            <w:noWrap/>
            <w:vAlign w:val="center"/>
          </w:tcPr>
          <w:p w14:paraId="2EE251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15565</w:t>
            </w:r>
          </w:p>
        </w:tc>
        <w:tc>
          <w:tcPr>
            <w:tcW w:w="889" w:type="dxa"/>
            <w:noWrap/>
            <w:vAlign w:val="center"/>
          </w:tcPr>
          <w:p w14:paraId="4C8BE6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514</w:t>
            </w:r>
          </w:p>
        </w:tc>
        <w:tc>
          <w:tcPr>
            <w:tcW w:w="838" w:type="dxa"/>
            <w:noWrap/>
            <w:vAlign w:val="center"/>
          </w:tcPr>
          <w:p w14:paraId="6A5A0F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w:t>
            </w:r>
          </w:p>
        </w:tc>
        <w:tc>
          <w:tcPr>
            <w:tcW w:w="1111" w:type="dxa"/>
            <w:noWrap/>
            <w:vAlign w:val="center"/>
          </w:tcPr>
          <w:p w14:paraId="5E97E6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265</w:t>
            </w:r>
          </w:p>
        </w:tc>
      </w:tr>
      <w:tr w14:paraId="669BD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55F0F4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古市镇</w:t>
            </w:r>
          </w:p>
        </w:tc>
        <w:tc>
          <w:tcPr>
            <w:tcW w:w="822" w:type="dxa"/>
            <w:noWrap/>
            <w:vAlign w:val="center"/>
          </w:tcPr>
          <w:p w14:paraId="1D401B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787" w:type="dxa"/>
            <w:noWrap/>
            <w:vAlign w:val="center"/>
          </w:tcPr>
          <w:p w14:paraId="5B480E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667" w:type="dxa"/>
            <w:noWrap/>
            <w:vAlign w:val="center"/>
          </w:tcPr>
          <w:p w14:paraId="27DFF0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094" w:type="dxa"/>
            <w:noWrap/>
            <w:vAlign w:val="center"/>
          </w:tcPr>
          <w:p w14:paraId="1C63BE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1146</w:t>
            </w:r>
          </w:p>
        </w:tc>
        <w:tc>
          <w:tcPr>
            <w:tcW w:w="957" w:type="dxa"/>
            <w:noWrap/>
            <w:vAlign w:val="center"/>
          </w:tcPr>
          <w:p w14:paraId="76420F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383</w:t>
            </w:r>
          </w:p>
        </w:tc>
        <w:tc>
          <w:tcPr>
            <w:tcW w:w="957" w:type="dxa"/>
            <w:noWrap/>
            <w:vAlign w:val="center"/>
          </w:tcPr>
          <w:p w14:paraId="190D03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w:t>
            </w:r>
          </w:p>
        </w:tc>
        <w:tc>
          <w:tcPr>
            <w:tcW w:w="957" w:type="dxa"/>
            <w:noWrap/>
            <w:vAlign w:val="center"/>
          </w:tcPr>
          <w:p w14:paraId="7C0A60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203</w:t>
            </w:r>
          </w:p>
        </w:tc>
        <w:tc>
          <w:tcPr>
            <w:tcW w:w="957" w:type="dxa"/>
            <w:noWrap/>
            <w:vAlign w:val="center"/>
          </w:tcPr>
          <w:p w14:paraId="7B4E48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471</w:t>
            </w:r>
          </w:p>
        </w:tc>
        <w:tc>
          <w:tcPr>
            <w:tcW w:w="957" w:type="dxa"/>
            <w:noWrap/>
            <w:vAlign w:val="center"/>
          </w:tcPr>
          <w:p w14:paraId="4E2B65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w:t>
            </w:r>
          </w:p>
        </w:tc>
        <w:tc>
          <w:tcPr>
            <w:tcW w:w="1214" w:type="dxa"/>
            <w:noWrap/>
            <w:vAlign w:val="center"/>
          </w:tcPr>
          <w:p w14:paraId="37D92F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w:t>
            </w:r>
          </w:p>
        </w:tc>
        <w:tc>
          <w:tcPr>
            <w:tcW w:w="889" w:type="dxa"/>
            <w:noWrap/>
            <w:vAlign w:val="center"/>
          </w:tcPr>
          <w:p w14:paraId="0AA9F2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1706</w:t>
            </w:r>
          </w:p>
        </w:tc>
        <w:tc>
          <w:tcPr>
            <w:tcW w:w="889" w:type="dxa"/>
            <w:noWrap/>
            <w:vAlign w:val="center"/>
          </w:tcPr>
          <w:p w14:paraId="798D86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759</w:t>
            </w:r>
          </w:p>
        </w:tc>
        <w:tc>
          <w:tcPr>
            <w:tcW w:w="838" w:type="dxa"/>
            <w:noWrap/>
            <w:vAlign w:val="center"/>
          </w:tcPr>
          <w:p w14:paraId="1B3B70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98</w:t>
            </w:r>
          </w:p>
        </w:tc>
        <w:tc>
          <w:tcPr>
            <w:tcW w:w="1111" w:type="dxa"/>
            <w:noWrap/>
            <w:vAlign w:val="center"/>
          </w:tcPr>
          <w:p w14:paraId="3F42CC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399</w:t>
            </w:r>
          </w:p>
        </w:tc>
      </w:tr>
      <w:tr w14:paraId="4404C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2A4CEF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全安镇</w:t>
            </w:r>
          </w:p>
        </w:tc>
        <w:tc>
          <w:tcPr>
            <w:tcW w:w="822" w:type="dxa"/>
            <w:noWrap w:val="0"/>
            <w:vAlign w:val="center"/>
          </w:tcPr>
          <w:p w14:paraId="78E1CD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787" w:type="dxa"/>
            <w:noWrap w:val="0"/>
            <w:vAlign w:val="center"/>
          </w:tcPr>
          <w:p w14:paraId="629592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667" w:type="dxa"/>
            <w:noWrap w:val="0"/>
            <w:vAlign w:val="center"/>
          </w:tcPr>
          <w:p w14:paraId="079125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94" w:type="dxa"/>
            <w:noWrap/>
            <w:vAlign w:val="center"/>
          </w:tcPr>
          <w:p w14:paraId="66E458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1310</w:t>
            </w:r>
          </w:p>
        </w:tc>
        <w:tc>
          <w:tcPr>
            <w:tcW w:w="957" w:type="dxa"/>
            <w:noWrap/>
            <w:vAlign w:val="center"/>
          </w:tcPr>
          <w:p w14:paraId="4D71E3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448</w:t>
            </w:r>
          </w:p>
        </w:tc>
        <w:tc>
          <w:tcPr>
            <w:tcW w:w="957" w:type="dxa"/>
            <w:noWrap/>
            <w:vAlign w:val="center"/>
          </w:tcPr>
          <w:p w14:paraId="75DABD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w:t>
            </w:r>
          </w:p>
        </w:tc>
        <w:tc>
          <w:tcPr>
            <w:tcW w:w="957" w:type="dxa"/>
            <w:noWrap/>
            <w:vAlign w:val="center"/>
          </w:tcPr>
          <w:p w14:paraId="53F77C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238</w:t>
            </w:r>
          </w:p>
        </w:tc>
        <w:tc>
          <w:tcPr>
            <w:tcW w:w="957" w:type="dxa"/>
            <w:noWrap/>
            <w:vAlign w:val="center"/>
          </w:tcPr>
          <w:p w14:paraId="6F4366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518</w:t>
            </w:r>
          </w:p>
        </w:tc>
        <w:tc>
          <w:tcPr>
            <w:tcW w:w="957" w:type="dxa"/>
            <w:noWrap/>
            <w:vAlign w:val="center"/>
          </w:tcPr>
          <w:p w14:paraId="4E50CF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w:t>
            </w:r>
          </w:p>
        </w:tc>
        <w:tc>
          <w:tcPr>
            <w:tcW w:w="1214" w:type="dxa"/>
            <w:noWrap/>
            <w:vAlign w:val="center"/>
          </w:tcPr>
          <w:p w14:paraId="598BBF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w:t>
            </w:r>
          </w:p>
        </w:tc>
        <w:tc>
          <w:tcPr>
            <w:tcW w:w="889" w:type="dxa"/>
            <w:noWrap/>
            <w:vAlign w:val="center"/>
          </w:tcPr>
          <w:p w14:paraId="27CFD6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5186</w:t>
            </w:r>
          </w:p>
        </w:tc>
        <w:tc>
          <w:tcPr>
            <w:tcW w:w="889" w:type="dxa"/>
            <w:noWrap/>
            <w:vAlign w:val="center"/>
          </w:tcPr>
          <w:p w14:paraId="7A1F86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651</w:t>
            </w:r>
          </w:p>
        </w:tc>
        <w:tc>
          <w:tcPr>
            <w:tcW w:w="838" w:type="dxa"/>
            <w:noWrap/>
            <w:vAlign w:val="center"/>
          </w:tcPr>
          <w:p w14:paraId="6C0035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w:t>
            </w:r>
          </w:p>
        </w:tc>
        <w:tc>
          <w:tcPr>
            <w:tcW w:w="1111" w:type="dxa"/>
            <w:noWrap/>
            <w:vAlign w:val="center"/>
          </w:tcPr>
          <w:p w14:paraId="3B5779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530</w:t>
            </w:r>
          </w:p>
        </w:tc>
      </w:tr>
      <w:tr w14:paraId="33C5A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0BF837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百顺镇</w:t>
            </w:r>
          </w:p>
        </w:tc>
        <w:tc>
          <w:tcPr>
            <w:tcW w:w="822" w:type="dxa"/>
            <w:noWrap/>
            <w:vAlign w:val="center"/>
          </w:tcPr>
          <w:p w14:paraId="7F620F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787" w:type="dxa"/>
            <w:noWrap/>
            <w:vAlign w:val="center"/>
          </w:tcPr>
          <w:p w14:paraId="094292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667" w:type="dxa"/>
            <w:noWrap/>
            <w:vAlign w:val="center"/>
          </w:tcPr>
          <w:p w14:paraId="6C67A7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c>
          <w:tcPr>
            <w:tcW w:w="1094" w:type="dxa"/>
            <w:noWrap/>
            <w:vAlign w:val="center"/>
          </w:tcPr>
          <w:p w14:paraId="3FB09B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613</w:t>
            </w:r>
          </w:p>
        </w:tc>
        <w:tc>
          <w:tcPr>
            <w:tcW w:w="957" w:type="dxa"/>
            <w:noWrap/>
            <w:vAlign w:val="center"/>
          </w:tcPr>
          <w:p w14:paraId="547A62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205</w:t>
            </w:r>
          </w:p>
        </w:tc>
        <w:tc>
          <w:tcPr>
            <w:tcW w:w="957" w:type="dxa"/>
            <w:noWrap/>
            <w:vAlign w:val="center"/>
          </w:tcPr>
          <w:p w14:paraId="4CE5F6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w:t>
            </w:r>
          </w:p>
        </w:tc>
        <w:tc>
          <w:tcPr>
            <w:tcW w:w="957" w:type="dxa"/>
            <w:noWrap/>
            <w:vAlign w:val="center"/>
          </w:tcPr>
          <w:p w14:paraId="6C29AB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108</w:t>
            </w:r>
          </w:p>
        </w:tc>
        <w:tc>
          <w:tcPr>
            <w:tcW w:w="957" w:type="dxa"/>
            <w:noWrap/>
            <w:vAlign w:val="center"/>
          </w:tcPr>
          <w:p w14:paraId="252EA0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253</w:t>
            </w:r>
          </w:p>
        </w:tc>
        <w:tc>
          <w:tcPr>
            <w:tcW w:w="957" w:type="dxa"/>
            <w:noWrap/>
            <w:vAlign w:val="center"/>
          </w:tcPr>
          <w:p w14:paraId="1D3981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1214" w:type="dxa"/>
            <w:noWrap/>
            <w:vAlign w:val="center"/>
          </w:tcPr>
          <w:p w14:paraId="3E94F1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889" w:type="dxa"/>
            <w:noWrap/>
            <w:vAlign w:val="center"/>
          </w:tcPr>
          <w:p w14:paraId="199C12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2086</w:t>
            </w:r>
          </w:p>
        </w:tc>
        <w:tc>
          <w:tcPr>
            <w:tcW w:w="889" w:type="dxa"/>
            <w:noWrap/>
            <w:vAlign w:val="center"/>
          </w:tcPr>
          <w:p w14:paraId="5E39BD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w:t>
            </w:r>
          </w:p>
        </w:tc>
        <w:tc>
          <w:tcPr>
            <w:tcW w:w="838" w:type="dxa"/>
            <w:noWrap/>
            <w:vAlign w:val="center"/>
          </w:tcPr>
          <w:p w14:paraId="710D7B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w:t>
            </w:r>
          </w:p>
        </w:tc>
        <w:tc>
          <w:tcPr>
            <w:tcW w:w="1111" w:type="dxa"/>
            <w:noWrap/>
            <w:vAlign w:val="center"/>
          </w:tcPr>
          <w:p w14:paraId="1DA4E6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251</w:t>
            </w:r>
          </w:p>
        </w:tc>
      </w:tr>
      <w:tr w14:paraId="4B18C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4E70BF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澜河镇</w:t>
            </w:r>
          </w:p>
        </w:tc>
        <w:tc>
          <w:tcPr>
            <w:tcW w:w="822" w:type="dxa"/>
            <w:noWrap/>
            <w:vAlign w:val="center"/>
          </w:tcPr>
          <w:p w14:paraId="2F867B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787" w:type="dxa"/>
            <w:noWrap/>
            <w:vAlign w:val="center"/>
          </w:tcPr>
          <w:p w14:paraId="11EA82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667" w:type="dxa"/>
            <w:noWrap/>
            <w:vAlign w:val="center"/>
          </w:tcPr>
          <w:p w14:paraId="12D323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1094" w:type="dxa"/>
            <w:noWrap/>
            <w:vAlign w:val="center"/>
          </w:tcPr>
          <w:p w14:paraId="465BF0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420</w:t>
            </w:r>
          </w:p>
        </w:tc>
        <w:tc>
          <w:tcPr>
            <w:tcW w:w="957" w:type="dxa"/>
            <w:noWrap/>
            <w:vAlign w:val="center"/>
          </w:tcPr>
          <w:p w14:paraId="6F6E48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140</w:t>
            </w:r>
          </w:p>
        </w:tc>
        <w:tc>
          <w:tcPr>
            <w:tcW w:w="957" w:type="dxa"/>
            <w:noWrap/>
            <w:vAlign w:val="center"/>
          </w:tcPr>
          <w:p w14:paraId="53E82E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w:t>
            </w:r>
          </w:p>
        </w:tc>
        <w:tc>
          <w:tcPr>
            <w:tcW w:w="957" w:type="dxa"/>
            <w:noWrap/>
            <w:vAlign w:val="center"/>
          </w:tcPr>
          <w:p w14:paraId="7EA1A2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w:t>
            </w:r>
          </w:p>
        </w:tc>
        <w:tc>
          <w:tcPr>
            <w:tcW w:w="957" w:type="dxa"/>
            <w:noWrap/>
            <w:vAlign w:val="center"/>
          </w:tcPr>
          <w:p w14:paraId="230389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175</w:t>
            </w:r>
          </w:p>
        </w:tc>
        <w:tc>
          <w:tcPr>
            <w:tcW w:w="957" w:type="dxa"/>
            <w:noWrap/>
            <w:vAlign w:val="center"/>
          </w:tcPr>
          <w:p w14:paraId="78E114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1214" w:type="dxa"/>
            <w:noWrap/>
            <w:vAlign w:val="center"/>
          </w:tcPr>
          <w:p w14:paraId="07AEFB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889" w:type="dxa"/>
            <w:noWrap/>
            <w:vAlign w:val="center"/>
          </w:tcPr>
          <w:p w14:paraId="6D4A8B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561</w:t>
            </w:r>
          </w:p>
        </w:tc>
        <w:tc>
          <w:tcPr>
            <w:tcW w:w="889" w:type="dxa"/>
            <w:noWrap/>
            <w:vAlign w:val="center"/>
          </w:tcPr>
          <w:p w14:paraId="12A065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w:t>
            </w:r>
          </w:p>
        </w:tc>
        <w:tc>
          <w:tcPr>
            <w:tcW w:w="838" w:type="dxa"/>
            <w:noWrap/>
            <w:vAlign w:val="center"/>
          </w:tcPr>
          <w:p w14:paraId="4858BD5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c>
          <w:tcPr>
            <w:tcW w:w="1111" w:type="dxa"/>
            <w:noWrap/>
            <w:vAlign w:val="center"/>
          </w:tcPr>
          <w:p w14:paraId="3FBF02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204</w:t>
            </w:r>
          </w:p>
        </w:tc>
      </w:tr>
      <w:tr w14:paraId="13D93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4C8917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帽子峰镇</w:t>
            </w:r>
          </w:p>
        </w:tc>
        <w:tc>
          <w:tcPr>
            <w:tcW w:w="822" w:type="dxa"/>
            <w:noWrap/>
            <w:vAlign w:val="center"/>
          </w:tcPr>
          <w:p w14:paraId="5B7EAE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787" w:type="dxa"/>
            <w:noWrap/>
            <w:vAlign w:val="center"/>
          </w:tcPr>
          <w:p w14:paraId="7AC485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667" w:type="dxa"/>
            <w:noWrap/>
            <w:vAlign w:val="center"/>
          </w:tcPr>
          <w:p w14:paraId="6852D2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w:t>
            </w:r>
          </w:p>
        </w:tc>
        <w:tc>
          <w:tcPr>
            <w:tcW w:w="1094" w:type="dxa"/>
            <w:noWrap/>
            <w:vAlign w:val="center"/>
          </w:tcPr>
          <w:p w14:paraId="5BA90E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659</w:t>
            </w:r>
          </w:p>
        </w:tc>
        <w:tc>
          <w:tcPr>
            <w:tcW w:w="957" w:type="dxa"/>
            <w:noWrap/>
            <w:vAlign w:val="center"/>
          </w:tcPr>
          <w:p w14:paraId="405256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215</w:t>
            </w:r>
          </w:p>
        </w:tc>
        <w:tc>
          <w:tcPr>
            <w:tcW w:w="957" w:type="dxa"/>
            <w:noWrap/>
            <w:vAlign w:val="center"/>
          </w:tcPr>
          <w:p w14:paraId="3D0615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w:t>
            </w:r>
          </w:p>
        </w:tc>
        <w:tc>
          <w:tcPr>
            <w:tcW w:w="957" w:type="dxa"/>
            <w:noWrap/>
            <w:vAlign w:val="center"/>
          </w:tcPr>
          <w:p w14:paraId="11F02C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118</w:t>
            </w:r>
          </w:p>
        </w:tc>
        <w:tc>
          <w:tcPr>
            <w:tcW w:w="957" w:type="dxa"/>
            <w:noWrap/>
            <w:vAlign w:val="center"/>
          </w:tcPr>
          <w:p w14:paraId="3336A8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270</w:t>
            </w:r>
          </w:p>
        </w:tc>
        <w:tc>
          <w:tcPr>
            <w:tcW w:w="957" w:type="dxa"/>
            <w:noWrap/>
            <w:vAlign w:val="center"/>
          </w:tcPr>
          <w:p w14:paraId="0571EC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w:t>
            </w:r>
          </w:p>
        </w:tc>
        <w:tc>
          <w:tcPr>
            <w:tcW w:w="1214" w:type="dxa"/>
            <w:noWrap/>
            <w:vAlign w:val="center"/>
          </w:tcPr>
          <w:p w14:paraId="395141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w:t>
            </w:r>
          </w:p>
        </w:tc>
        <w:tc>
          <w:tcPr>
            <w:tcW w:w="889" w:type="dxa"/>
            <w:noWrap/>
            <w:vAlign w:val="center"/>
          </w:tcPr>
          <w:p w14:paraId="3A1123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3587</w:t>
            </w:r>
          </w:p>
        </w:tc>
        <w:tc>
          <w:tcPr>
            <w:tcW w:w="889" w:type="dxa"/>
            <w:noWrap/>
            <w:vAlign w:val="center"/>
          </w:tcPr>
          <w:p w14:paraId="574761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142</w:t>
            </w:r>
          </w:p>
        </w:tc>
        <w:tc>
          <w:tcPr>
            <w:tcW w:w="838" w:type="dxa"/>
            <w:noWrap/>
            <w:vAlign w:val="center"/>
          </w:tcPr>
          <w:p w14:paraId="197DCF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w:t>
            </w:r>
          </w:p>
        </w:tc>
        <w:tc>
          <w:tcPr>
            <w:tcW w:w="1111" w:type="dxa"/>
            <w:noWrap/>
            <w:vAlign w:val="center"/>
          </w:tcPr>
          <w:p w14:paraId="0DB539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166</w:t>
            </w:r>
          </w:p>
        </w:tc>
      </w:tr>
      <w:tr w14:paraId="29076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078" w:type="dxa"/>
            <w:noWrap w:val="0"/>
            <w:vAlign w:val="center"/>
          </w:tcPr>
          <w:p w14:paraId="29920D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雄州街道</w:t>
            </w:r>
          </w:p>
        </w:tc>
        <w:tc>
          <w:tcPr>
            <w:tcW w:w="822" w:type="dxa"/>
            <w:noWrap/>
            <w:vAlign w:val="center"/>
          </w:tcPr>
          <w:p w14:paraId="7F09A3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w:t>
            </w:r>
          </w:p>
        </w:tc>
        <w:tc>
          <w:tcPr>
            <w:tcW w:w="787" w:type="dxa"/>
            <w:noWrap/>
            <w:vAlign w:val="center"/>
          </w:tcPr>
          <w:p w14:paraId="14E610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667" w:type="dxa"/>
            <w:noWrap/>
            <w:vAlign w:val="center"/>
          </w:tcPr>
          <w:p w14:paraId="7D164C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c>
          <w:tcPr>
            <w:tcW w:w="1094" w:type="dxa"/>
            <w:noWrap/>
            <w:vAlign w:val="center"/>
          </w:tcPr>
          <w:p w14:paraId="51D08C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1394</w:t>
            </w:r>
          </w:p>
        </w:tc>
        <w:tc>
          <w:tcPr>
            <w:tcW w:w="957" w:type="dxa"/>
            <w:noWrap/>
            <w:vAlign w:val="center"/>
          </w:tcPr>
          <w:p w14:paraId="5F92F8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489</w:t>
            </w:r>
          </w:p>
        </w:tc>
        <w:tc>
          <w:tcPr>
            <w:tcW w:w="957" w:type="dxa"/>
            <w:noWrap/>
            <w:vAlign w:val="center"/>
          </w:tcPr>
          <w:p w14:paraId="770BF1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117</w:t>
            </w:r>
          </w:p>
        </w:tc>
        <w:tc>
          <w:tcPr>
            <w:tcW w:w="957" w:type="dxa"/>
            <w:noWrap/>
            <w:vAlign w:val="center"/>
          </w:tcPr>
          <w:p w14:paraId="228D74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236</w:t>
            </w:r>
          </w:p>
        </w:tc>
        <w:tc>
          <w:tcPr>
            <w:tcW w:w="957" w:type="dxa"/>
            <w:noWrap/>
            <w:vAlign w:val="center"/>
          </w:tcPr>
          <w:p w14:paraId="583E5D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552</w:t>
            </w:r>
          </w:p>
        </w:tc>
        <w:tc>
          <w:tcPr>
            <w:tcW w:w="957" w:type="dxa"/>
            <w:noWrap/>
            <w:vAlign w:val="center"/>
          </w:tcPr>
          <w:p w14:paraId="6952B9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172</w:t>
            </w:r>
          </w:p>
        </w:tc>
        <w:tc>
          <w:tcPr>
            <w:tcW w:w="1214" w:type="dxa"/>
            <w:noWrap/>
            <w:vAlign w:val="center"/>
          </w:tcPr>
          <w:p w14:paraId="28CD73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109</w:t>
            </w:r>
          </w:p>
        </w:tc>
        <w:tc>
          <w:tcPr>
            <w:tcW w:w="889" w:type="dxa"/>
            <w:noWrap/>
            <w:vAlign w:val="center"/>
          </w:tcPr>
          <w:p w14:paraId="166397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7833</w:t>
            </w:r>
          </w:p>
        </w:tc>
        <w:tc>
          <w:tcPr>
            <w:tcW w:w="889" w:type="dxa"/>
            <w:noWrap/>
            <w:vAlign w:val="center"/>
          </w:tcPr>
          <w:p w14:paraId="6677B1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762</w:t>
            </w:r>
          </w:p>
        </w:tc>
        <w:tc>
          <w:tcPr>
            <w:tcW w:w="838" w:type="dxa"/>
            <w:noWrap/>
            <w:vAlign w:val="center"/>
          </w:tcPr>
          <w:p w14:paraId="31D53B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97</w:t>
            </w:r>
          </w:p>
        </w:tc>
        <w:tc>
          <w:tcPr>
            <w:tcW w:w="1111" w:type="dxa"/>
            <w:noWrap/>
            <w:vAlign w:val="center"/>
          </w:tcPr>
          <w:p w14:paraId="11436D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669</w:t>
            </w:r>
          </w:p>
        </w:tc>
      </w:tr>
    </w:tbl>
    <w:p w14:paraId="7033818B">
      <w:pPr>
        <w:jc w:val="center"/>
        <w:rPr>
          <w:rFonts w:hint="eastAsia" w:hAnsi="宋体" w:cs="宋体"/>
          <w:b/>
          <w:highlight w:val="none"/>
        </w:rPr>
      </w:pPr>
      <w:r>
        <w:rPr>
          <w:rFonts w:hint="eastAsia" w:hAnsi="宋体" w:cs="宋体"/>
          <w:highlight w:val="none"/>
        </w:rPr>
        <w:t>分镇（街道）农村经济总收</w:t>
      </w:r>
      <w:r>
        <w:rPr>
          <w:rFonts w:hint="eastAsia" w:hAnsi="宋体" w:cs="宋体"/>
          <w:b/>
          <w:highlight w:val="none"/>
        </w:rPr>
        <w:t>入</w:t>
      </w:r>
    </w:p>
    <w:p w14:paraId="3864936A">
      <w:pPr>
        <w:rPr>
          <w:rFonts w:hint="eastAsia" w:hAnsi="宋体" w:cs="宋体"/>
          <w:highlight w:val="none"/>
        </w:rPr>
      </w:pPr>
      <w:r>
        <w:rPr>
          <w:rFonts w:hint="eastAsia" w:hAnsi="宋体" w:cs="宋体"/>
          <w:b/>
          <w:highlight w:val="none"/>
        </w:rPr>
        <w:t xml:space="preserve">表50                                                                                                                  </w:t>
      </w:r>
      <w:r>
        <w:rPr>
          <w:rFonts w:hint="eastAsia" w:hAnsi="宋体" w:cs="宋体"/>
          <w:highlight w:val="none"/>
        </w:rPr>
        <w:t xml:space="preserve">     单位：万元</w:t>
      </w:r>
    </w:p>
    <w:tbl>
      <w:tblPr>
        <w:tblStyle w:val="7"/>
        <w:tblW w:w="12319" w:type="dxa"/>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38"/>
        <w:gridCol w:w="834"/>
        <w:gridCol w:w="1199"/>
        <w:gridCol w:w="1199"/>
        <w:gridCol w:w="1199"/>
        <w:gridCol w:w="1199"/>
        <w:gridCol w:w="985"/>
        <w:gridCol w:w="992"/>
        <w:gridCol w:w="992"/>
        <w:gridCol w:w="992"/>
        <w:gridCol w:w="992"/>
        <w:gridCol w:w="998"/>
      </w:tblGrid>
      <w:tr w14:paraId="42108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vMerge w:val="restart"/>
            <w:noWrap w:val="0"/>
            <w:vAlign w:val="center"/>
          </w:tcPr>
          <w:p w14:paraId="027F61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镇（街道）</w:t>
            </w:r>
          </w:p>
        </w:tc>
        <w:tc>
          <w:tcPr>
            <w:tcW w:w="11581" w:type="dxa"/>
            <w:gridSpan w:val="11"/>
            <w:noWrap/>
            <w:vAlign w:val="center"/>
          </w:tcPr>
          <w:p w14:paraId="537E43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2015年农村经济总收入</w:t>
            </w:r>
          </w:p>
        </w:tc>
      </w:tr>
      <w:tr w14:paraId="161A5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vMerge w:val="continue"/>
            <w:noWrap w:val="0"/>
            <w:vAlign w:val="center"/>
          </w:tcPr>
          <w:p w14:paraId="00FD84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34" w:type="dxa"/>
            <w:vMerge w:val="restart"/>
            <w:noWrap w:val="0"/>
            <w:vAlign w:val="center"/>
          </w:tcPr>
          <w:p w14:paraId="30C70B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农村经济总收入</w:t>
            </w:r>
          </w:p>
        </w:tc>
        <w:tc>
          <w:tcPr>
            <w:tcW w:w="10747" w:type="dxa"/>
            <w:gridSpan w:val="10"/>
            <w:noWrap/>
            <w:vAlign w:val="center"/>
          </w:tcPr>
          <w:p w14:paraId="4BA60B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lang w:eastAsia="zh-CN"/>
              </w:rPr>
              <w:t>（</w:t>
            </w:r>
            <w:r>
              <w:rPr>
                <w:rFonts w:hint="eastAsia"/>
                <w:highlight w:val="none"/>
              </w:rPr>
              <w:t>二</w:t>
            </w:r>
            <w:r>
              <w:rPr>
                <w:rFonts w:hint="eastAsia"/>
                <w:highlight w:val="none"/>
                <w:lang w:eastAsia="zh-CN"/>
              </w:rPr>
              <w:t>）</w:t>
            </w:r>
            <w:r>
              <w:rPr>
                <w:rFonts w:hint="eastAsia"/>
                <w:highlight w:val="none"/>
              </w:rPr>
              <w:t>按行业划分</w:t>
            </w:r>
          </w:p>
        </w:tc>
      </w:tr>
      <w:tr w14:paraId="60F09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2" w:hRule="atLeast"/>
        </w:trPr>
        <w:tc>
          <w:tcPr>
            <w:tcW w:w="738" w:type="dxa"/>
            <w:vMerge w:val="continue"/>
            <w:noWrap w:val="0"/>
            <w:vAlign w:val="center"/>
          </w:tcPr>
          <w:p w14:paraId="6ED99C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34" w:type="dxa"/>
            <w:vMerge w:val="continue"/>
            <w:noWrap w:val="0"/>
            <w:vAlign w:val="center"/>
          </w:tcPr>
          <w:p w14:paraId="749FD9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99" w:type="dxa"/>
            <w:vMerge w:val="restart"/>
            <w:noWrap/>
            <w:vAlign w:val="center"/>
          </w:tcPr>
          <w:p w14:paraId="724BC5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1.农业收入</w:t>
            </w:r>
          </w:p>
        </w:tc>
        <w:tc>
          <w:tcPr>
            <w:tcW w:w="1199" w:type="dxa"/>
            <w:vMerge w:val="restart"/>
            <w:noWrap/>
            <w:vAlign w:val="center"/>
          </w:tcPr>
          <w:p w14:paraId="30E835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2.林业收入</w:t>
            </w:r>
          </w:p>
        </w:tc>
        <w:tc>
          <w:tcPr>
            <w:tcW w:w="1199" w:type="dxa"/>
            <w:vMerge w:val="restart"/>
            <w:noWrap/>
            <w:vAlign w:val="center"/>
          </w:tcPr>
          <w:p w14:paraId="513DEB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3.牧业收入</w:t>
            </w:r>
          </w:p>
        </w:tc>
        <w:tc>
          <w:tcPr>
            <w:tcW w:w="1199" w:type="dxa"/>
            <w:vMerge w:val="restart"/>
            <w:noWrap/>
            <w:vAlign w:val="center"/>
          </w:tcPr>
          <w:p w14:paraId="289B2B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4.渔业收入</w:t>
            </w:r>
          </w:p>
        </w:tc>
        <w:tc>
          <w:tcPr>
            <w:tcW w:w="985" w:type="dxa"/>
            <w:vMerge w:val="restart"/>
            <w:noWrap w:val="0"/>
            <w:vAlign w:val="center"/>
          </w:tcPr>
          <w:p w14:paraId="404C56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5.工业收入</w:t>
            </w:r>
          </w:p>
        </w:tc>
        <w:tc>
          <w:tcPr>
            <w:tcW w:w="992" w:type="dxa"/>
            <w:vMerge w:val="restart"/>
            <w:noWrap w:val="0"/>
            <w:vAlign w:val="center"/>
          </w:tcPr>
          <w:p w14:paraId="71F8A1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6.建筑业收入</w:t>
            </w:r>
          </w:p>
        </w:tc>
        <w:tc>
          <w:tcPr>
            <w:tcW w:w="992" w:type="dxa"/>
            <w:vMerge w:val="restart"/>
            <w:noWrap w:val="0"/>
            <w:vAlign w:val="center"/>
          </w:tcPr>
          <w:p w14:paraId="225648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7.运输业收入</w:t>
            </w:r>
          </w:p>
        </w:tc>
        <w:tc>
          <w:tcPr>
            <w:tcW w:w="992" w:type="dxa"/>
            <w:vMerge w:val="restart"/>
            <w:noWrap w:val="0"/>
            <w:vAlign w:val="center"/>
          </w:tcPr>
          <w:p w14:paraId="4F2BF2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8.商饮业收入</w:t>
            </w:r>
          </w:p>
        </w:tc>
        <w:tc>
          <w:tcPr>
            <w:tcW w:w="992" w:type="dxa"/>
            <w:vMerge w:val="restart"/>
            <w:noWrap w:val="0"/>
            <w:vAlign w:val="center"/>
          </w:tcPr>
          <w:p w14:paraId="741BF8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9.服务业收入</w:t>
            </w:r>
          </w:p>
        </w:tc>
        <w:tc>
          <w:tcPr>
            <w:tcW w:w="998" w:type="dxa"/>
            <w:vMerge w:val="restart"/>
            <w:noWrap w:val="0"/>
            <w:vAlign w:val="center"/>
          </w:tcPr>
          <w:p w14:paraId="4DBB92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10.其他收入</w:t>
            </w:r>
          </w:p>
        </w:tc>
      </w:tr>
      <w:tr w14:paraId="7404C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7" w:hRule="atLeast"/>
        </w:trPr>
        <w:tc>
          <w:tcPr>
            <w:tcW w:w="738" w:type="dxa"/>
            <w:vMerge w:val="continue"/>
            <w:noWrap w:val="0"/>
            <w:vAlign w:val="center"/>
          </w:tcPr>
          <w:p w14:paraId="3B52D7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834" w:type="dxa"/>
            <w:vMerge w:val="continue"/>
            <w:noWrap w:val="0"/>
            <w:vAlign w:val="center"/>
          </w:tcPr>
          <w:p w14:paraId="60E27C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99" w:type="dxa"/>
            <w:vMerge w:val="continue"/>
            <w:noWrap w:val="0"/>
            <w:vAlign w:val="center"/>
          </w:tcPr>
          <w:p w14:paraId="5FEEE6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99" w:type="dxa"/>
            <w:vMerge w:val="continue"/>
            <w:noWrap w:val="0"/>
            <w:vAlign w:val="center"/>
          </w:tcPr>
          <w:p w14:paraId="3DAAE2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99" w:type="dxa"/>
            <w:vMerge w:val="continue"/>
            <w:noWrap w:val="0"/>
            <w:vAlign w:val="center"/>
          </w:tcPr>
          <w:p w14:paraId="10F4CE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99" w:type="dxa"/>
            <w:vMerge w:val="continue"/>
            <w:noWrap w:val="0"/>
            <w:vAlign w:val="center"/>
          </w:tcPr>
          <w:p w14:paraId="0F13DD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85" w:type="dxa"/>
            <w:vMerge w:val="continue"/>
            <w:noWrap w:val="0"/>
            <w:vAlign w:val="center"/>
          </w:tcPr>
          <w:p w14:paraId="2E6862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92" w:type="dxa"/>
            <w:vMerge w:val="continue"/>
            <w:noWrap w:val="0"/>
            <w:vAlign w:val="center"/>
          </w:tcPr>
          <w:p w14:paraId="2F2D24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92" w:type="dxa"/>
            <w:vMerge w:val="continue"/>
            <w:noWrap w:val="0"/>
            <w:vAlign w:val="center"/>
          </w:tcPr>
          <w:p w14:paraId="1EC8E4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92" w:type="dxa"/>
            <w:vMerge w:val="continue"/>
            <w:noWrap w:val="0"/>
            <w:vAlign w:val="center"/>
          </w:tcPr>
          <w:p w14:paraId="736E1C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92" w:type="dxa"/>
            <w:vMerge w:val="continue"/>
            <w:noWrap w:val="0"/>
            <w:vAlign w:val="center"/>
          </w:tcPr>
          <w:p w14:paraId="575524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998" w:type="dxa"/>
            <w:vMerge w:val="continue"/>
            <w:noWrap w:val="0"/>
            <w:vAlign w:val="center"/>
          </w:tcPr>
          <w:p w14:paraId="7845B7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C2BF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2156AC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南雄市</w:t>
            </w:r>
          </w:p>
        </w:tc>
        <w:tc>
          <w:tcPr>
            <w:tcW w:w="834" w:type="dxa"/>
            <w:noWrap/>
            <w:vAlign w:val="center"/>
          </w:tcPr>
          <w:p w14:paraId="0E230C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836108</w:t>
            </w:r>
          </w:p>
        </w:tc>
        <w:tc>
          <w:tcPr>
            <w:tcW w:w="1199" w:type="dxa"/>
            <w:noWrap/>
            <w:vAlign w:val="center"/>
          </w:tcPr>
          <w:p w14:paraId="205A20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350482</w:t>
            </w:r>
          </w:p>
        </w:tc>
        <w:tc>
          <w:tcPr>
            <w:tcW w:w="1199" w:type="dxa"/>
            <w:noWrap/>
            <w:vAlign w:val="center"/>
          </w:tcPr>
          <w:p w14:paraId="48DBF3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29572</w:t>
            </w:r>
          </w:p>
        </w:tc>
        <w:tc>
          <w:tcPr>
            <w:tcW w:w="1199" w:type="dxa"/>
            <w:noWrap/>
            <w:vAlign w:val="center"/>
          </w:tcPr>
          <w:p w14:paraId="5ABEB4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90550</w:t>
            </w:r>
          </w:p>
        </w:tc>
        <w:tc>
          <w:tcPr>
            <w:tcW w:w="1199" w:type="dxa"/>
            <w:noWrap/>
            <w:vAlign w:val="center"/>
          </w:tcPr>
          <w:p w14:paraId="4C6C8B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23093</w:t>
            </w:r>
          </w:p>
        </w:tc>
        <w:tc>
          <w:tcPr>
            <w:tcW w:w="985" w:type="dxa"/>
            <w:noWrap/>
            <w:vAlign w:val="center"/>
          </w:tcPr>
          <w:p w14:paraId="2D27EB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125421</w:t>
            </w:r>
          </w:p>
        </w:tc>
        <w:tc>
          <w:tcPr>
            <w:tcW w:w="992" w:type="dxa"/>
            <w:noWrap/>
            <w:vAlign w:val="center"/>
          </w:tcPr>
          <w:p w14:paraId="51D514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54509</w:t>
            </w:r>
          </w:p>
        </w:tc>
        <w:tc>
          <w:tcPr>
            <w:tcW w:w="992" w:type="dxa"/>
            <w:noWrap/>
            <w:vAlign w:val="center"/>
          </w:tcPr>
          <w:p w14:paraId="3E8AD1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34343</w:t>
            </w:r>
          </w:p>
        </w:tc>
        <w:tc>
          <w:tcPr>
            <w:tcW w:w="992" w:type="dxa"/>
            <w:noWrap/>
            <w:vAlign w:val="center"/>
          </w:tcPr>
          <w:p w14:paraId="74DDCB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62956</w:t>
            </w:r>
          </w:p>
        </w:tc>
        <w:tc>
          <w:tcPr>
            <w:tcW w:w="992" w:type="dxa"/>
            <w:noWrap/>
            <w:vAlign w:val="center"/>
          </w:tcPr>
          <w:p w14:paraId="56DE35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23777</w:t>
            </w:r>
          </w:p>
        </w:tc>
        <w:tc>
          <w:tcPr>
            <w:tcW w:w="998" w:type="dxa"/>
            <w:noWrap/>
            <w:vAlign w:val="center"/>
          </w:tcPr>
          <w:p w14:paraId="49A2A8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41405</w:t>
            </w:r>
          </w:p>
        </w:tc>
      </w:tr>
      <w:tr w14:paraId="600C7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058437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乌迳镇</w:t>
            </w:r>
          </w:p>
        </w:tc>
        <w:tc>
          <w:tcPr>
            <w:tcW w:w="834" w:type="dxa"/>
            <w:noWrap/>
            <w:vAlign w:val="center"/>
          </w:tcPr>
          <w:p w14:paraId="38DEE3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85853</w:t>
            </w:r>
          </w:p>
        </w:tc>
        <w:tc>
          <w:tcPr>
            <w:tcW w:w="1199" w:type="dxa"/>
            <w:noWrap/>
            <w:vAlign w:val="center"/>
          </w:tcPr>
          <w:p w14:paraId="1703C6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44183</w:t>
            </w:r>
          </w:p>
        </w:tc>
        <w:tc>
          <w:tcPr>
            <w:tcW w:w="1199" w:type="dxa"/>
            <w:noWrap/>
            <w:vAlign w:val="center"/>
          </w:tcPr>
          <w:p w14:paraId="70AC15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887</w:t>
            </w:r>
          </w:p>
        </w:tc>
        <w:tc>
          <w:tcPr>
            <w:tcW w:w="1199" w:type="dxa"/>
            <w:noWrap/>
            <w:vAlign w:val="center"/>
          </w:tcPr>
          <w:p w14:paraId="7E8109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6142</w:t>
            </w:r>
          </w:p>
        </w:tc>
        <w:tc>
          <w:tcPr>
            <w:tcW w:w="1199" w:type="dxa"/>
            <w:noWrap/>
            <w:vAlign w:val="center"/>
          </w:tcPr>
          <w:p w14:paraId="06E6DC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5020</w:t>
            </w:r>
          </w:p>
        </w:tc>
        <w:tc>
          <w:tcPr>
            <w:tcW w:w="985" w:type="dxa"/>
            <w:noWrap/>
            <w:vAlign w:val="center"/>
          </w:tcPr>
          <w:p w14:paraId="12C333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2885</w:t>
            </w:r>
          </w:p>
        </w:tc>
        <w:tc>
          <w:tcPr>
            <w:tcW w:w="992" w:type="dxa"/>
            <w:noWrap/>
            <w:vAlign w:val="center"/>
          </w:tcPr>
          <w:p w14:paraId="51C017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2815</w:t>
            </w:r>
          </w:p>
        </w:tc>
        <w:tc>
          <w:tcPr>
            <w:tcW w:w="992" w:type="dxa"/>
            <w:noWrap/>
            <w:vAlign w:val="center"/>
          </w:tcPr>
          <w:p w14:paraId="24863C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1339</w:t>
            </w:r>
          </w:p>
        </w:tc>
        <w:tc>
          <w:tcPr>
            <w:tcW w:w="992" w:type="dxa"/>
            <w:noWrap/>
            <w:vAlign w:val="center"/>
          </w:tcPr>
          <w:p w14:paraId="7675F5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4433</w:t>
            </w:r>
          </w:p>
        </w:tc>
        <w:tc>
          <w:tcPr>
            <w:tcW w:w="992" w:type="dxa"/>
            <w:noWrap/>
            <w:vAlign w:val="center"/>
          </w:tcPr>
          <w:p w14:paraId="3B4897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954</w:t>
            </w:r>
          </w:p>
        </w:tc>
        <w:tc>
          <w:tcPr>
            <w:tcW w:w="998" w:type="dxa"/>
            <w:noWrap/>
            <w:vAlign w:val="center"/>
          </w:tcPr>
          <w:p w14:paraId="75006D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17195</w:t>
            </w:r>
          </w:p>
        </w:tc>
      </w:tr>
      <w:tr w14:paraId="1000A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098B7E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界址镇</w:t>
            </w:r>
          </w:p>
        </w:tc>
        <w:tc>
          <w:tcPr>
            <w:tcW w:w="834" w:type="dxa"/>
            <w:noWrap/>
            <w:vAlign w:val="center"/>
          </w:tcPr>
          <w:p w14:paraId="096DFD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19047</w:t>
            </w:r>
          </w:p>
        </w:tc>
        <w:tc>
          <w:tcPr>
            <w:tcW w:w="1199" w:type="dxa"/>
            <w:noWrap/>
            <w:vAlign w:val="center"/>
          </w:tcPr>
          <w:p w14:paraId="6FE3D5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6242</w:t>
            </w:r>
          </w:p>
        </w:tc>
        <w:tc>
          <w:tcPr>
            <w:tcW w:w="1199" w:type="dxa"/>
            <w:noWrap/>
            <w:vAlign w:val="center"/>
          </w:tcPr>
          <w:p w14:paraId="0A3CF5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673</w:t>
            </w:r>
          </w:p>
        </w:tc>
        <w:tc>
          <w:tcPr>
            <w:tcW w:w="1199" w:type="dxa"/>
            <w:noWrap/>
            <w:vAlign w:val="center"/>
          </w:tcPr>
          <w:p w14:paraId="7E8EE5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3676</w:t>
            </w:r>
          </w:p>
        </w:tc>
        <w:tc>
          <w:tcPr>
            <w:tcW w:w="1199" w:type="dxa"/>
            <w:noWrap/>
            <w:vAlign w:val="center"/>
          </w:tcPr>
          <w:p w14:paraId="10257C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969</w:t>
            </w:r>
          </w:p>
        </w:tc>
        <w:tc>
          <w:tcPr>
            <w:tcW w:w="985" w:type="dxa"/>
            <w:noWrap/>
            <w:vAlign w:val="center"/>
          </w:tcPr>
          <w:p w14:paraId="3E935E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2674</w:t>
            </w:r>
          </w:p>
        </w:tc>
        <w:tc>
          <w:tcPr>
            <w:tcW w:w="992" w:type="dxa"/>
            <w:noWrap/>
            <w:vAlign w:val="center"/>
          </w:tcPr>
          <w:p w14:paraId="7ED37B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1607</w:t>
            </w:r>
          </w:p>
        </w:tc>
        <w:tc>
          <w:tcPr>
            <w:tcW w:w="992" w:type="dxa"/>
            <w:noWrap/>
            <w:vAlign w:val="center"/>
          </w:tcPr>
          <w:p w14:paraId="704BDE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533</w:t>
            </w:r>
          </w:p>
        </w:tc>
        <w:tc>
          <w:tcPr>
            <w:tcW w:w="992" w:type="dxa"/>
            <w:noWrap/>
            <w:vAlign w:val="center"/>
          </w:tcPr>
          <w:p w14:paraId="12A234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574</w:t>
            </w:r>
          </w:p>
        </w:tc>
        <w:tc>
          <w:tcPr>
            <w:tcW w:w="992" w:type="dxa"/>
            <w:noWrap/>
            <w:vAlign w:val="center"/>
          </w:tcPr>
          <w:p w14:paraId="32E4DF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880</w:t>
            </w:r>
          </w:p>
        </w:tc>
        <w:tc>
          <w:tcPr>
            <w:tcW w:w="998" w:type="dxa"/>
            <w:noWrap/>
            <w:vAlign w:val="center"/>
          </w:tcPr>
          <w:p w14:paraId="3962DD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1219</w:t>
            </w:r>
          </w:p>
        </w:tc>
      </w:tr>
      <w:tr w14:paraId="0B090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533100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坪田镇</w:t>
            </w:r>
          </w:p>
        </w:tc>
        <w:tc>
          <w:tcPr>
            <w:tcW w:w="834" w:type="dxa"/>
            <w:noWrap/>
            <w:vAlign w:val="center"/>
          </w:tcPr>
          <w:p w14:paraId="3ED0BE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33411</w:t>
            </w:r>
          </w:p>
        </w:tc>
        <w:tc>
          <w:tcPr>
            <w:tcW w:w="1199" w:type="dxa"/>
            <w:noWrap/>
            <w:vAlign w:val="center"/>
          </w:tcPr>
          <w:p w14:paraId="7EC7A0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12735</w:t>
            </w:r>
          </w:p>
        </w:tc>
        <w:tc>
          <w:tcPr>
            <w:tcW w:w="1199" w:type="dxa"/>
            <w:noWrap/>
            <w:vAlign w:val="center"/>
          </w:tcPr>
          <w:p w14:paraId="53474C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1622</w:t>
            </w:r>
          </w:p>
        </w:tc>
        <w:tc>
          <w:tcPr>
            <w:tcW w:w="1199" w:type="dxa"/>
            <w:noWrap/>
            <w:vAlign w:val="center"/>
          </w:tcPr>
          <w:p w14:paraId="4A77B9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6492</w:t>
            </w:r>
          </w:p>
        </w:tc>
        <w:tc>
          <w:tcPr>
            <w:tcW w:w="1199" w:type="dxa"/>
            <w:noWrap/>
            <w:vAlign w:val="center"/>
          </w:tcPr>
          <w:p w14:paraId="6E16F2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320</w:t>
            </w:r>
          </w:p>
        </w:tc>
        <w:tc>
          <w:tcPr>
            <w:tcW w:w="985" w:type="dxa"/>
            <w:noWrap/>
            <w:vAlign w:val="center"/>
          </w:tcPr>
          <w:p w14:paraId="58531B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3382</w:t>
            </w:r>
          </w:p>
        </w:tc>
        <w:tc>
          <w:tcPr>
            <w:tcW w:w="992" w:type="dxa"/>
            <w:noWrap/>
            <w:vAlign w:val="center"/>
          </w:tcPr>
          <w:p w14:paraId="792E15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1116</w:t>
            </w:r>
          </w:p>
        </w:tc>
        <w:tc>
          <w:tcPr>
            <w:tcW w:w="992" w:type="dxa"/>
            <w:noWrap/>
            <w:vAlign w:val="center"/>
          </w:tcPr>
          <w:p w14:paraId="2AF1B6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1828</w:t>
            </w:r>
          </w:p>
        </w:tc>
        <w:tc>
          <w:tcPr>
            <w:tcW w:w="992" w:type="dxa"/>
            <w:noWrap/>
            <w:vAlign w:val="center"/>
          </w:tcPr>
          <w:p w14:paraId="4509D2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2893</w:t>
            </w:r>
          </w:p>
        </w:tc>
        <w:tc>
          <w:tcPr>
            <w:tcW w:w="992" w:type="dxa"/>
            <w:noWrap/>
            <w:vAlign w:val="center"/>
          </w:tcPr>
          <w:p w14:paraId="58F0EC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1362</w:t>
            </w:r>
          </w:p>
        </w:tc>
        <w:tc>
          <w:tcPr>
            <w:tcW w:w="998" w:type="dxa"/>
            <w:noWrap/>
            <w:vAlign w:val="center"/>
          </w:tcPr>
          <w:p w14:paraId="0A7E9D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1661</w:t>
            </w:r>
          </w:p>
        </w:tc>
      </w:tr>
      <w:tr w14:paraId="568C8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259ED7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黄坑镇</w:t>
            </w:r>
          </w:p>
        </w:tc>
        <w:tc>
          <w:tcPr>
            <w:tcW w:w="834" w:type="dxa"/>
            <w:noWrap/>
            <w:vAlign w:val="center"/>
          </w:tcPr>
          <w:p w14:paraId="7E87CE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69289</w:t>
            </w:r>
          </w:p>
        </w:tc>
        <w:tc>
          <w:tcPr>
            <w:tcW w:w="1199" w:type="dxa"/>
            <w:noWrap/>
            <w:vAlign w:val="center"/>
          </w:tcPr>
          <w:p w14:paraId="02E352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24902</w:t>
            </w:r>
          </w:p>
        </w:tc>
        <w:tc>
          <w:tcPr>
            <w:tcW w:w="1199" w:type="dxa"/>
            <w:noWrap/>
            <w:vAlign w:val="center"/>
          </w:tcPr>
          <w:p w14:paraId="091D38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490</w:t>
            </w:r>
          </w:p>
        </w:tc>
        <w:tc>
          <w:tcPr>
            <w:tcW w:w="1199" w:type="dxa"/>
            <w:noWrap/>
            <w:vAlign w:val="center"/>
          </w:tcPr>
          <w:p w14:paraId="22442A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6709</w:t>
            </w:r>
          </w:p>
        </w:tc>
        <w:tc>
          <w:tcPr>
            <w:tcW w:w="1199" w:type="dxa"/>
            <w:noWrap/>
            <w:vAlign w:val="center"/>
          </w:tcPr>
          <w:p w14:paraId="1C6F16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900</w:t>
            </w:r>
          </w:p>
        </w:tc>
        <w:tc>
          <w:tcPr>
            <w:tcW w:w="985" w:type="dxa"/>
            <w:noWrap/>
            <w:vAlign w:val="center"/>
          </w:tcPr>
          <w:p w14:paraId="2C81B0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11740</w:t>
            </w:r>
          </w:p>
        </w:tc>
        <w:tc>
          <w:tcPr>
            <w:tcW w:w="992" w:type="dxa"/>
            <w:noWrap/>
            <w:vAlign w:val="center"/>
          </w:tcPr>
          <w:p w14:paraId="16A7BE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2339</w:t>
            </w:r>
          </w:p>
        </w:tc>
        <w:tc>
          <w:tcPr>
            <w:tcW w:w="992" w:type="dxa"/>
            <w:noWrap/>
            <w:vAlign w:val="center"/>
          </w:tcPr>
          <w:p w14:paraId="4FCAA4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6807</w:t>
            </w:r>
          </w:p>
        </w:tc>
        <w:tc>
          <w:tcPr>
            <w:tcW w:w="992" w:type="dxa"/>
            <w:noWrap/>
            <w:vAlign w:val="center"/>
          </w:tcPr>
          <w:p w14:paraId="7B6E5C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12581</w:t>
            </w:r>
          </w:p>
        </w:tc>
        <w:tc>
          <w:tcPr>
            <w:tcW w:w="992" w:type="dxa"/>
            <w:noWrap/>
            <w:vAlign w:val="center"/>
          </w:tcPr>
          <w:p w14:paraId="3EFE0C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1591</w:t>
            </w:r>
          </w:p>
        </w:tc>
        <w:tc>
          <w:tcPr>
            <w:tcW w:w="998" w:type="dxa"/>
            <w:noWrap/>
            <w:vAlign w:val="center"/>
          </w:tcPr>
          <w:p w14:paraId="4836A86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1230</w:t>
            </w:r>
          </w:p>
        </w:tc>
      </w:tr>
      <w:tr w14:paraId="2E80C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196402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邓坊镇</w:t>
            </w:r>
          </w:p>
        </w:tc>
        <w:tc>
          <w:tcPr>
            <w:tcW w:w="834" w:type="dxa"/>
            <w:noWrap/>
            <w:vAlign w:val="center"/>
          </w:tcPr>
          <w:p w14:paraId="4CAF5F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35304</w:t>
            </w:r>
          </w:p>
        </w:tc>
        <w:tc>
          <w:tcPr>
            <w:tcW w:w="1199" w:type="dxa"/>
            <w:noWrap/>
            <w:vAlign w:val="center"/>
          </w:tcPr>
          <w:p w14:paraId="3676BB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22752</w:t>
            </w:r>
          </w:p>
        </w:tc>
        <w:tc>
          <w:tcPr>
            <w:tcW w:w="1199" w:type="dxa"/>
            <w:noWrap/>
            <w:vAlign w:val="center"/>
          </w:tcPr>
          <w:p w14:paraId="7E6FA6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3003</w:t>
            </w:r>
          </w:p>
        </w:tc>
        <w:tc>
          <w:tcPr>
            <w:tcW w:w="1199" w:type="dxa"/>
            <w:noWrap/>
            <w:vAlign w:val="center"/>
          </w:tcPr>
          <w:p w14:paraId="416F7B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5197</w:t>
            </w:r>
          </w:p>
        </w:tc>
        <w:tc>
          <w:tcPr>
            <w:tcW w:w="1199" w:type="dxa"/>
            <w:noWrap/>
            <w:vAlign w:val="center"/>
          </w:tcPr>
          <w:p w14:paraId="3B869A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718</w:t>
            </w:r>
          </w:p>
        </w:tc>
        <w:tc>
          <w:tcPr>
            <w:tcW w:w="985" w:type="dxa"/>
            <w:noWrap/>
            <w:vAlign w:val="center"/>
          </w:tcPr>
          <w:p w14:paraId="721CBF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713</w:t>
            </w:r>
          </w:p>
        </w:tc>
        <w:tc>
          <w:tcPr>
            <w:tcW w:w="992" w:type="dxa"/>
            <w:noWrap/>
            <w:vAlign w:val="center"/>
          </w:tcPr>
          <w:p w14:paraId="229272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701</w:t>
            </w:r>
          </w:p>
        </w:tc>
        <w:tc>
          <w:tcPr>
            <w:tcW w:w="992" w:type="dxa"/>
            <w:noWrap/>
            <w:vAlign w:val="center"/>
          </w:tcPr>
          <w:p w14:paraId="1C6238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741</w:t>
            </w:r>
          </w:p>
        </w:tc>
        <w:tc>
          <w:tcPr>
            <w:tcW w:w="992" w:type="dxa"/>
            <w:noWrap/>
            <w:vAlign w:val="center"/>
          </w:tcPr>
          <w:p w14:paraId="003965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760</w:t>
            </w:r>
          </w:p>
        </w:tc>
        <w:tc>
          <w:tcPr>
            <w:tcW w:w="992" w:type="dxa"/>
            <w:noWrap/>
            <w:vAlign w:val="center"/>
          </w:tcPr>
          <w:p w14:paraId="09EE33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356</w:t>
            </w:r>
          </w:p>
        </w:tc>
        <w:tc>
          <w:tcPr>
            <w:tcW w:w="998" w:type="dxa"/>
            <w:noWrap/>
            <w:vAlign w:val="center"/>
          </w:tcPr>
          <w:p w14:paraId="63B2AA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363</w:t>
            </w:r>
          </w:p>
        </w:tc>
      </w:tr>
      <w:tr w14:paraId="52363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66FA4D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油山镇</w:t>
            </w:r>
          </w:p>
        </w:tc>
        <w:tc>
          <w:tcPr>
            <w:tcW w:w="834" w:type="dxa"/>
            <w:noWrap/>
            <w:vAlign w:val="center"/>
          </w:tcPr>
          <w:p w14:paraId="45E428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39024</w:t>
            </w:r>
          </w:p>
        </w:tc>
        <w:tc>
          <w:tcPr>
            <w:tcW w:w="1199" w:type="dxa"/>
            <w:noWrap/>
            <w:vAlign w:val="center"/>
          </w:tcPr>
          <w:p w14:paraId="73CD5B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31429</w:t>
            </w:r>
          </w:p>
        </w:tc>
        <w:tc>
          <w:tcPr>
            <w:tcW w:w="1199" w:type="dxa"/>
            <w:noWrap/>
            <w:vAlign w:val="center"/>
          </w:tcPr>
          <w:p w14:paraId="5F82CE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1500</w:t>
            </w:r>
          </w:p>
        </w:tc>
        <w:tc>
          <w:tcPr>
            <w:tcW w:w="1199" w:type="dxa"/>
            <w:noWrap/>
            <w:vAlign w:val="center"/>
          </w:tcPr>
          <w:p w14:paraId="6641F1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812</w:t>
            </w:r>
          </w:p>
        </w:tc>
        <w:tc>
          <w:tcPr>
            <w:tcW w:w="1199" w:type="dxa"/>
            <w:noWrap/>
            <w:vAlign w:val="center"/>
          </w:tcPr>
          <w:p w14:paraId="167C4F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719</w:t>
            </w:r>
          </w:p>
        </w:tc>
        <w:tc>
          <w:tcPr>
            <w:tcW w:w="985" w:type="dxa"/>
            <w:noWrap/>
            <w:vAlign w:val="center"/>
          </w:tcPr>
          <w:p w14:paraId="1B190A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584</w:t>
            </w:r>
          </w:p>
        </w:tc>
        <w:tc>
          <w:tcPr>
            <w:tcW w:w="992" w:type="dxa"/>
            <w:noWrap/>
            <w:vAlign w:val="center"/>
          </w:tcPr>
          <w:p w14:paraId="6B92E9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1786</w:t>
            </w:r>
          </w:p>
        </w:tc>
        <w:tc>
          <w:tcPr>
            <w:tcW w:w="992" w:type="dxa"/>
            <w:noWrap/>
            <w:vAlign w:val="center"/>
          </w:tcPr>
          <w:p w14:paraId="042A7F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721</w:t>
            </w:r>
          </w:p>
        </w:tc>
        <w:tc>
          <w:tcPr>
            <w:tcW w:w="992" w:type="dxa"/>
            <w:noWrap/>
            <w:vAlign w:val="center"/>
          </w:tcPr>
          <w:p w14:paraId="169F0F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720</w:t>
            </w:r>
          </w:p>
        </w:tc>
        <w:tc>
          <w:tcPr>
            <w:tcW w:w="992" w:type="dxa"/>
            <w:noWrap/>
            <w:vAlign w:val="center"/>
          </w:tcPr>
          <w:p w14:paraId="43D17C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652</w:t>
            </w:r>
          </w:p>
        </w:tc>
        <w:tc>
          <w:tcPr>
            <w:tcW w:w="998" w:type="dxa"/>
            <w:noWrap/>
            <w:vAlign w:val="center"/>
          </w:tcPr>
          <w:p w14:paraId="7DC559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101</w:t>
            </w:r>
          </w:p>
        </w:tc>
      </w:tr>
      <w:tr w14:paraId="31ABD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41A010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南亩镇</w:t>
            </w:r>
          </w:p>
        </w:tc>
        <w:tc>
          <w:tcPr>
            <w:tcW w:w="834" w:type="dxa"/>
            <w:noWrap/>
            <w:vAlign w:val="center"/>
          </w:tcPr>
          <w:p w14:paraId="16ACE0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29956</w:t>
            </w:r>
          </w:p>
        </w:tc>
        <w:tc>
          <w:tcPr>
            <w:tcW w:w="1199" w:type="dxa"/>
            <w:noWrap/>
            <w:vAlign w:val="center"/>
          </w:tcPr>
          <w:p w14:paraId="28C48E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14076</w:t>
            </w:r>
          </w:p>
        </w:tc>
        <w:tc>
          <w:tcPr>
            <w:tcW w:w="1199" w:type="dxa"/>
            <w:noWrap/>
            <w:vAlign w:val="center"/>
          </w:tcPr>
          <w:p w14:paraId="356689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1192</w:t>
            </w:r>
          </w:p>
        </w:tc>
        <w:tc>
          <w:tcPr>
            <w:tcW w:w="1199" w:type="dxa"/>
            <w:noWrap/>
            <w:vAlign w:val="center"/>
          </w:tcPr>
          <w:p w14:paraId="799518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4101</w:t>
            </w:r>
          </w:p>
        </w:tc>
        <w:tc>
          <w:tcPr>
            <w:tcW w:w="1199" w:type="dxa"/>
            <w:noWrap/>
            <w:vAlign w:val="center"/>
          </w:tcPr>
          <w:p w14:paraId="1E55C6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502</w:t>
            </w:r>
          </w:p>
        </w:tc>
        <w:tc>
          <w:tcPr>
            <w:tcW w:w="985" w:type="dxa"/>
            <w:noWrap/>
            <w:vAlign w:val="center"/>
          </w:tcPr>
          <w:p w14:paraId="0E7D18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5393</w:t>
            </w:r>
          </w:p>
        </w:tc>
        <w:tc>
          <w:tcPr>
            <w:tcW w:w="992" w:type="dxa"/>
            <w:noWrap/>
            <w:vAlign w:val="center"/>
          </w:tcPr>
          <w:p w14:paraId="6F993F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1194</w:t>
            </w:r>
          </w:p>
        </w:tc>
        <w:tc>
          <w:tcPr>
            <w:tcW w:w="992" w:type="dxa"/>
            <w:noWrap/>
            <w:vAlign w:val="center"/>
          </w:tcPr>
          <w:p w14:paraId="488179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896</w:t>
            </w:r>
          </w:p>
        </w:tc>
        <w:tc>
          <w:tcPr>
            <w:tcW w:w="992" w:type="dxa"/>
            <w:noWrap/>
            <w:vAlign w:val="center"/>
          </w:tcPr>
          <w:p w14:paraId="1D1DF4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1009</w:t>
            </w:r>
          </w:p>
        </w:tc>
        <w:tc>
          <w:tcPr>
            <w:tcW w:w="992" w:type="dxa"/>
            <w:noWrap/>
            <w:vAlign w:val="center"/>
          </w:tcPr>
          <w:p w14:paraId="70EA1D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1190</w:t>
            </w:r>
          </w:p>
        </w:tc>
        <w:tc>
          <w:tcPr>
            <w:tcW w:w="998" w:type="dxa"/>
            <w:noWrap/>
            <w:vAlign w:val="center"/>
          </w:tcPr>
          <w:p w14:paraId="660A92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403</w:t>
            </w:r>
          </w:p>
        </w:tc>
      </w:tr>
      <w:tr w14:paraId="35EC2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34EAFD9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水口镇</w:t>
            </w:r>
          </w:p>
        </w:tc>
        <w:tc>
          <w:tcPr>
            <w:tcW w:w="834" w:type="dxa"/>
            <w:noWrap/>
            <w:vAlign w:val="center"/>
          </w:tcPr>
          <w:p w14:paraId="244757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41572</w:t>
            </w:r>
          </w:p>
        </w:tc>
        <w:tc>
          <w:tcPr>
            <w:tcW w:w="1199" w:type="dxa"/>
            <w:noWrap/>
            <w:vAlign w:val="center"/>
          </w:tcPr>
          <w:p w14:paraId="0AF862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34802</w:t>
            </w:r>
          </w:p>
        </w:tc>
        <w:tc>
          <w:tcPr>
            <w:tcW w:w="1199" w:type="dxa"/>
            <w:noWrap/>
            <w:vAlign w:val="center"/>
          </w:tcPr>
          <w:p w14:paraId="4C88BA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w:t>
            </w:r>
          </w:p>
        </w:tc>
        <w:tc>
          <w:tcPr>
            <w:tcW w:w="1199" w:type="dxa"/>
            <w:noWrap/>
            <w:vAlign w:val="center"/>
          </w:tcPr>
          <w:p w14:paraId="777ED8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3153</w:t>
            </w:r>
          </w:p>
        </w:tc>
        <w:tc>
          <w:tcPr>
            <w:tcW w:w="1199" w:type="dxa"/>
            <w:noWrap/>
            <w:vAlign w:val="center"/>
          </w:tcPr>
          <w:p w14:paraId="762E5A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595</w:t>
            </w:r>
          </w:p>
        </w:tc>
        <w:tc>
          <w:tcPr>
            <w:tcW w:w="985" w:type="dxa"/>
            <w:noWrap/>
            <w:vAlign w:val="center"/>
          </w:tcPr>
          <w:p w14:paraId="53746F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354</w:t>
            </w:r>
          </w:p>
        </w:tc>
        <w:tc>
          <w:tcPr>
            <w:tcW w:w="992" w:type="dxa"/>
            <w:noWrap/>
            <w:vAlign w:val="center"/>
          </w:tcPr>
          <w:p w14:paraId="457385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668</w:t>
            </w:r>
          </w:p>
        </w:tc>
        <w:tc>
          <w:tcPr>
            <w:tcW w:w="992" w:type="dxa"/>
            <w:noWrap/>
            <w:vAlign w:val="center"/>
          </w:tcPr>
          <w:p w14:paraId="24B393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577</w:t>
            </w:r>
          </w:p>
        </w:tc>
        <w:tc>
          <w:tcPr>
            <w:tcW w:w="992" w:type="dxa"/>
            <w:noWrap/>
            <w:vAlign w:val="center"/>
          </w:tcPr>
          <w:p w14:paraId="05D20A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168</w:t>
            </w:r>
          </w:p>
        </w:tc>
        <w:tc>
          <w:tcPr>
            <w:tcW w:w="992" w:type="dxa"/>
            <w:noWrap/>
            <w:vAlign w:val="center"/>
          </w:tcPr>
          <w:p w14:paraId="452748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w:t>
            </w:r>
          </w:p>
        </w:tc>
        <w:tc>
          <w:tcPr>
            <w:tcW w:w="998" w:type="dxa"/>
            <w:noWrap/>
            <w:vAlign w:val="center"/>
          </w:tcPr>
          <w:p w14:paraId="4C827F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1115</w:t>
            </w:r>
          </w:p>
        </w:tc>
      </w:tr>
      <w:tr w14:paraId="1B1D4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529874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江头镇</w:t>
            </w:r>
          </w:p>
        </w:tc>
        <w:tc>
          <w:tcPr>
            <w:tcW w:w="834" w:type="dxa"/>
            <w:noWrap/>
            <w:vAlign w:val="center"/>
          </w:tcPr>
          <w:p w14:paraId="27FFE2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18587</w:t>
            </w:r>
          </w:p>
        </w:tc>
        <w:tc>
          <w:tcPr>
            <w:tcW w:w="1199" w:type="dxa"/>
            <w:noWrap/>
            <w:vAlign w:val="center"/>
          </w:tcPr>
          <w:p w14:paraId="1151C4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6916</w:t>
            </w:r>
          </w:p>
        </w:tc>
        <w:tc>
          <w:tcPr>
            <w:tcW w:w="1199" w:type="dxa"/>
            <w:noWrap/>
            <w:vAlign w:val="center"/>
          </w:tcPr>
          <w:p w14:paraId="465D29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644</w:t>
            </w:r>
          </w:p>
        </w:tc>
        <w:tc>
          <w:tcPr>
            <w:tcW w:w="1199" w:type="dxa"/>
            <w:noWrap/>
            <w:vAlign w:val="center"/>
          </w:tcPr>
          <w:p w14:paraId="04980E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2087</w:t>
            </w:r>
          </w:p>
        </w:tc>
        <w:tc>
          <w:tcPr>
            <w:tcW w:w="1199" w:type="dxa"/>
            <w:noWrap/>
            <w:vAlign w:val="center"/>
          </w:tcPr>
          <w:p w14:paraId="43D590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176</w:t>
            </w:r>
          </w:p>
        </w:tc>
        <w:tc>
          <w:tcPr>
            <w:tcW w:w="985" w:type="dxa"/>
            <w:noWrap/>
            <w:vAlign w:val="center"/>
          </w:tcPr>
          <w:p w14:paraId="2CFC11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169</w:t>
            </w:r>
          </w:p>
        </w:tc>
        <w:tc>
          <w:tcPr>
            <w:tcW w:w="992" w:type="dxa"/>
            <w:noWrap/>
            <w:vAlign w:val="center"/>
          </w:tcPr>
          <w:p w14:paraId="49B460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484</w:t>
            </w:r>
          </w:p>
        </w:tc>
        <w:tc>
          <w:tcPr>
            <w:tcW w:w="992" w:type="dxa"/>
            <w:noWrap/>
            <w:vAlign w:val="center"/>
          </w:tcPr>
          <w:p w14:paraId="276F7B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326</w:t>
            </w:r>
          </w:p>
        </w:tc>
        <w:tc>
          <w:tcPr>
            <w:tcW w:w="992" w:type="dxa"/>
            <w:noWrap/>
            <w:vAlign w:val="center"/>
          </w:tcPr>
          <w:p w14:paraId="4BD398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250</w:t>
            </w:r>
          </w:p>
        </w:tc>
        <w:tc>
          <w:tcPr>
            <w:tcW w:w="992" w:type="dxa"/>
            <w:noWrap/>
            <w:vAlign w:val="center"/>
          </w:tcPr>
          <w:p w14:paraId="571EDD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w:t>
            </w:r>
          </w:p>
        </w:tc>
        <w:tc>
          <w:tcPr>
            <w:tcW w:w="998" w:type="dxa"/>
            <w:noWrap/>
            <w:vAlign w:val="center"/>
          </w:tcPr>
          <w:p w14:paraId="210FDF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7429</w:t>
            </w:r>
          </w:p>
        </w:tc>
      </w:tr>
      <w:tr w14:paraId="30E0F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053F85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湖口镇</w:t>
            </w:r>
          </w:p>
        </w:tc>
        <w:tc>
          <w:tcPr>
            <w:tcW w:w="834" w:type="dxa"/>
            <w:noWrap/>
            <w:vAlign w:val="center"/>
          </w:tcPr>
          <w:p w14:paraId="65F66F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74520</w:t>
            </w:r>
          </w:p>
        </w:tc>
        <w:tc>
          <w:tcPr>
            <w:tcW w:w="1199" w:type="dxa"/>
            <w:noWrap/>
            <w:vAlign w:val="center"/>
          </w:tcPr>
          <w:p w14:paraId="28BAB4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18427</w:t>
            </w:r>
          </w:p>
        </w:tc>
        <w:tc>
          <w:tcPr>
            <w:tcW w:w="1199" w:type="dxa"/>
            <w:noWrap/>
            <w:vAlign w:val="center"/>
          </w:tcPr>
          <w:p w14:paraId="43B7EA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1103</w:t>
            </w:r>
          </w:p>
        </w:tc>
        <w:tc>
          <w:tcPr>
            <w:tcW w:w="1199" w:type="dxa"/>
            <w:noWrap/>
            <w:vAlign w:val="center"/>
          </w:tcPr>
          <w:p w14:paraId="2A125D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8219</w:t>
            </w:r>
          </w:p>
        </w:tc>
        <w:tc>
          <w:tcPr>
            <w:tcW w:w="1199" w:type="dxa"/>
            <w:noWrap/>
            <w:vAlign w:val="center"/>
          </w:tcPr>
          <w:p w14:paraId="5ADB9C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1547</w:t>
            </w:r>
          </w:p>
        </w:tc>
        <w:tc>
          <w:tcPr>
            <w:tcW w:w="985" w:type="dxa"/>
            <w:noWrap/>
            <w:vAlign w:val="center"/>
          </w:tcPr>
          <w:p w14:paraId="3FBB25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21778</w:t>
            </w:r>
          </w:p>
        </w:tc>
        <w:tc>
          <w:tcPr>
            <w:tcW w:w="992" w:type="dxa"/>
            <w:noWrap/>
            <w:vAlign w:val="center"/>
          </w:tcPr>
          <w:p w14:paraId="1DBFD7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7265</w:t>
            </w:r>
          </w:p>
        </w:tc>
        <w:tc>
          <w:tcPr>
            <w:tcW w:w="992" w:type="dxa"/>
            <w:noWrap/>
            <w:vAlign w:val="center"/>
          </w:tcPr>
          <w:p w14:paraId="3E1B76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5844</w:t>
            </w:r>
          </w:p>
        </w:tc>
        <w:tc>
          <w:tcPr>
            <w:tcW w:w="992" w:type="dxa"/>
            <w:noWrap/>
            <w:vAlign w:val="center"/>
          </w:tcPr>
          <w:p w14:paraId="01A7AE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5996</w:t>
            </w:r>
          </w:p>
        </w:tc>
        <w:tc>
          <w:tcPr>
            <w:tcW w:w="992" w:type="dxa"/>
            <w:noWrap/>
            <w:vAlign w:val="center"/>
          </w:tcPr>
          <w:p w14:paraId="6437D9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3056</w:t>
            </w:r>
          </w:p>
        </w:tc>
        <w:tc>
          <w:tcPr>
            <w:tcW w:w="998" w:type="dxa"/>
            <w:noWrap/>
            <w:vAlign w:val="center"/>
          </w:tcPr>
          <w:p w14:paraId="688679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1285</w:t>
            </w:r>
          </w:p>
        </w:tc>
      </w:tr>
      <w:tr w14:paraId="1EE74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4967B0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珠玑镇</w:t>
            </w:r>
          </w:p>
        </w:tc>
        <w:tc>
          <w:tcPr>
            <w:tcW w:w="834" w:type="dxa"/>
            <w:noWrap/>
            <w:vAlign w:val="center"/>
          </w:tcPr>
          <w:p w14:paraId="1C57C2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80097</w:t>
            </w:r>
          </w:p>
        </w:tc>
        <w:tc>
          <w:tcPr>
            <w:tcW w:w="1199" w:type="dxa"/>
            <w:noWrap/>
            <w:vAlign w:val="center"/>
          </w:tcPr>
          <w:p w14:paraId="239F69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34642</w:t>
            </w:r>
          </w:p>
        </w:tc>
        <w:tc>
          <w:tcPr>
            <w:tcW w:w="1199" w:type="dxa"/>
            <w:noWrap/>
            <w:vAlign w:val="center"/>
          </w:tcPr>
          <w:p w14:paraId="337002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1410</w:t>
            </w:r>
          </w:p>
        </w:tc>
        <w:tc>
          <w:tcPr>
            <w:tcW w:w="1199" w:type="dxa"/>
            <w:noWrap/>
            <w:vAlign w:val="center"/>
          </w:tcPr>
          <w:p w14:paraId="5EABB2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10963</w:t>
            </w:r>
          </w:p>
        </w:tc>
        <w:tc>
          <w:tcPr>
            <w:tcW w:w="1199" w:type="dxa"/>
            <w:noWrap/>
            <w:vAlign w:val="center"/>
          </w:tcPr>
          <w:p w14:paraId="004DBA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1899</w:t>
            </w:r>
          </w:p>
        </w:tc>
        <w:tc>
          <w:tcPr>
            <w:tcW w:w="985" w:type="dxa"/>
            <w:noWrap/>
            <w:vAlign w:val="center"/>
          </w:tcPr>
          <w:p w14:paraId="3E85FE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6774</w:t>
            </w:r>
          </w:p>
        </w:tc>
        <w:tc>
          <w:tcPr>
            <w:tcW w:w="992" w:type="dxa"/>
            <w:noWrap/>
            <w:vAlign w:val="center"/>
          </w:tcPr>
          <w:p w14:paraId="3A488C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4517</w:t>
            </w:r>
          </w:p>
        </w:tc>
        <w:tc>
          <w:tcPr>
            <w:tcW w:w="992" w:type="dxa"/>
            <w:noWrap/>
            <w:vAlign w:val="center"/>
          </w:tcPr>
          <w:p w14:paraId="7E2670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4198</w:t>
            </w:r>
          </w:p>
        </w:tc>
        <w:tc>
          <w:tcPr>
            <w:tcW w:w="992" w:type="dxa"/>
            <w:noWrap/>
            <w:vAlign w:val="center"/>
          </w:tcPr>
          <w:p w14:paraId="7C8162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6535</w:t>
            </w:r>
          </w:p>
        </w:tc>
        <w:tc>
          <w:tcPr>
            <w:tcW w:w="992" w:type="dxa"/>
            <w:noWrap/>
            <w:vAlign w:val="center"/>
          </w:tcPr>
          <w:p w14:paraId="34A734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4324</w:t>
            </w:r>
          </w:p>
        </w:tc>
        <w:tc>
          <w:tcPr>
            <w:tcW w:w="998" w:type="dxa"/>
            <w:noWrap/>
            <w:vAlign w:val="center"/>
          </w:tcPr>
          <w:p w14:paraId="7FA20B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4835</w:t>
            </w:r>
          </w:p>
        </w:tc>
      </w:tr>
      <w:tr w14:paraId="60676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2465F2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主田镇</w:t>
            </w:r>
          </w:p>
        </w:tc>
        <w:tc>
          <w:tcPr>
            <w:tcW w:w="834" w:type="dxa"/>
            <w:noWrap/>
            <w:vAlign w:val="center"/>
          </w:tcPr>
          <w:p w14:paraId="0665EF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30633</w:t>
            </w:r>
          </w:p>
        </w:tc>
        <w:tc>
          <w:tcPr>
            <w:tcW w:w="1199" w:type="dxa"/>
            <w:noWrap/>
            <w:vAlign w:val="center"/>
          </w:tcPr>
          <w:p w14:paraId="458255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22827</w:t>
            </w:r>
          </w:p>
        </w:tc>
        <w:tc>
          <w:tcPr>
            <w:tcW w:w="1199" w:type="dxa"/>
            <w:noWrap/>
            <w:vAlign w:val="center"/>
          </w:tcPr>
          <w:p w14:paraId="16F225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1213</w:t>
            </w:r>
          </w:p>
        </w:tc>
        <w:tc>
          <w:tcPr>
            <w:tcW w:w="1199" w:type="dxa"/>
            <w:noWrap/>
            <w:vAlign w:val="center"/>
          </w:tcPr>
          <w:p w14:paraId="675030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1851</w:t>
            </w:r>
          </w:p>
        </w:tc>
        <w:tc>
          <w:tcPr>
            <w:tcW w:w="1199" w:type="dxa"/>
            <w:noWrap/>
            <w:vAlign w:val="center"/>
          </w:tcPr>
          <w:p w14:paraId="4ABCF9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746</w:t>
            </w:r>
          </w:p>
        </w:tc>
        <w:tc>
          <w:tcPr>
            <w:tcW w:w="985" w:type="dxa"/>
            <w:noWrap/>
            <w:vAlign w:val="center"/>
          </w:tcPr>
          <w:p w14:paraId="4B312D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897</w:t>
            </w:r>
          </w:p>
        </w:tc>
        <w:tc>
          <w:tcPr>
            <w:tcW w:w="992" w:type="dxa"/>
            <w:noWrap/>
            <w:vAlign w:val="center"/>
          </w:tcPr>
          <w:p w14:paraId="198A3C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1801</w:t>
            </w:r>
          </w:p>
        </w:tc>
        <w:tc>
          <w:tcPr>
            <w:tcW w:w="992" w:type="dxa"/>
            <w:noWrap/>
            <w:vAlign w:val="center"/>
          </w:tcPr>
          <w:p w14:paraId="5EA430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709</w:t>
            </w:r>
          </w:p>
        </w:tc>
        <w:tc>
          <w:tcPr>
            <w:tcW w:w="992" w:type="dxa"/>
            <w:noWrap/>
            <w:vAlign w:val="center"/>
          </w:tcPr>
          <w:p w14:paraId="623B68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356</w:t>
            </w:r>
          </w:p>
        </w:tc>
        <w:tc>
          <w:tcPr>
            <w:tcW w:w="992" w:type="dxa"/>
            <w:noWrap/>
            <w:vAlign w:val="center"/>
          </w:tcPr>
          <w:p w14:paraId="2DF63F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w:t>
            </w:r>
          </w:p>
        </w:tc>
        <w:tc>
          <w:tcPr>
            <w:tcW w:w="998" w:type="dxa"/>
            <w:noWrap/>
            <w:vAlign w:val="center"/>
          </w:tcPr>
          <w:p w14:paraId="7E3BEA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71</w:t>
            </w:r>
          </w:p>
        </w:tc>
      </w:tr>
      <w:tr w14:paraId="62385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38A989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古市镇</w:t>
            </w:r>
          </w:p>
        </w:tc>
        <w:tc>
          <w:tcPr>
            <w:tcW w:w="834" w:type="dxa"/>
            <w:noWrap/>
            <w:vAlign w:val="center"/>
          </w:tcPr>
          <w:p w14:paraId="71A7A5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40782</w:t>
            </w:r>
          </w:p>
        </w:tc>
        <w:tc>
          <w:tcPr>
            <w:tcW w:w="1199" w:type="dxa"/>
            <w:noWrap/>
            <w:vAlign w:val="center"/>
          </w:tcPr>
          <w:p w14:paraId="5EA641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20499</w:t>
            </w:r>
          </w:p>
        </w:tc>
        <w:tc>
          <w:tcPr>
            <w:tcW w:w="1199" w:type="dxa"/>
            <w:noWrap/>
            <w:vAlign w:val="center"/>
          </w:tcPr>
          <w:p w14:paraId="543F99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550</w:t>
            </w:r>
          </w:p>
        </w:tc>
        <w:tc>
          <w:tcPr>
            <w:tcW w:w="1199" w:type="dxa"/>
            <w:noWrap/>
            <w:vAlign w:val="center"/>
          </w:tcPr>
          <w:p w14:paraId="40F8DA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3866</w:t>
            </w:r>
          </w:p>
        </w:tc>
        <w:tc>
          <w:tcPr>
            <w:tcW w:w="1199" w:type="dxa"/>
            <w:noWrap/>
            <w:vAlign w:val="center"/>
          </w:tcPr>
          <w:p w14:paraId="3C506E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1625</w:t>
            </w:r>
          </w:p>
        </w:tc>
        <w:tc>
          <w:tcPr>
            <w:tcW w:w="985" w:type="dxa"/>
            <w:noWrap/>
            <w:vAlign w:val="center"/>
          </w:tcPr>
          <w:p w14:paraId="009C72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5988</w:t>
            </w:r>
          </w:p>
        </w:tc>
        <w:tc>
          <w:tcPr>
            <w:tcW w:w="992" w:type="dxa"/>
            <w:noWrap/>
            <w:vAlign w:val="center"/>
          </w:tcPr>
          <w:p w14:paraId="51D6A9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1455</w:t>
            </w:r>
          </w:p>
        </w:tc>
        <w:tc>
          <w:tcPr>
            <w:tcW w:w="992" w:type="dxa"/>
            <w:noWrap/>
            <w:vAlign w:val="center"/>
          </w:tcPr>
          <w:p w14:paraId="14DC2F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2088</w:t>
            </w:r>
          </w:p>
        </w:tc>
        <w:tc>
          <w:tcPr>
            <w:tcW w:w="992" w:type="dxa"/>
            <w:noWrap/>
            <w:vAlign w:val="center"/>
          </w:tcPr>
          <w:p w14:paraId="4A840E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1302</w:t>
            </w:r>
          </w:p>
        </w:tc>
        <w:tc>
          <w:tcPr>
            <w:tcW w:w="992" w:type="dxa"/>
            <w:noWrap/>
            <w:vAlign w:val="center"/>
          </w:tcPr>
          <w:p w14:paraId="6FFB03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2711</w:t>
            </w:r>
          </w:p>
        </w:tc>
        <w:tc>
          <w:tcPr>
            <w:tcW w:w="998" w:type="dxa"/>
            <w:noWrap/>
            <w:vAlign w:val="center"/>
          </w:tcPr>
          <w:p w14:paraId="721C0F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698</w:t>
            </w:r>
          </w:p>
        </w:tc>
      </w:tr>
      <w:tr w14:paraId="5F927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78E454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全安镇</w:t>
            </w:r>
          </w:p>
        </w:tc>
        <w:tc>
          <w:tcPr>
            <w:tcW w:w="834" w:type="dxa"/>
            <w:noWrap/>
            <w:vAlign w:val="center"/>
          </w:tcPr>
          <w:p w14:paraId="360B27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48793</w:t>
            </w:r>
          </w:p>
        </w:tc>
        <w:tc>
          <w:tcPr>
            <w:tcW w:w="1199" w:type="dxa"/>
            <w:noWrap/>
            <w:vAlign w:val="center"/>
          </w:tcPr>
          <w:p w14:paraId="6ECDFA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20193</w:t>
            </w:r>
          </w:p>
        </w:tc>
        <w:tc>
          <w:tcPr>
            <w:tcW w:w="1199" w:type="dxa"/>
            <w:noWrap/>
            <w:vAlign w:val="center"/>
          </w:tcPr>
          <w:p w14:paraId="0E2EFB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690</w:t>
            </w:r>
          </w:p>
        </w:tc>
        <w:tc>
          <w:tcPr>
            <w:tcW w:w="1199" w:type="dxa"/>
            <w:noWrap/>
            <w:vAlign w:val="center"/>
          </w:tcPr>
          <w:p w14:paraId="3A31FC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7422</w:t>
            </w:r>
          </w:p>
        </w:tc>
        <w:tc>
          <w:tcPr>
            <w:tcW w:w="1199" w:type="dxa"/>
            <w:noWrap/>
            <w:vAlign w:val="center"/>
          </w:tcPr>
          <w:p w14:paraId="154CAA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1890</w:t>
            </w:r>
          </w:p>
        </w:tc>
        <w:tc>
          <w:tcPr>
            <w:tcW w:w="985" w:type="dxa"/>
            <w:noWrap/>
            <w:vAlign w:val="center"/>
          </w:tcPr>
          <w:p w14:paraId="049F42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10671</w:t>
            </w:r>
          </w:p>
        </w:tc>
        <w:tc>
          <w:tcPr>
            <w:tcW w:w="992" w:type="dxa"/>
            <w:noWrap/>
            <w:vAlign w:val="center"/>
          </w:tcPr>
          <w:p w14:paraId="4BFFA6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2674</w:t>
            </w:r>
          </w:p>
        </w:tc>
        <w:tc>
          <w:tcPr>
            <w:tcW w:w="992" w:type="dxa"/>
            <w:noWrap/>
            <w:vAlign w:val="center"/>
          </w:tcPr>
          <w:p w14:paraId="7259A7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1463</w:t>
            </w:r>
          </w:p>
        </w:tc>
        <w:tc>
          <w:tcPr>
            <w:tcW w:w="992" w:type="dxa"/>
            <w:noWrap/>
            <w:vAlign w:val="center"/>
          </w:tcPr>
          <w:p w14:paraId="72579D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1693</w:t>
            </w:r>
          </w:p>
        </w:tc>
        <w:tc>
          <w:tcPr>
            <w:tcW w:w="992" w:type="dxa"/>
            <w:noWrap/>
            <w:vAlign w:val="center"/>
          </w:tcPr>
          <w:p w14:paraId="47415C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1903</w:t>
            </w:r>
          </w:p>
        </w:tc>
        <w:tc>
          <w:tcPr>
            <w:tcW w:w="998" w:type="dxa"/>
            <w:noWrap/>
            <w:vAlign w:val="center"/>
          </w:tcPr>
          <w:p w14:paraId="7986DB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194</w:t>
            </w:r>
          </w:p>
        </w:tc>
      </w:tr>
      <w:tr w14:paraId="5D0CD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4" w:hRule="atLeast"/>
        </w:trPr>
        <w:tc>
          <w:tcPr>
            <w:tcW w:w="738" w:type="dxa"/>
            <w:noWrap/>
            <w:vAlign w:val="center"/>
          </w:tcPr>
          <w:p w14:paraId="615A04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百顺镇</w:t>
            </w:r>
          </w:p>
        </w:tc>
        <w:tc>
          <w:tcPr>
            <w:tcW w:w="834" w:type="dxa"/>
            <w:noWrap/>
            <w:vAlign w:val="center"/>
          </w:tcPr>
          <w:p w14:paraId="60EB95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16287</w:t>
            </w:r>
          </w:p>
        </w:tc>
        <w:tc>
          <w:tcPr>
            <w:tcW w:w="1199" w:type="dxa"/>
            <w:noWrap/>
            <w:vAlign w:val="center"/>
          </w:tcPr>
          <w:p w14:paraId="6B6E94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6502</w:t>
            </w:r>
          </w:p>
        </w:tc>
        <w:tc>
          <w:tcPr>
            <w:tcW w:w="1199" w:type="dxa"/>
            <w:noWrap/>
            <w:vAlign w:val="center"/>
          </w:tcPr>
          <w:p w14:paraId="090528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2587</w:t>
            </w:r>
          </w:p>
        </w:tc>
        <w:tc>
          <w:tcPr>
            <w:tcW w:w="1199" w:type="dxa"/>
            <w:noWrap/>
            <w:vAlign w:val="center"/>
          </w:tcPr>
          <w:p w14:paraId="5DD9AF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1760</w:t>
            </w:r>
          </w:p>
        </w:tc>
        <w:tc>
          <w:tcPr>
            <w:tcW w:w="1199" w:type="dxa"/>
            <w:noWrap/>
            <w:vAlign w:val="center"/>
          </w:tcPr>
          <w:p w14:paraId="5F643B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w:t>
            </w:r>
          </w:p>
        </w:tc>
        <w:tc>
          <w:tcPr>
            <w:tcW w:w="985" w:type="dxa"/>
            <w:noWrap/>
            <w:vAlign w:val="center"/>
          </w:tcPr>
          <w:p w14:paraId="27C605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1879</w:t>
            </w:r>
          </w:p>
        </w:tc>
        <w:tc>
          <w:tcPr>
            <w:tcW w:w="992" w:type="dxa"/>
            <w:noWrap/>
            <w:vAlign w:val="center"/>
          </w:tcPr>
          <w:p w14:paraId="2A3DAE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751</w:t>
            </w:r>
          </w:p>
        </w:tc>
        <w:tc>
          <w:tcPr>
            <w:tcW w:w="992" w:type="dxa"/>
            <w:noWrap/>
            <w:vAlign w:val="center"/>
          </w:tcPr>
          <w:p w14:paraId="17FE88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997</w:t>
            </w:r>
          </w:p>
        </w:tc>
        <w:tc>
          <w:tcPr>
            <w:tcW w:w="992" w:type="dxa"/>
            <w:noWrap/>
            <w:vAlign w:val="center"/>
          </w:tcPr>
          <w:p w14:paraId="5CA60D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750</w:t>
            </w:r>
          </w:p>
        </w:tc>
        <w:tc>
          <w:tcPr>
            <w:tcW w:w="992" w:type="dxa"/>
            <w:noWrap/>
            <w:vAlign w:val="center"/>
          </w:tcPr>
          <w:p w14:paraId="0138BF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577</w:t>
            </w:r>
          </w:p>
        </w:tc>
        <w:tc>
          <w:tcPr>
            <w:tcW w:w="998" w:type="dxa"/>
            <w:noWrap/>
            <w:vAlign w:val="center"/>
          </w:tcPr>
          <w:p w14:paraId="4AEE44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414</w:t>
            </w:r>
          </w:p>
        </w:tc>
      </w:tr>
      <w:tr w14:paraId="10067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4" w:hRule="atLeast"/>
        </w:trPr>
        <w:tc>
          <w:tcPr>
            <w:tcW w:w="738" w:type="dxa"/>
            <w:noWrap/>
            <w:vAlign w:val="center"/>
          </w:tcPr>
          <w:p w14:paraId="5187BD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澜河镇</w:t>
            </w:r>
          </w:p>
        </w:tc>
        <w:tc>
          <w:tcPr>
            <w:tcW w:w="834" w:type="dxa"/>
            <w:noWrap/>
            <w:vAlign w:val="center"/>
          </w:tcPr>
          <w:p w14:paraId="0860FA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46157</w:t>
            </w:r>
          </w:p>
        </w:tc>
        <w:tc>
          <w:tcPr>
            <w:tcW w:w="1199" w:type="dxa"/>
            <w:noWrap/>
            <w:vAlign w:val="center"/>
          </w:tcPr>
          <w:p w14:paraId="27A603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3133</w:t>
            </w:r>
          </w:p>
        </w:tc>
        <w:tc>
          <w:tcPr>
            <w:tcW w:w="1199" w:type="dxa"/>
            <w:noWrap/>
            <w:vAlign w:val="center"/>
          </w:tcPr>
          <w:p w14:paraId="025AC0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7993</w:t>
            </w:r>
          </w:p>
        </w:tc>
        <w:tc>
          <w:tcPr>
            <w:tcW w:w="1199" w:type="dxa"/>
            <w:noWrap/>
            <w:vAlign w:val="center"/>
          </w:tcPr>
          <w:p w14:paraId="758D46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4197</w:t>
            </w:r>
          </w:p>
        </w:tc>
        <w:tc>
          <w:tcPr>
            <w:tcW w:w="1199" w:type="dxa"/>
            <w:noWrap/>
            <w:vAlign w:val="center"/>
          </w:tcPr>
          <w:p w14:paraId="352F90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w:t>
            </w:r>
          </w:p>
        </w:tc>
        <w:tc>
          <w:tcPr>
            <w:tcW w:w="985" w:type="dxa"/>
            <w:noWrap/>
            <w:vAlign w:val="center"/>
          </w:tcPr>
          <w:p w14:paraId="760CC0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16687</w:t>
            </w:r>
          </w:p>
        </w:tc>
        <w:tc>
          <w:tcPr>
            <w:tcW w:w="992" w:type="dxa"/>
            <w:noWrap/>
            <w:vAlign w:val="center"/>
          </w:tcPr>
          <w:p w14:paraId="4BEB2E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3876</w:t>
            </w:r>
          </w:p>
        </w:tc>
        <w:tc>
          <w:tcPr>
            <w:tcW w:w="992" w:type="dxa"/>
            <w:noWrap/>
            <w:vAlign w:val="center"/>
          </w:tcPr>
          <w:p w14:paraId="42D7D9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1454</w:t>
            </w:r>
          </w:p>
        </w:tc>
        <w:tc>
          <w:tcPr>
            <w:tcW w:w="992" w:type="dxa"/>
            <w:noWrap/>
            <w:vAlign w:val="center"/>
          </w:tcPr>
          <w:p w14:paraId="2FEEE8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7353</w:t>
            </w:r>
          </w:p>
        </w:tc>
        <w:tc>
          <w:tcPr>
            <w:tcW w:w="992" w:type="dxa"/>
            <w:noWrap/>
            <w:vAlign w:val="center"/>
          </w:tcPr>
          <w:p w14:paraId="1ACDCE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1420</w:t>
            </w:r>
          </w:p>
        </w:tc>
        <w:tc>
          <w:tcPr>
            <w:tcW w:w="998" w:type="dxa"/>
            <w:noWrap/>
            <w:vAlign w:val="center"/>
          </w:tcPr>
          <w:p w14:paraId="109C22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w:t>
            </w:r>
          </w:p>
        </w:tc>
      </w:tr>
      <w:tr w14:paraId="561E8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2" w:hRule="atLeast"/>
        </w:trPr>
        <w:tc>
          <w:tcPr>
            <w:tcW w:w="738" w:type="dxa"/>
            <w:noWrap/>
            <w:vAlign w:val="center"/>
          </w:tcPr>
          <w:p w14:paraId="4BBFCB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帽子峰镇</w:t>
            </w:r>
          </w:p>
        </w:tc>
        <w:tc>
          <w:tcPr>
            <w:tcW w:w="834" w:type="dxa"/>
            <w:noWrap/>
            <w:vAlign w:val="center"/>
          </w:tcPr>
          <w:p w14:paraId="3A6AB6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15098</w:t>
            </w:r>
          </w:p>
        </w:tc>
        <w:tc>
          <w:tcPr>
            <w:tcW w:w="1199" w:type="dxa"/>
            <w:noWrap/>
            <w:vAlign w:val="center"/>
          </w:tcPr>
          <w:p w14:paraId="60B58B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4872</w:t>
            </w:r>
          </w:p>
        </w:tc>
        <w:tc>
          <w:tcPr>
            <w:tcW w:w="1199" w:type="dxa"/>
            <w:noWrap/>
            <w:vAlign w:val="center"/>
          </w:tcPr>
          <w:p w14:paraId="617DA1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3490</w:t>
            </w:r>
          </w:p>
        </w:tc>
        <w:tc>
          <w:tcPr>
            <w:tcW w:w="1199" w:type="dxa"/>
            <w:noWrap/>
            <w:vAlign w:val="center"/>
          </w:tcPr>
          <w:p w14:paraId="5DA2A0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1293</w:t>
            </w:r>
          </w:p>
        </w:tc>
        <w:tc>
          <w:tcPr>
            <w:tcW w:w="1199" w:type="dxa"/>
            <w:noWrap/>
            <w:vAlign w:val="center"/>
          </w:tcPr>
          <w:p w14:paraId="2D1963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355</w:t>
            </w:r>
          </w:p>
        </w:tc>
        <w:tc>
          <w:tcPr>
            <w:tcW w:w="985" w:type="dxa"/>
            <w:noWrap/>
            <w:vAlign w:val="center"/>
          </w:tcPr>
          <w:p w14:paraId="4BE0B3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942</w:t>
            </w:r>
          </w:p>
        </w:tc>
        <w:tc>
          <w:tcPr>
            <w:tcW w:w="992" w:type="dxa"/>
            <w:noWrap/>
            <w:vAlign w:val="center"/>
          </w:tcPr>
          <w:p w14:paraId="4C2FC5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581</w:t>
            </w:r>
          </w:p>
        </w:tc>
        <w:tc>
          <w:tcPr>
            <w:tcW w:w="992" w:type="dxa"/>
            <w:noWrap/>
            <w:vAlign w:val="center"/>
          </w:tcPr>
          <w:p w14:paraId="4971716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510</w:t>
            </w:r>
          </w:p>
        </w:tc>
        <w:tc>
          <w:tcPr>
            <w:tcW w:w="992" w:type="dxa"/>
            <w:noWrap/>
            <w:vAlign w:val="center"/>
          </w:tcPr>
          <w:p w14:paraId="7DCD36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1561</w:t>
            </w:r>
          </w:p>
        </w:tc>
        <w:tc>
          <w:tcPr>
            <w:tcW w:w="992" w:type="dxa"/>
            <w:noWrap/>
            <w:vAlign w:val="center"/>
          </w:tcPr>
          <w:p w14:paraId="763779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993</w:t>
            </w:r>
          </w:p>
        </w:tc>
        <w:tc>
          <w:tcPr>
            <w:tcW w:w="998" w:type="dxa"/>
            <w:noWrap/>
            <w:vAlign w:val="center"/>
          </w:tcPr>
          <w:p w14:paraId="6428F5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501</w:t>
            </w:r>
          </w:p>
        </w:tc>
      </w:tr>
      <w:tr w14:paraId="165DB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62" w:hRule="atLeast"/>
        </w:trPr>
        <w:tc>
          <w:tcPr>
            <w:tcW w:w="738" w:type="dxa"/>
            <w:noWrap/>
            <w:vAlign w:val="center"/>
          </w:tcPr>
          <w:p w14:paraId="6827C7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雄州街道</w:t>
            </w:r>
          </w:p>
        </w:tc>
        <w:tc>
          <w:tcPr>
            <w:tcW w:w="834" w:type="dxa"/>
            <w:noWrap/>
            <w:vAlign w:val="center"/>
          </w:tcPr>
          <w:p w14:paraId="74B59F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111698</w:t>
            </w:r>
          </w:p>
        </w:tc>
        <w:tc>
          <w:tcPr>
            <w:tcW w:w="1199" w:type="dxa"/>
            <w:noWrap/>
            <w:vAlign w:val="center"/>
          </w:tcPr>
          <w:p w14:paraId="195297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21350</w:t>
            </w:r>
          </w:p>
        </w:tc>
        <w:tc>
          <w:tcPr>
            <w:tcW w:w="1199" w:type="dxa"/>
            <w:noWrap/>
            <w:vAlign w:val="center"/>
          </w:tcPr>
          <w:p w14:paraId="03BF28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495</w:t>
            </w:r>
          </w:p>
        </w:tc>
        <w:tc>
          <w:tcPr>
            <w:tcW w:w="1199" w:type="dxa"/>
            <w:noWrap/>
            <w:vAlign w:val="center"/>
          </w:tcPr>
          <w:p w14:paraId="1AED7D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12610</w:t>
            </w:r>
          </w:p>
        </w:tc>
        <w:tc>
          <w:tcPr>
            <w:tcW w:w="1199" w:type="dxa"/>
            <w:noWrap/>
            <w:vAlign w:val="center"/>
          </w:tcPr>
          <w:p w14:paraId="0CBB49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5034</w:t>
            </w:r>
          </w:p>
        </w:tc>
        <w:tc>
          <w:tcPr>
            <w:tcW w:w="985" w:type="dxa"/>
            <w:noWrap/>
            <w:vAlign w:val="center"/>
          </w:tcPr>
          <w:p w14:paraId="558D83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31911</w:t>
            </w:r>
          </w:p>
        </w:tc>
        <w:tc>
          <w:tcPr>
            <w:tcW w:w="992" w:type="dxa"/>
            <w:noWrap/>
            <w:vAlign w:val="center"/>
          </w:tcPr>
          <w:p w14:paraId="1AD8C7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18879</w:t>
            </w:r>
          </w:p>
        </w:tc>
        <w:tc>
          <w:tcPr>
            <w:tcW w:w="992" w:type="dxa"/>
            <w:noWrap/>
            <w:vAlign w:val="center"/>
          </w:tcPr>
          <w:p w14:paraId="1A51CF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3312</w:t>
            </w:r>
          </w:p>
        </w:tc>
        <w:tc>
          <w:tcPr>
            <w:tcW w:w="992" w:type="dxa"/>
            <w:noWrap/>
            <w:vAlign w:val="center"/>
          </w:tcPr>
          <w:p w14:paraId="52B83B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14022</w:t>
            </w:r>
          </w:p>
        </w:tc>
        <w:tc>
          <w:tcPr>
            <w:tcW w:w="992" w:type="dxa"/>
            <w:noWrap/>
            <w:vAlign w:val="center"/>
          </w:tcPr>
          <w:p w14:paraId="4DD7EC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1430</w:t>
            </w:r>
          </w:p>
        </w:tc>
        <w:tc>
          <w:tcPr>
            <w:tcW w:w="998" w:type="dxa"/>
            <w:noWrap/>
            <w:vAlign w:val="center"/>
          </w:tcPr>
          <w:p w14:paraId="73A2E1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2655</w:t>
            </w:r>
          </w:p>
        </w:tc>
      </w:tr>
      <w:tr w14:paraId="05D53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1" w:hRule="atLeast"/>
        </w:trPr>
        <w:tc>
          <w:tcPr>
            <w:tcW w:w="12319" w:type="dxa"/>
            <w:gridSpan w:val="12"/>
            <w:noWrap/>
            <w:vAlign w:val="center"/>
          </w:tcPr>
          <w:p w14:paraId="7432A8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注：本表数据由市农业局提供。</w:t>
            </w:r>
          </w:p>
        </w:tc>
      </w:tr>
    </w:tbl>
    <w:p w14:paraId="3CD71909">
      <w:pPr>
        <w:jc w:val="center"/>
        <w:rPr>
          <w:rFonts w:hAnsi="宋体" w:cs="宋体"/>
          <w:highlight w:val="none"/>
        </w:rPr>
        <w:sectPr>
          <w:pgSz w:w="16783" w:h="11850" w:orient="landscape"/>
          <w:pgMar w:top="1752" w:right="1440" w:bottom="1752" w:left="1440" w:header="851" w:footer="992" w:gutter="0"/>
          <w:cols w:space="720" w:num="1"/>
          <w:docGrid w:type="lines" w:linePitch="312" w:charSpace="0"/>
        </w:sectPr>
      </w:pPr>
    </w:p>
    <w:p w14:paraId="1DCA51BC">
      <w:pPr>
        <w:jc w:val="center"/>
        <w:rPr>
          <w:rFonts w:hint="eastAsia" w:hAnsi="宋体" w:cs="宋体"/>
          <w:highlight w:val="none"/>
        </w:rPr>
      </w:pPr>
      <w:r>
        <w:rPr>
          <w:rFonts w:hint="eastAsia" w:hAnsi="宋体" w:cs="宋体"/>
          <w:highlight w:val="none"/>
        </w:rPr>
        <w:t>全市规模以上工业主要产品产量</w:t>
      </w:r>
    </w:p>
    <w:p w14:paraId="59B61B23">
      <w:pPr>
        <w:rPr>
          <w:rFonts w:hint="eastAsia" w:hAnsi="宋体" w:cs="宋体"/>
          <w:highlight w:val="none"/>
        </w:rPr>
      </w:pPr>
      <w:r>
        <w:rPr>
          <w:rFonts w:hint="eastAsia" w:hAnsi="宋体" w:cs="宋体"/>
          <w:highlight w:val="none"/>
        </w:rPr>
        <w:t>表51</w:t>
      </w:r>
    </w:p>
    <w:tbl>
      <w:tblPr>
        <w:tblStyle w:val="7"/>
        <w:tblW w:w="5000" w:type="pct"/>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68"/>
        <w:gridCol w:w="1297"/>
        <w:gridCol w:w="2053"/>
      </w:tblGrid>
      <w:tr w14:paraId="46722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7091A4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主要产品名称</w:t>
            </w:r>
          </w:p>
        </w:tc>
        <w:tc>
          <w:tcPr>
            <w:tcW w:w="960" w:type="dxa"/>
            <w:noWrap w:val="0"/>
            <w:vAlign w:val="center"/>
          </w:tcPr>
          <w:p w14:paraId="646DCC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计量单位</w:t>
            </w:r>
          </w:p>
        </w:tc>
        <w:tc>
          <w:tcPr>
            <w:tcW w:w="1520" w:type="dxa"/>
            <w:noWrap w:val="0"/>
            <w:vAlign w:val="center"/>
          </w:tcPr>
          <w:p w14:paraId="398558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r>
      <w:tr w14:paraId="2A93D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19D3F2F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稀有稀土金属矿</w:t>
            </w:r>
          </w:p>
        </w:tc>
        <w:tc>
          <w:tcPr>
            <w:tcW w:w="960" w:type="dxa"/>
            <w:noWrap w:val="0"/>
            <w:vAlign w:val="center"/>
          </w:tcPr>
          <w:p w14:paraId="0253B0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66A69E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297.8</w:t>
            </w:r>
          </w:p>
        </w:tc>
      </w:tr>
      <w:tr w14:paraId="5715E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22AAE8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其中：钨精矿折合量（折三氧化钨65％）</w:t>
            </w:r>
          </w:p>
        </w:tc>
        <w:tc>
          <w:tcPr>
            <w:tcW w:w="960" w:type="dxa"/>
            <w:noWrap w:val="0"/>
            <w:vAlign w:val="center"/>
          </w:tcPr>
          <w:p w14:paraId="3FDFA3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67BA91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230.13</w:t>
            </w:r>
          </w:p>
        </w:tc>
      </w:tr>
      <w:tr w14:paraId="67E47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62AB34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钼精矿折合量（折纯钼45％）</w:t>
            </w:r>
          </w:p>
        </w:tc>
        <w:tc>
          <w:tcPr>
            <w:tcW w:w="960" w:type="dxa"/>
            <w:noWrap w:val="0"/>
            <w:vAlign w:val="center"/>
          </w:tcPr>
          <w:p w14:paraId="1B5D8D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2481BB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67.67</w:t>
            </w:r>
          </w:p>
        </w:tc>
      </w:tr>
      <w:tr w14:paraId="243B9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1B9464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饲料</w:t>
            </w:r>
          </w:p>
        </w:tc>
        <w:tc>
          <w:tcPr>
            <w:tcW w:w="960" w:type="dxa"/>
            <w:noWrap w:val="0"/>
            <w:vAlign w:val="center"/>
          </w:tcPr>
          <w:p w14:paraId="758C97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57AC92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182037.16</w:t>
            </w:r>
          </w:p>
        </w:tc>
      </w:tr>
      <w:tr w14:paraId="0ED9D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37B11F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砖</w:t>
            </w:r>
          </w:p>
        </w:tc>
        <w:tc>
          <w:tcPr>
            <w:tcW w:w="960" w:type="dxa"/>
            <w:noWrap w:val="0"/>
            <w:vAlign w:val="center"/>
          </w:tcPr>
          <w:p w14:paraId="0689D3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万块</w:t>
            </w:r>
          </w:p>
        </w:tc>
        <w:tc>
          <w:tcPr>
            <w:tcW w:w="1520" w:type="dxa"/>
            <w:noWrap w:val="0"/>
            <w:vAlign w:val="center"/>
          </w:tcPr>
          <w:p w14:paraId="648A25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28130</w:t>
            </w:r>
          </w:p>
        </w:tc>
      </w:tr>
      <w:tr w14:paraId="66CB7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5FBDBA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涂料</w:t>
            </w:r>
          </w:p>
        </w:tc>
        <w:tc>
          <w:tcPr>
            <w:tcW w:w="960" w:type="dxa"/>
            <w:noWrap w:val="0"/>
            <w:vAlign w:val="center"/>
          </w:tcPr>
          <w:p w14:paraId="444CBA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058839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230085.76</w:t>
            </w:r>
          </w:p>
        </w:tc>
      </w:tr>
      <w:tr w14:paraId="5D377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1670AF4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饮料酒</w:t>
            </w:r>
          </w:p>
        </w:tc>
        <w:tc>
          <w:tcPr>
            <w:tcW w:w="960" w:type="dxa"/>
            <w:noWrap w:val="0"/>
            <w:vAlign w:val="center"/>
          </w:tcPr>
          <w:p w14:paraId="408AB0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千升</w:t>
            </w:r>
          </w:p>
        </w:tc>
        <w:tc>
          <w:tcPr>
            <w:tcW w:w="1520" w:type="dxa"/>
            <w:noWrap w:val="0"/>
            <w:vAlign w:val="center"/>
          </w:tcPr>
          <w:p w14:paraId="2D472E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243.77</w:t>
            </w:r>
          </w:p>
        </w:tc>
      </w:tr>
      <w:tr w14:paraId="2DB2E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7AAC33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其中：白酒（折65度，商品量）</w:t>
            </w:r>
          </w:p>
        </w:tc>
        <w:tc>
          <w:tcPr>
            <w:tcW w:w="960" w:type="dxa"/>
            <w:noWrap w:val="0"/>
            <w:vAlign w:val="center"/>
          </w:tcPr>
          <w:p w14:paraId="0CE849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千升</w:t>
            </w:r>
          </w:p>
        </w:tc>
        <w:tc>
          <w:tcPr>
            <w:tcW w:w="1520" w:type="dxa"/>
            <w:noWrap w:val="0"/>
            <w:vAlign w:val="center"/>
          </w:tcPr>
          <w:p w14:paraId="6E5A00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243.77</w:t>
            </w:r>
          </w:p>
        </w:tc>
      </w:tr>
      <w:tr w14:paraId="2275A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1798C9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初级形态塑料</w:t>
            </w:r>
          </w:p>
        </w:tc>
        <w:tc>
          <w:tcPr>
            <w:tcW w:w="960" w:type="dxa"/>
            <w:noWrap w:val="0"/>
            <w:vAlign w:val="center"/>
          </w:tcPr>
          <w:p w14:paraId="69FBBB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6CF11C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41374.06</w:t>
            </w:r>
          </w:p>
        </w:tc>
      </w:tr>
      <w:tr w14:paraId="3A30A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47F67E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服装</w:t>
            </w:r>
          </w:p>
        </w:tc>
        <w:tc>
          <w:tcPr>
            <w:tcW w:w="960" w:type="dxa"/>
            <w:noWrap w:val="0"/>
            <w:vAlign w:val="center"/>
          </w:tcPr>
          <w:p w14:paraId="00EAB8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万件</w:t>
            </w:r>
          </w:p>
        </w:tc>
        <w:tc>
          <w:tcPr>
            <w:tcW w:w="1520" w:type="dxa"/>
            <w:noWrap w:val="0"/>
            <w:vAlign w:val="center"/>
          </w:tcPr>
          <w:p w14:paraId="7A3903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41.43</w:t>
            </w:r>
          </w:p>
        </w:tc>
      </w:tr>
      <w:tr w14:paraId="70A68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361075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梭织服装</w:t>
            </w:r>
          </w:p>
        </w:tc>
        <w:tc>
          <w:tcPr>
            <w:tcW w:w="960" w:type="dxa"/>
            <w:noWrap w:val="0"/>
            <w:vAlign w:val="center"/>
          </w:tcPr>
          <w:p w14:paraId="00345C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万件</w:t>
            </w:r>
          </w:p>
        </w:tc>
        <w:tc>
          <w:tcPr>
            <w:tcW w:w="1520" w:type="dxa"/>
            <w:noWrap w:val="0"/>
            <w:vAlign w:val="center"/>
          </w:tcPr>
          <w:p w14:paraId="49CFDA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41.43</w:t>
            </w:r>
          </w:p>
        </w:tc>
      </w:tr>
      <w:tr w14:paraId="5F59A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6D3992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塑料制品</w:t>
            </w:r>
          </w:p>
        </w:tc>
        <w:tc>
          <w:tcPr>
            <w:tcW w:w="960" w:type="dxa"/>
            <w:noWrap w:val="0"/>
            <w:vAlign w:val="center"/>
          </w:tcPr>
          <w:p w14:paraId="5A7702F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7826C9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73934.75</w:t>
            </w:r>
          </w:p>
        </w:tc>
      </w:tr>
      <w:tr w14:paraId="4AA84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09D80B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化学试剂</w:t>
            </w:r>
          </w:p>
        </w:tc>
        <w:tc>
          <w:tcPr>
            <w:tcW w:w="960" w:type="dxa"/>
            <w:noWrap w:val="0"/>
            <w:vAlign w:val="center"/>
          </w:tcPr>
          <w:p w14:paraId="435E56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745C05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28620</w:t>
            </w:r>
          </w:p>
        </w:tc>
      </w:tr>
      <w:tr w14:paraId="1C712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48FF2E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互感器</w:t>
            </w:r>
          </w:p>
        </w:tc>
        <w:tc>
          <w:tcPr>
            <w:tcW w:w="960" w:type="dxa"/>
            <w:noWrap w:val="0"/>
            <w:vAlign w:val="center"/>
          </w:tcPr>
          <w:p w14:paraId="40CEFA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台</w:t>
            </w:r>
          </w:p>
        </w:tc>
        <w:tc>
          <w:tcPr>
            <w:tcW w:w="1520" w:type="dxa"/>
            <w:noWrap w:val="0"/>
            <w:vAlign w:val="center"/>
          </w:tcPr>
          <w:p w14:paraId="509C91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372146</w:t>
            </w:r>
          </w:p>
        </w:tc>
      </w:tr>
      <w:tr w14:paraId="5DBCB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2C10990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瓷质砖</w:t>
            </w:r>
          </w:p>
        </w:tc>
        <w:tc>
          <w:tcPr>
            <w:tcW w:w="960" w:type="dxa"/>
            <w:noWrap w:val="0"/>
            <w:vAlign w:val="center"/>
          </w:tcPr>
          <w:p w14:paraId="5B992E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平方米</w:t>
            </w:r>
          </w:p>
        </w:tc>
        <w:tc>
          <w:tcPr>
            <w:tcW w:w="1520" w:type="dxa"/>
            <w:noWrap w:val="0"/>
            <w:vAlign w:val="center"/>
          </w:tcPr>
          <w:p w14:paraId="02C5C4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2178676</w:t>
            </w:r>
          </w:p>
        </w:tc>
      </w:tr>
      <w:tr w14:paraId="30216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4EA15A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大米</w:t>
            </w:r>
          </w:p>
        </w:tc>
        <w:tc>
          <w:tcPr>
            <w:tcW w:w="960" w:type="dxa"/>
            <w:noWrap w:val="0"/>
            <w:vAlign w:val="center"/>
          </w:tcPr>
          <w:p w14:paraId="04DAB3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33D068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3854</w:t>
            </w:r>
          </w:p>
        </w:tc>
      </w:tr>
      <w:tr w14:paraId="0196F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2E02FC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精制食用植物油</w:t>
            </w:r>
          </w:p>
        </w:tc>
        <w:tc>
          <w:tcPr>
            <w:tcW w:w="960" w:type="dxa"/>
            <w:noWrap w:val="0"/>
            <w:vAlign w:val="center"/>
          </w:tcPr>
          <w:p w14:paraId="1FBD34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6DE381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354</w:t>
            </w:r>
          </w:p>
        </w:tc>
      </w:tr>
      <w:tr w14:paraId="1561C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6E5CF9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商品混凝土</w:t>
            </w:r>
          </w:p>
        </w:tc>
        <w:tc>
          <w:tcPr>
            <w:tcW w:w="960" w:type="dxa"/>
            <w:noWrap w:val="0"/>
            <w:vAlign w:val="center"/>
          </w:tcPr>
          <w:p w14:paraId="3030BF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立方米</w:t>
            </w:r>
          </w:p>
        </w:tc>
        <w:tc>
          <w:tcPr>
            <w:tcW w:w="1520" w:type="dxa"/>
            <w:noWrap w:val="0"/>
            <w:vAlign w:val="center"/>
          </w:tcPr>
          <w:p w14:paraId="0EE22B1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578309</w:t>
            </w:r>
          </w:p>
        </w:tc>
      </w:tr>
      <w:tr w14:paraId="57E78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2C02BB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其中：塑料薄膜</w:t>
            </w:r>
          </w:p>
        </w:tc>
        <w:tc>
          <w:tcPr>
            <w:tcW w:w="960" w:type="dxa"/>
            <w:noWrap w:val="0"/>
            <w:vAlign w:val="center"/>
          </w:tcPr>
          <w:p w14:paraId="4E6A65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6AB3FF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26264</w:t>
            </w:r>
          </w:p>
        </w:tc>
      </w:tr>
      <w:tr w14:paraId="57F2E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40EABA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其中：农用薄膜</w:t>
            </w:r>
          </w:p>
        </w:tc>
        <w:tc>
          <w:tcPr>
            <w:tcW w:w="960" w:type="dxa"/>
            <w:noWrap w:val="0"/>
            <w:vAlign w:val="center"/>
          </w:tcPr>
          <w:p w14:paraId="0D0B0D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3A364A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20271</w:t>
            </w:r>
          </w:p>
        </w:tc>
      </w:tr>
      <w:tr w14:paraId="234F2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634609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鲜、冷藏肉</w:t>
            </w:r>
          </w:p>
        </w:tc>
        <w:tc>
          <w:tcPr>
            <w:tcW w:w="960" w:type="dxa"/>
            <w:noWrap w:val="0"/>
            <w:vAlign w:val="center"/>
          </w:tcPr>
          <w:p w14:paraId="6E1553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557EBD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4103</w:t>
            </w:r>
          </w:p>
        </w:tc>
      </w:tr>
      <w:tr w14:paraId="70E0D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44D3C5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纸制品</w:t>
            </w:r>
          </w:p>
        </w:tc>
        <w:tc>
          <w:tcPr>
            <w:tcW w:w="960" w:type="dxa"/>
            <w:noWrap w:val="0"/>
            <w:vAlign w:val="center"/>
          </w:tcPr>
          <w:p w14:paraId="1F8CDD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3D55EF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10743.71</w:t>
            </w:r>
          </w:p>
        </w:tc>
      </w:tr>
      <w:tr w14:paraId="309E9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421098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自来水生产量</w:t>
            </w:r>
          </w:p>
        </w:tc>
        <w:tc>
          <w:tcPr>
            <w:tcW w:w="960" w:type="dxa"/>
            <w:noWrap w:val="0"/>
            <w:vAlign w:val="center"/>
          </w:tcPr>
          <w:p w14:paraId="0813C3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万立方米</w:t>
            </w:r>
          </w:p>
        </w:tc>
        <w:tc>
          <w:tcPr>
            <w:tcW w:w="1520" w:type="dxa"/>
            <w:noWrap w:val="0"/>
            <w:vAlign w:val="center"/>
          </w:tcPr>
          <w:p w14:paraId="5A81B2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2593</w:t>
            </w:r>
          </w:p>
        </w:tc>
      </w:tr>
      <w:tr w14:paraId="63A6B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00" w:type="dxa"/>
            <w:noWrap w:val="0"/>
            <w:vAlign w:val="center"/>
          </w:tcPr>
          <w:p w14:paraId="5B147D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机制纸及纸板（外购原纸加工除外）</w:t>
            </w:r>
          </w:p>
        </w:tc>
        <w:tc>
          <w:tcPr>
            <w:tcW w:w="960" w:type="dxa"/>
            <w:noWrap w:val="0"/>
            <w:vAlign w:val="center"/>
          </w:tcPr>
          <w:p w14:paraId="267403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w:t>
            </w:r>
          </w:p>
        </w:tc>
        <w:tc>
          <w:tcPr>
            <w:tcW w:w="1520" w:type="dxa"/>
            <w:noWrap w:val="0"/>
            <w:vAlign w:val="center"/>
          </w:tcPr>
          <w:p w14:paraId="3BDB5F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31039</w:t>
            </w:r>
          </w:p>
        </w:tc>
      </w:tr>
    </w:tbl>
    <w:p w14:paraId="12609C3F">
      <w:pPr>
        <w:jc w:val="center"/>
        <w:rPr>
          <w:rFonts w:hAnsi="宋体" w:cs="宋体"/>
          <w:highlight w:val="none"/>
        </w:rPr>
        <w:sectPr>
          <w:pgSz w:w="11906" w:h="16838"/>
          <w:pgMar w:top="1440" w:right="1752" w:bottom="1440" w:left="1752" w:header="851" w:footer="992" w:gutter="0"/>
          <w:cols w:space="720" w:num="1"/>
          <w:docGrid w:type="lines" w:linePitch="312" w:charSpace="0"/>
        </w:sectPr>
      </w:pPr>
    </w:p>
    <w:p w14:paraId="038F0118">
      <w:pPr>
        <w:jc w:val="center"/>
        <w:rPr>
          <w:rFonts w:hint="eastAsia" w:hAnsi="宋体" w:cs="宋体"/>
          <w:highlight w:val="none"/>
        </w:rPr>
      </w:pPr>
      <w:r>
        <w:rPr>
          <w:rFonts w:hint="eastAsia" w:hAnsi="宋体" w:cs="宋体"/>
          <w:highlight w:val="none"/>
        </w:rPr>
        <w:t>全市用电量</w:t>
      </w:r>
    </w:p>
    <w:p w14:paraId="74E76838">
      <w:pPr>
        <w:ind w:firstLine="405"/>
        <w:rPr>
          <w:rFonts w:hint="eastAsia" w:hAnsi="宋体" w:cs="宋体"/>
          <w:highlight w:val="none"/>
        </w:rPr>
      </w:pPr>
      <w:r>
        <w:rPr>
          <w:rFonts w:hint="eastAsia" w:hAnsi="宋体" w:cs="宋体"/>
          <w:highlight w:val="none"/>
        </w:rPr>
        <w:t>表52</w:t>
      </w:r>
    </w:p>
    <w:tbl>
      <w:tblPr>
        <w:tblStyle w:val="7"/>
        <w:tblW w:w="4881" w:type="pct"/>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57" w:type="dxa"/>
          <w:bottom w:w="0" w:type="dxa"/>
          <w:right w:w="57" w:type="dxa"/>
        </w:tblCellMar>
      </w:tblPr>
      <w:tblGrid>
        <w:gridCol w:w="3952"/>
        <w:gridCol w:w="1563"/>
        <w:gridCol w:w="1087"/>
        <w:gridCol w:w="1713"/>
      </w:tblGrid>
      <w:tr w14:paraId="0424D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vMerge w:val="restart"/>
            <w:shd w:val="clear" w:color="auto" w:fill="auto"/>
            <w:noWrap/>
            <w:vAlign w:val="center"/>
          </w:tcPr>
          <w:p w14:paraId="40B194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项目</w:t>
            </w:r>
          </w:p>
        </w:tc>
        <w:tc>
          <w:tcPr>
            <w:tcW w:w="4363" w:type="dxa"/>
            <w:gridSpan w:val="3"/>
            <w:shd w:val="clear" w:color="auto" w:fill="auto"/>
            <w:noWrap/>
            <w:vAlign w:val="bottom"/>
          </w:tcPr>
          <w:p w14:paraId="1F63E3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用电量（万千瓦时）</w:t>
            </w:r>
          </w:p>
        </w:tc>
      </w:tr>
      <w:tr w14:paraId="7DBCB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vMerge w:val="continue"/>
            <w:shd w:val="clear" w:color="auto" w:fill="auto"/>
            <w:noWrap w:val="0"/>
            <w:vAlign w:val="center"/>
          </w:tcPr>
          <w:p w14:paraId="3FC988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63" w:type="dxa"/>
            <w:shd w:val="clear" w:color="auto" w:fill="auto"/>
            <w:noWrap/>
            <w:vAlign w:val="bottom"/>
          </w:tcPr>
          <w:p w14:paraId="6F0DFD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c>
          <w:tcPr>
            <w:tcW w:w="1087" w:type="dxa"/>
            <w:shd w:val="clear" w:color="auto" w:fill="auto"/>
            <w:noWrap/>
            <w:vAlign w:val="bottom"/>
          </w:tcPr>
          <w:p w14:paraId="4CDFF6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2014年</w:t>
            </w:r>
          </w:p>
        </w:tc>
        <w:tc>
          <w:tcPr>
            <w:tcW w:w="1713" w:type="dxa"/>
            <w:shd w:val="clear" w:color="auto" w:fill="auto"/>
            <w:noWrap/>
            <w:vAlign w:val="bottom"/>
          </w:tcPr>
          <w:p w14:paraId="6ACD75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增长（±%）</w:t>
            </w:r>
          </w:p>
        </w:tc>
      </w:tr>
      <w:tr w14:paraId="164D2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2880E1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全社会用电量总计</w:t>
            </w:r>
          </w:p>
        </w:tc>
        <w:tc>
          <w:tcPr>
            <w:tcW w:w="1563" w:type="dxa"/>
            <w:shd w:val="clear" w:color="auto" w:fill="auto"/>
            <w:noWrap/>
            <w:vAlign w:val="bottom"/>
          </w:tcPr>
          <w:p w14:paraId="74F6FE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40531</w:t>
            </w:r>
          </w:p>
        </w:tc>
        <w:tc>
          <w:tcPr>
            <w:tcW w:w="1087" w:type="dxa"/>
            <w:shd w:val="clear" w:color="auto" w:fill="auto"/>
            <w:noWrap/>
            <w:vAlign w:val="bottom"/>
          </w:tcPr>
          <w:p w14:paraId="7D7EE5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39246</w:t>
            </w:r>
          </w:p>
        </w:tc>
        <w:tc>
          <w:tcPr>
            <w:tcW w:w="1713" w:type="dxa"/>
            <w:shd w:val="clear" w:color="auto" w:fill="auto"/>
            <w:noWrap/>
            <w:vAlign w:val="bottom"/>
          </w:tcPr>
          <w:p w14:paraId="626DD9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3.27</w:t>
            </w:r>
          </w:p>
        </w:tc>
      </w:tr>
      <w:tr w14:paraId="3253B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246C59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A、各行业用电量合计</w:t>
            </w:r>
          </w:p>
        </w:tc>
        <w:tc>
          <w:tcPr>
            <w:tcW w:w="1563" w:type="dxa"/>
            <w:shd w:val="clear" w:color="auto" w:fill="auto"/>
            <w:noWrap/>
            <w:vAlign w:val="bottom"/>
          </w:tcPr>
          <w:p w14:paraId="5C096D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27399</w:t>
            </w:r>
          </w:p>
        </w:tc>
        <w:tc>
          <w:tcPr>
            <w:tcW w:w="1087" w:type="dxa"/>
            <w:shd w:val="clear" w:color="auto" w:fill="auto"/>
            <w:noWrap/>
            <w:vAlign w:val="bottom"/>
          </w:tcPr>
          <w:p w14:paraId="6A2F28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26293</w:t>
            </w:r>
          </w:p>
        </w:tc>
        <w:tc>
          <w:tcPr>
            <w:tcW w:w="1713" w:type="dxa"/>
            <w:shd w:val="clear" w:color="auto" w:fill="auto"/>
            <w:noWrap/>
            <w:vAlign w:val="bottom"/>
          </w:tcPr>
          <w:p w14:paraId="24E521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4.21</w:t>
            </w:r>
          </w:p>
        </w:tc>
      </w:tr>
      <w:tr w14:paraId="271CB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1296D7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第一产业</w:t>
            </w:r>
          </w:p>
        </w:tc>
        <w:tc>
          <w:tcPr>
            <w:tcW w:w="1563" w:type="dxa"/>
            <w:shd w:val="clear" w:color="auto" w:fill="auto"/>
            <w:noWrap/>
            <w:vAlign w:val="bottom"/>
          </w:tcPr>
          <w:p w14:paraId="0D77B6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1620</w:t>
            </w:r>
          </w:p>
        </w:tc>
        <w:tc>
          <w:tcPr>
            <w:tcW w:w="1087" w:type="dxa"/>
            <w:shd w:val="clear" w:color="auto" w:fill="auto"/>
            <w:noWrap/>
            <w:vAlign w:val="bottom"/>
          </w:tcPr>
          <w:p w14:paraId="7419E3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1713</w:t>
            </w:r>
          </w:p>
        </w:tc>
        <w:tc>
          <w:tcPr>
            <w:tcW w:w="1713" w:type="dxa"/>
            <w:shd w:val="clear" w:color="auto" w:fill="auto"/>
            <w:noWrap/>
            <w:vAlign w:val="bottom"/>
          </w:tcPr>
          <w:p w14:paraId="5E0978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-5.43</w:t>
            </w:r>
          </w:p>
        </w:tc>
      </w:tr>
      <w:tr w14:paraId="67D7E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36137C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第二产业</w:t>
            </w:r>
          </w:p>
        </w:tc>
        <w:tc>
          <w:tcPr>
            <w:tcW w:w="1563" w:type="dxa"/>
            <w:shd w:val="clear" w:color="auto" w:fill="auto"/>
            <w:noWrap/>
            <w:vAlign w:val="bottom"/>
          </w:tcPr>
          <w:p w14:paraId="5CA6AA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18182</w:t>
            </w:r>
          </w:p>
        </w:tc>
        <w:tc>
          <w:tcPr>
            <w:tcW w:w="1087" w:type="dxa"/>
            <w:shd w:val="clear" w:color="auto" w:fill="auto"/>
            <w:noWrap/>
            <w:vAlign w:val="bottom"/>
          </w:tcPr>
          <w:p w14:paraId="0C44E9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17601</w:t>
            </w:r>
          </w:p>
        </w:tc>
        <w:tc>
          <w:tcPr>
            <w:tcW w:w="1713" w:type="dxa"/>
            <w:shd w:val="clear" w:color="auto" w:fill="auto"/>
            <w:noWrap/>
            <w:vAlign w:val="bottom"/>
          </w:tcPr>
          <w:p w14:paraId="24F5E0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3.30</w:t>
            </w:r>
          </w:p>
        </w:tc>
      </w:tr>
      <w:tr w14:paraId="2AAD8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5BA39D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第三产业</w:t>
            </w:r>
          </w:p>
        </w:tc>
        <w:tc>
          <w:tcPr>
            <w:tcW w:w="1563" w:type="dxa"/>
            <w:shd w:val="clear" w:color="auto" w:fill="auto"/>
            <w:noWrap/>
            <w:vAlign w:val="bottom"/>
          </w:tcPr>
          <w:p w14:paraId="197727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7597</w:t>
            </w:r>
          </w:p>
        </w:tc>
        <w:tc>
          <w:tcPr>
            <w:tcW w:w="1087" w:type="dxa"/>
            <w:shd w:val="clear" w:color="auto" w:fill="auto"/>
            <w:noWrap/>
            <w:vAlign w:val="bottom"/>
          </w:tcPr>
          <w:p w14:paraId="0E0377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6979</w:t>
            </w:r>
          </w:p>
        </w:tc>
        <w:tc>
          <w:tcPr>
            <w:tcW w:w="1713" w:type="dxa"/>
            <w:shd w:val="clear" w:color="auto" w:fill="auto"/>
            <w:noWrap/>
            <w:vAlign w:val="bottom"/>
          </w:tcPr>
          <w:p w14:paraId="7E05B2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8.86</w:t>
            </w:r>
          </w:p>
        </w:tc>
      </w:tr>
      <w:tr w14:paraId="0880C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0BAB8B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B、城乡居民生活用电量合计</w:t>
            </w:r>
          </w:p>
        </w:tc>
        <w:tc>
          <w:tcPr>
            <w:tcW w:w="1563" w:type="dxa"/>
            <w:shd w:val="clear" w:color="auto" w:fill="auto"/>
            <w:noWrap/>
            <w:vAlign w:val="bottom"/>
          </w:tcPr>
          <w:p w14:paraId="1480D4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13132</w:t>
            </w:r>
          </w:p>
        </w:tc>
        <w:tc>
          <w:tcPr>
            <w:tcW w:w="1087" w:type="dxa"/>
            <w:shd w:val="clear" w:color="auto" w:fill="auto"/>
            <w:noWrap/>
            <w:vAlign w:val="bottom"/>
          </w:tcPr>
          <w:p w14:paraId="3FB05D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12953</w:t>
            </w:r>
          </w:p>
        </w:tc>
        <w:tc>
          <w:tcPr>
            <w:tcW w:w="1713" w:type="dxa"/>
            <w:shd w:val="clear" w:color="auto" w:fill="auto"/>
            <w:noWrap/>
            <w:vAlign w:val="bottom"/>
          </w:tcPr>
          <w:p w14:paraId="574C9D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1.38</w:t>
            </w:r>
          </w:p>
        </w:tc>
      </w:tr>
      <w:tr w14:paraId="3C5FD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5F580F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城镇居民</w:t>
            </w:r>
          </w:p>
        </w:tc>
        <w:tc>
          <w:tcPr>
            <w:tcW w:w="1563" w:type="dxa"/>
            <w:shd w:val="clear" w:color="auto" w:fill="auto"/>
            <w:noWrap/>
            <w:vAlign w:val="bottom"/>
          </w:tcPr>
          <w:p w14:paraId="0D4E93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5112</w:t>
            </w:r>
          </w:p>
        </w:tc>
        <w:tc>
          <w:tcPr>
            <w:tcW w:w="1087" w:type="dxa"/>
            <w:shd w:val="clear" w:color="auto" w:fill="auto"/>
            <w:noWrap/>
            <w:vAlign w:val="bottom"/>
          </w:tcPr>
          <w:p w14:paraId="12C320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4974</w:t>
            </w:r>
          </w:p>
        </w:tc>
        <w:tc>
          <w:tcPr>
            <w:tcW w:w="1713" w:type="dxa"/>
            <w:shd w:val="clear" w:color="auto" w:fill="auto"/>
            <w:noWrap/>
            <w:vAlign w:val="bottom"/>
          </w:tcPr>
          <w:p w14:paraId="22A100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2.77</w:t>
            </w:r>
          </w:p>
        </w:tc>
      </w:tr>
      <w:tr w14:paraId="0D375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750392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乡村居民</w:t>
            </w:r>
          </w:p>
        </w:tc>
        <w:tc>
          <w:tcPr>
            <w:tcW w:w="1563" w:type="dxa"/>
            <w:shd w:val="clear" w:color="auto" w:fill="auto"/>
            <w:noWrap/>
            <w:vAlign w:val="bottom"/>
          </w:tcPr>
          <w:p w14:paraId="373FED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8020</w:t>
            </w:r>
          </w:p>
        </w:tc>
        <w:tc>
          <w:tcPr>
            <w:tcW w:w="1087" w:type="dxa"/>
            <w:shd w:val="clear" w:color="auto" w:fill="auto"/>
            <w:noWrap/>
            <w:vAlign w:val="bottom"/>
          </w:tcPr>
          <w:p w14:paraId="5D0B0A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7979</w:t>
            </w:r>
          </w:p>
        </w:tc>
        <w:tc>
          <w:tcPr>
            <w:tcW w:w="1713" w:type="dxa"/>
            <w:shd w:val="clear" w:color="auto" w:fill="auto"/>
            <w:noWrap/>
            <w:vAlign w:val="bottom"/>
          </w:tcPr>
          <w:p w14:paraId="655056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0.51</w:t>
            </w:r>
          </w:p>
        </w:tc>
      </w:tr>
      <w:tr w14:paraId="0CCF1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9" w:hRule="atLeast"/>
        </w:trPr>
        <w:tc>
          <w:tcPr>
            <w:tcW w:w="3952" w:type="dxa"/>
            <w:shd w:val="clear" w:color="auto" w:fill="auto"/>
            <w:noWrap/>
            <w:vAlign w:val="bottom"/>
          </w:tcPr>
          <w:p w14:paraId="3ECE0B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一、农、林、牧、渔业</w:t>
            </w:r>
          </w:p>
        </w:tc>
        <w:tc>
          <w:tcPr>
            <w:tcW w:w="1563" w:type="dxa"/>
            <w:shd w:val="clear" w:color="auto" w:fill="auto"/>
            <w:noWrap/>
            <w:vAlign w:val="center"/>
          </w:tcPr>
          <w:p w14:paraId="6AA618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1620</w:t>
            </w:r>
          </w:p>
        </w:tc>
        <w:tc>
          <w:tcPr>
            <w:tcW w:w="1087" w:type="dxa"/>
            <w:shd w:val="clear" w:color="auto" w:fill="auto"/>
            <w:noWrap/>
            <w:vAlign w:val="center"/>
          </w:tcPr>
          <w:p w14:paraId="4E149A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1713</w:t>
            </w:r>
          </w:p>
        </w:tc>
        <w:tc>
          <w:tcPr>
            <w:tcW w:w="1713" w:type="dxa"/>
            <w:shd w:val="clear" w:color="auto" w:fill="auto"/>
            <w:noWrap/>
            <w:vAlign w:val="center"/>
          </w:tcPr>
          <w:p w14:paraId="45FAE3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-5.43</w:t>
            </w:r>
          </w:p>
        </w:tc>
      </w:tr>
      <w:tr w14:paraId="02329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6D16B1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二、工业</w:t>
            </w:r>
          </w:p>
        </w:tc>
        <w:tc>
          <w:tcPr>
            <w:tcW w:w="1563" w:type="dxa"/>
            <w:shd w:val="clear" w:color="auto" w:fill="auto"/>
            <w:noWrap/>
            <w:vAlign w:val="center"/>
          </w:tcPr>
          <w:p w14:paraId="02B620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17524</w:t>
            </w:r>
          </w:p>
        </w:tc>
        <w:tc>
          <w:tcPr>
            <w:tcW w:w="1087" w:type="dxa"/>
            <w:shd w:val="clear" w:color="auto" w:fill="auto"/>
            <w:noWrap/>
            <w:vAlign w:val="center"/>
          </w:tcPr>
          <w:p w14:paraId="6A2838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16797</w:t>
            </w:r>
          </w:p>
        </w:tc>
        <w:tc>
          <w:tcPr>
            <w:tcW w:w="1713" w:type="dxa"/>
            <w:shd w:val="clear" w:color="auto" w:fill="auto"/>
            <w:noWrap/>
            <w:vAlign w:val="center"/>
          </w:tcPr>
          <w:p w14:paraId="4232FE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4.33</w:t>
            </w:r>
          </w:p>
        </w:tc>
      </w:tr>
      <w:tr w14:paraId="59080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23BA02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（一）采矿业</w:t>
            </w:r>
          </w:p>
        </w:tc>
        <w:tc>
          <w:tcPr>
            <w:tcW w:w="1563" w:type="dxa"/>
            <w:shd w:val="clear" w:color="auto" w:fill="auto"/>
            <w:noWrap/>
            <w:vAlign w:val="center"/>
          </w:tcPr>
          <w:p w14:paraId="5C7CDC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417</w:t>
            </w:r>
          </w:p>
        </w:tc>
        <w:tc>
          <w:tcPr>
            <w:tcW w:w="1087" w:type="dxa"/>
            <w:shd w:val="clear" w:color="auto" w:fill="auto"/>
            <w:noWrap/>
            <w:vAlign w:val="center"/>
          </w:tcPr>
          <w:p w14:paraId="7F72BC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294</w:t>
            </w:r>
          </w:p>
        </w:tc>
        <w:tc>
          <w:tcPr>
            <w:tcW w:w="1713" w:type="dxa"/>
            <w:shd w:val="clear" w:color="auto" w:fill="auto"/>
            <w:noWrap/>
            <w:vAlign w:val="center"/>
          </w:tcPr>
          <w:p w14:paraId="36486B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41.84</w:t>
            </w:r>
          </w:p>
        </w:tc>
      </w:tr>
      <w:tr w14:paraId="7D261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150C74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#有色金属矿采选业</w:t>
            </w:r>
          </w:p>
        </w:tc>
        <w:tc>
          <w:tcPr>
            <w:tcW w:w="1563" w:type="dxa"/>
            <w:shd w:val="clear" w:color="auto" w:fill="auto"/>
            <w:noWrap/>
            <w:vAlign w:val="center"/>
          </w:tcPr>
          <w:p w14:paraId="4C17EC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383</w:t>
            </w:r>
          </w:p>
        </w:tc>
        <w:tc>
          <w:tcPr>
            <w:tcW w:w="1087" w:type="dxa"/>
            <w:shd w:val="clear" w:color="auto" w:fill="auto"/>
            <w:noWrap/>
            <w:vAlign w:val="center"/>
          </w:tcPr>
          <w:p w14:paraId="1E282A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267</w:t>
            </w:r>
          </w:p>
        </w:tc>
        <w:tc>
          <w:tcPr>
            <w:tcW w:w="1713" w:type="dxa"/>
            <w:shd w:val="clear" w:color="auto" w:fill="auto"/>
            <w:noWrap/>
            <w:vAlign w:val="center"/>
          </w:tcPr>
          <w:p w14:paraId="114C5B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43.45</w:t>
            </w:r>
          </w:p>
        </w:tc>
      </w:tr>
      <w:tr w14:paraId="0B19F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034B83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（二）制造业</w:t>
            </w:r>
          </w:p>
        </w:tc>
        <w:tc>
          <w:tcPr>
            <w:tcW w:w="1563" w:type="dxa"/>
            <w:shd w:val="clear" w:color="auto" w:fill="auto"/>
            <w:noWrap/>
            <w:vAlign w:val="center"/>
          </w:tcPr>
          <w:p w14:paraId="6E830B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14470</w:t>
            </w:r>
          </w:p>
        </w:tc>
        <w:tc>
          <w:tcPr>
            <w:tcW w:w="1087" w:type="dxa"/>
            <w:shd w:val="clear" w:color="auto" w:fill="auto"/>
            <w:noWrap/>
            <w:vAlign w:val="center"/>
          </w:tcPr>
          <w:p w14:paraId="343C39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13659</w:t>
            </w:r>
          </w:p>
        </w:tc>
        <w:tc>
          <w:tcPr>
            <w:tcW w:w="1713" w:type="dxa"/>
            <w:shd w:val="clear" w:color="auto" w:fill="auto"/>
            <w:noWrap/>
            <w:vAlign w:val="center"/>
          </w:tcPr>
          <w:p w14:paraId="1B4C11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5.94</w:t>
            </w:r>
          </w:p>
        </w:tc>
      </w:tr>
      <w:tr w14:paraId="21733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7CF6AC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#纺织业（轻）</w:t>
            </w:r>
          </w:p>
        </w:tc>
        <w:tc>
          <w:tcPr>
            <w:tcW w:w="1563" w:type="dxa"/>
            <w:shd w:val="clear" w:color="auto" w:fill="auto"/>
            <w:noWrap/>
            <w:vAlign w:val="center"/>
          </w:tcPr>
          <w:p w14:paraId="5010E9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087" w:type="dxa"/>
            <w:shd w:val="clear" w:color="auto" w:fill="auto"/>
            <w:noWrap/>
            <w:vAlign w:val="center"/>
          </w:tcPr>
          <w:p w14:paraId="05C45D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1713" w:type="dxa"/>
            <w:shd w:val="clear" w:color="auto" w:fill="auto"/>
            <w:noWrap/>
            <w:vAlign w:val="center"/>
          </w:tcPr>
          <w:p w14:paraId="6D613F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w:t>
            </w:r>
          </w:p>
        </w:tc>
      </w:tr>
      <w:tr w14:paraId="373C1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08BEB79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非金属矿物制品业</w:t>
            </w:r>
          </w:p>
        </w:tc>
        <w:tc>
          <w:tcPr>
            <w:tcW w:w="1563" w:type="dxa"/>
            <w:shd w:val="clear" w:color="auto" w:fill="auto"/>
            <w:noWrap/>
            <w:vAlign w:val="center"/>
          </w:tcPr>
          <w:p w14:paraId="77D173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2281</w:t>
            </w:r>
          </w:p>
        </w:tc>
        <w:tc>
          <w:tcPr>
            <w:tcW w:w="1087" w:type="dxa"/>
            <w:shd w:val="clear" w:color="auto" w:fill="auto"/>
            <w:noWrap/>
            <w:vAlign w:val="center"/>
          </w:tcPr>
          <w:p w14:paraId="0AD2AC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3451</w:t>
            </w:r>
          </w:p>
        </w:tc>
        <w:tc>
          <w:tcPr>
            <w:tcW w:w="1713" w:type="dxa"/>
            <w:shd w:val="clear" w:color="auto" w:fill="auto"/>
            <w:noWrap/>
            <w:vAlign w:val="center"/>
          </w:tcPr>
          <w:p w14:paraId="3961A1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-33.9</w:t>
            </w:r>
          </w:p>
        </w:tc>
      </w:tr>
      <w:tr w14:paraId="5BFE4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0CDDEB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黑色金属冶炼及压延加工业</w:t>
            </w:r>
          </w:p>
        </w:tc>
        <w:tc>
          <w:tcPr>
            <w:tcW w:w="1563" w:type="dxa"/>
            <w:shd w:val="clear" w:color="auto" w:fill="auto"/>
            <w:noWrap/>
            <w:vAlign w:val="center"/>
          </w:tcPr>
          <w:p w14:paraId="2EC7F0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w:t>
            </w:r>
          </w:p>
        </w:tc>
        <w:tc>
          <w:tcPr>
            <w:tcW w:w="1087" w:type="dxa"/>
            <w:shd w:val="clear" w:color="auto" w:fill="auto"/>
            <w:noWrap/>
            <w:vAlign w:val="center"/>
          </w:tcPr>
          <w:p w14:paraId="5D0513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c>
          <w:tcPr>
            <w:tcW w:w="1713" w:type="dxa"/>
            <w:shd w:val="clear" w:color="auto" w:fill="auto"/>
            <w:noWrap/>
            <w:vAlign w:val="center"/>
          </w:tcPr>
          <w:p w14:paraId="50514B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w:t>
            </w:r>
          </w:p>
        </w:tc>
      </w:tr>
      <w:tr w14:paraId="4ABD3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290391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有色金属冶炼及压延加工业</w:t>
            </w:r>
          </w:p>
        </w:tc>
        <w:tc>
          <w:tcPr>
            <w:tcW w:w="1563" w:type="dxa"/>
            <w:shd w:val="clear" w:color="auto" w:fill="auto"/>
            <w:noWrap/>
            <w:vAlign w:val="center"/>
          </w:tcPr>
          <w:p w14:paraId="7E076C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087" w:type="dxa"/>
            <w:shd w:val="clear" w:color="auto" w:fill="auto"/>
            <w:noWrap/>
            <w:vAlign w:val="center"/>
          </w:tcPr>
          <w:p w14:paraId="482ACD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c>
          <w:tcPr>
            <w:tcW w:w="1713" w:type="dxa"/>
            <w:shd w:val="clear" w:color="auto" w:fill="auto"/>
            <w:noWrap/>
            <w:vAlign w:val="center"/>
          </w:tcPr>
          <w:p w14:paraId="705322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69CEC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6E541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金属制品业</w:t>
            </w:r>
          </w:p>
        </w:tc>
        <w:tc>
          <w:tcPr>
            <w:tcW w:w="1563" w:type="dxa"/>
            <w:shd w:val="clear" w:color="auto" w:fill="auto"/>
            <w:noWrap/>
            <w:vAlign w:val="center"/>
          </w:tcPr>
          <w:p w14:paraId="6DC74F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w:t>
            </w:r>
          </w:p>
        </w:tc>
        <w:tc>
          <w:tcPr>
            <w:tcW w:w="1087" w:type="dxa"/>
            <w:shd w:val="clear" w:color="auto" w:fill="auto"/>
            <w:noWrap/>
            <w:vAlign w:val="center"/>
          </w:tcPr>
          <w:p w14:paraId="34EA8D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w:t>
            </w:r>
          </w:p>
        </w:tc>
        <w:tc>
          <w:tcPr>
            <w:tcW w:w="1713" w:type="dxa"/>
            <w:shd w:val="clear" w:color="auto" w:fill="auto"/>
            <w:noWrap/>
            <w:vAlign w:val="center"/>
          </w:tcPr>
          <w:p w14:paraId="7CE97E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29.41</w:t>
            </w:r>
          </w:p>
        </w:tc>
      </w:tr>
      <w:tr w14:paraId="7A56A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25F57F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通用及专用设备制造业</w:t>
            </w:r>
          </w:p>
        </w:tc>
        <w:tc>
          <w:tcPr>
            <w:tcW w:w="1563" w:type="dxa"/>
            <w:shd w:val="clear" w:color="auto" w:fill="auto"/>
            <w:noWrap/>
            <w:vAlign w:val="center"/>
          </w:tcPr>
          <w:p w14:paraId="2C545F9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206</w:t>
            </w:r>
          </w:p>
        </w:tc>
        <w:tc>
          <w:tcPr>
            <w:tcW w:w="1087" w:type="dxa"/>
            <w:shd w:val="clear" w:color="auto" w:fill="auto"/>
            <w:noWrap/>
            <w:vAlign w:val="center"/>
          </w:tcPr>
          <w:p w14:paraId="650794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83</w:t>
            </w:r>
          </w:p>
        </w:tc>
        <w:tc>
          <w:tcPr>
            <w:tcW w:w="1713" w:type="dxa"/>
            <w:shd w:val="clear" w:color="auto" w:fill="auto"/>
            <w:noWrap/>
            <w:vAlign w:val="center"/>
          </w:tcPr>
          <w:p w14:paraId="342934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148.19</w:t>
            </w:r>
          </w:p>
        </w:tc>
      </w:tr>
      <w:tr w14:paraId="0A608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29D0C2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交通运输、电气、电子设备制造业</w:t>
            </w:r>
          </w:p>
        </w:tc>
        <w:tc>
          <w:tcPr>
            <w:tcW w:w="1563" w:type="dxa"/>
            <w:shd w:val="clear" w:color="auto" w:fill="auto"/>
            <w:noWrap/>
            <w:vAlign w:val="center"/>
          </w:tcPr>
          <w:p w14:paraId="5BB4E1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w:t>
            </w:r>
          </w:p>
        </w:tc>
        <w:tc>
          <w:tcPr>
            <w:tcW w:w="1087" w:type="dxa"/>
            <w:shd w:val="clear" w:color="auto" w:fill="auto"/>
            <w:noWrap/>
            <w:vAlign w:val="center"/>
          </w:tcPr>
          <w:p w14:paraId="052988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58</w:t>
            </w:r>
          </w:p>
        </w:tc>
        <w:tc>
          <w:tcPr>
            <w:tcW w:w="1713" w:type="dxa"/>
            <w:shd w:val="clear" w:color="auto" w:fill="auto"/>
            <w:noWrap/>
            <w:vAlign w:val="center"/>
          </w:tcPr>
          <w:p w14:paraId="1E8780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-10.34</w:t>
            </w:r>
          </w:p>
        </w:tc>
      </w:tr>
      <w:tr w14:paraId="450B1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07AEF69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工艺品及其他制造业（轻）</w:t>
            </w:r>
          </w:p>
        </w:tc>
        <w:tc>
          <w:tcPr>
            <w:tcW w:w="1563" w:type="dxa"/>
            <w:shd w:val="clear" w:color="auto" w:fill="auto"/>
            <w:noWrap/>
            <w:vAlign w:val="center"/>
          </w:tcPr>
          <w:p w14:paraId="6706E4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w:t>
            </w:r>
          </w:p>
        </w:tc>
        <w:tc>
          <w:tcPr>
            <w:tcW w:w="1087" w:type="dxa"/>
            <w:shd w:val="clear" w:color="auto" w:fill="auto"/>
            <w:noWrap/>
            <w:vAlign w:val="center"/>
          </w:tcPr>
          <w:p w14:paraId="6624E8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w:t>
            </w:r>
          </w:p>
        </w:tc>
        <w:tc>
          <w:tcPr>
            <w:tcW w:w="1713" w:type="dxa"/>
            <w:shd w:val="clear" w:color="auto" w:fill="auto"/>
            <w:noWrap/>
            <w:vAlign w:val="center"/>
          </w:tcPr>
          <w:p w14:paraId="488C57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w:t>
            </w:r>
          </w:p>
        </w:tc>
      </w:tr>
      <w:tr w14:paraId="0153F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7E42E3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（三）电力、燃气及水的生产和供应业</w:t>
            </w:r>
          </w:p>
        </w:tc>
        <w:tc>
          <w:tcPr>
            <w:tcW w:w="1563" w:type="dxa"/>
            <w:shd w:val="clear" w:color="auto" w:fill="auto"/>
            <w:noWrap/>
            <w:vAlign w:val="center"/>
          </w:tcPr>
          <w:p w14:paraId="6CF038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2637</w:t>
            </w:r>
          </w:p>
        </w:tc>
        <w:tc>
          <w:tcPr>
            <w:tcW w:w="1087" w:type="dxa"/>
            <w:shd w:val="clear" w:color="auto" w:fill="auto"/>
            <w:noWrap/>
            <w:vAlign w:val="center"/>
          </w:tcPr>
          <w:p w14:paraId="1B9F22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2844</w:t>
            </w:r>
          </w:p>
        </w:tc>
        <w:tc>
          <w:tcPr>
            <w:tcW w:w="1713" w:type="dxa"/>
            <w:shd w:val="clear" w:color="auto" w:fill="auto"/>
            <w:noWrap/>
            <w:vAlign w:val="center"/>
          </w:tcPr>
          <w:p w14:paraId="32E650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-7.28</w:t>
            </w:r>
          </w:p>
        </w:tc>
      </w:tr>
      <w:tr w14:paraId="7B28A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54CAF8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三、建筑业</w:t>
            </w:r>
          </w:p>
        </w:tc>
        <w:tc>
          <w:tcPr>
            <w:tcW w:w="1563" w:type="dxa"/>
            <w:shd w:val="clear" w:color="auto" w:fill="auto"/>
            <w:noWrap/>
            <w:vAlign w:val="center"/>
          </w:tcPr>
          <w:p w14:paraId="14DDEF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658</w:t>
            </w:r>
          </w:p>
        </w:tc>
        <w:tc>
          <w:tcPr>
            <w:tcW w:w="1087" w:type="dxa"/>
            <w:shd w:val="clear" w:color="auto" w:fill="auto"/>
            <w:noWrap/>
            <w:vAlign w:val="center"/>
          </w:tcPr>
          <w:p w14:paraId="55C353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804</w:t>
            </w:r>
          </w:p>
        </w:tc>
        <w:tc>
          <w:tcPr>
            <w:tcW w:w="1713" w:type="dxa"/>
            <w:shd w:val="clear" w:color="auto" w:fill="auto"/>
            <w:noWrap/>
            <w:vAlign w:val="center"/>
          </w:tcPr>
          <w:p w14:paraId="6DC497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-18.16</w:t>
            </w:r>
          </w:p>
        </w:tc>
      </w:tr>
      <w:tr w14:paraId="2BA20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2BE0FB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四、交通运输、仓储、邮政业</w:t>
            </w:r>
          </w:p>
        </w:tc>
        <w:tc>
          <w:tcPr>
            <w:tcW w:w="1563" w:type="dxa"/>
            <w:shd w:val="clear" w:color="auto" w:fill="auto"/>
            <w:noWrap/>
            <w:vAlign w:val="center"/>
          </w:tcPr>
          <w:p w14:paraId="58DD55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566</w:t>
            </w:r>
          </w:p>
        </w:tc>
        <w:tc>
          <w:tcPr>
            <w:tcW w:w="1087" w:type="dxa"/>
            <w:shd w:val="clear" w:color="auto" w:fill="auto"/>
            <w:noWrap/>
            <w:vAlign w:val="center"/>
          </w:tcPr>
          <w:p w14:paraId="16DF45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281</w:t>
            </w:r>
          </w:p>
        </w:tc>
        <w:tc>
          <w:tcPr>
            <w:tcW w:w="1713" w:type="dxa"/>
            <w:shd w:val="clear" w:color="auto" w:fill="auto"/>
            <w:noWrap/>
            <w:vAlign w:val="center"/>
          </w:tcPr>
          <w:p w14:paraId="3C9327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101.42</w:t>
            </w:r>
          </w:p>
        </w:tc>
      </w:tr>
      <w:tr w14:paraId="06199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16A044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五、信息传输、计算机服务和软件业</w:t>
            </w:r>
          </w:p>
        </w:tc>
        <w:tc>
          <w:tcPr>
            <w:tcW w:w="1563" w:type="dxa"/>
            <w:shd w:val="clear" w:color="auto" w:fill="auto"/>
            <w:noWrap/>
            <w:vAlign w:val="center"/>
          </w:tcPr>
          <w:p w14:paraId="2307B8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926</w:t>
            </w:r>
          </w:p>
        </w:tc>
        <w:tc>
          <w:tcPr>
            <w:tcW w:w="1087" w:type="dxa"/>
            <w:shd w:val="clear" w:color="auto" w:fill="auto"/>
            <w:noWrap/>
            <w:vAlign w:val="center"/>
          </w:tcPr>
          <w:p w14:paraId="496D1A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813</w:t>
            </w:r>
          </w:p>
        </w:tc>
        <w:tc>
          <w:tcPr>
            <w:tcW w:w="1713" w:type="dxa"/>
            <w:shd w:val="clear" w:color="auto" w:fill="auto"/>
            <w:noWrap/>
            <w:vAlign w:val="center"/>
          </w:tcPr>
          <w:p w14:paraId="67B2D6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13.9</w:t>
            </w:r>
          </w:p>
        </w:tc>
      </w:tr>
      <w:tr w14:paraId="18858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7BD48636">
            <w:pPr>
              <w:bidi w:val="0"/>
              <w:jc w:val="center"/>
              <w:rPr>
                <w:highlight w:val="none"/>
              </w:rPr>
            </w:pPr>
            <w:r>
              <w:rPr>
                <w:rFonts w:hint="eastAsia"/>
                <w:highlight w:val="none"/>
              </w:rPr>
              <w:t>六、商业、住宿和餐饮业</w:t>
            </w:r>
          </w:p>
        </w:tc>
        <w:tc>
          <w:tcPr>
            <w:tcW w:w="1563" w:type="dxa"/>
            <w:shd w:val="clear" w:color="auto" w:fill="auto"/>
            <w:noWrap/>
            <w:vAlign w:val="center"/>
          </w:tcPr>
          <w:p w14:paraId="2348B192">
            <w:pPr>
              <w:bidi w:val="0"/>
              <w:jc w:val="center"/>
              <w:rPr>
                <w:highlight w:val="none"/>
              </w:rPr>
            </w:pPr>
            <w:r>
              <w:rPr>
                <w:rFonts w:hint="eastAsia"/>
                <w:highlight w:val="none"/>
              </w:rPr>
              <w:t>2422</w:t>
            </w:r>
          </w:p>
        </w:tc>
        <w:tc>
          <w:tcPr>
            <w:tcW w:w="1087" w:type="dxa"/>
            <w:shd w:val="clear" w:color="auto" w:fill="auto"/>
            <w:noWrap/>
            <w:vAlign w:val="center"/>
          </w:tcPr>
          <w:p w14:paraId="16FEC1D2">
            <w:pPr>
              <w:bidi w:val="0"/>
              <w:jc w:val="center"/>
              <w:rPr>
                <w:highlight w:val="none"/>
              </w:rPr>
            </w:pPr>
            <w:r>
              <w:rPr>
                <w:rFonts w:hint="eastAsia"/>
                <w:highlight w:val="none"/>
              </w:rPr>
              <w:t>2399</w:t>
            </w:r>
          </w:p>
        </w:tc>
        <w:tc>
          <w:tcPr>
            <w:tcW w:w="1713" w:type="dxa"/>
            <w:shd w:val="clear" w:color="auto" w:fill="auto"/>
            <w:noWrap/>
            <w:vAlign w:val="center"/>
          </w:tcPr>
          <w:p w14:paraId="654EB6C1">
            <w:pPr>
              <w:bidi w:val="0"/>
              <w:jc w:val="center"/>
              <w:rPr>
                <w:highlight w:val="none"/>
              </w:rPr>
            </w:pPr>
            <w:r>
              <w:rPr>
                <w:rFonts w:hint="eastAsia"/>
                <w:highlight w:val="none"/>
              </w:rPr>
              <w:t>0.96</w:t>
            </w:r>
          </w:p>
        </w:tc>
      </w:tr>
      <w:tr w14:paraId="61C58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19" w:hRule="atLeast"/>
        </w:trPr>
        <w:tc>
          <w:tcPr>
            <w:tcW w:w="3952" w:type="dxa"/>
            <w:shd w:val="clear" w:color="auto" w:fill="auto"/>
            <w:noWrap/>
            <w:vAlign w:val="bottom"/>
          </w:tcPr>
          <w:p w14:paraId="67B53C5E">
            <w:pPr>
              <w:bidi w:val="0"/>
              <w:jc w:val="center"/>
              <w:rPr>
                <w:highlight w:val="none"/>
              </w:rPr>
            </w:pPr>
            <w:r>
              <w:rPr>
                <w:rFonts w:hint="eastAsia"/>
                <w:highlight w:val="none"/>
              </w:rPr>
              <w:t>七、金融、房地产、商务及居民服务业</w:t>
            </w:r>
          </w:p>
        </w:tc>
        <w:tc>
          <w:tcPr>
            <w:tcW w:w="1563" w:type="dxa"/>
            <w:shd w:val="clear" w:color="auto" w:fill="auto"/>
            <w:noWrap/>
            <w:vAlign w:val="center"/>
          </w:tcPr>
          <w:p w14:paraId="0090D356">
            <w:pPr>
              <w:bidi w:val="0"/>
              <w:jc w:val="center"/>
              <w:rPr>
                <w:highlight w:val="none"/>
              </w:rPr>
            </w:pPr>
            <w:r>
              <w:rPr>
                <w:rFonts w:hint="eastAsia"/>
                <w:highlight w:val="none"/>
              </w:rPr>
              <w:t>1481</w:t>
            </w:r>
          </w:p>
        </w:tc>
        <w:tc>
          <w:tcPr>
            <w:tcW w:w="1087" w:type="dxa"/>
            <w:shd w:val="clear" w:color="auto" w:fill="auto"/>
            <w:noWrap/>
            <w:vAlign w:val="center"/>
          </w:tcPr>
          <w:p w14:paraId="78A9BD31">
            <w:pPr>
              <w:bidi w:val="0"/>
              <w:jc w:val="center"/>
              <w:rPr>
                <w:highlight w:val="none"/>
              </w:rPr>
            </w:pPr>
            <w:r>
              <w:rPr>
                <w:rFonts w:hint="eastAsia"/>
                <w:highlight w:val="none"/>
              </w:rPr>
              <w:t>1374</w:t>
            </w:r>
          </w:p>
        </w:tc>
        <w:tc>
          <w:tcPr>
            <w:tcW w:w="1713" w:type="dxa"/>
            <w:shd w:val="clear" w:color="auto" w:fill="auto"/>
            <w:noWrap/>
            <w:vAlign w:val="center"/>
          </w:tcPr>
          <w:p w14:paraId="3E22915D">
            <w:pPr>
              <w:bidi w:val="0"/>
              <w:jc w:val="center"/>
              <w:rPr>
                <w:highlight w:val="none"/>
              </w:rPr>
            </w:pPr>
            <w:r>
              <w:rPr>
                <w:rFonts w:hint="eastAsia"/>
                <w:highlight w:val="none"/>
              </w:rPr>
              <w:t>7.79</w:t>
            </w:r>
          </w:p>
        </w:tc>
      </w:tr>
      <w:tr w14:paraId="53C42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57" w:type="dxa"/>
            <w:bottom w:w="0" w:type="dxa"/>
            <w:right w:w="57" w:type="dxa"/>
          </w:tblCellMar>
        </w:tblPrEx>
        <w:trPr>
          <w:trHeight w:val="319" w:hRule="atLeast"/>
        </w:trPr>
        <w:tc>
          <w:tcPr>
            <w:tcW w:w="3952" w:type="dxa"/>
            <w:shd w:val="clear" w:color="auto" w:fill="auto"/>
            <w:noWrap/>
            <w:vAlign w:val="bottom"/>
          </w:tcPr>
          <w:p w14:paraId="109901F4">
            <w:pPr>
              <w:bidi w:val="0"/>
              <w:jc w:val="center"/>
              <w:rPr>
                <w:highlight w:val="none"/>
              </w:rPr>
            </w:pPr>
            <w:r>
              <w:rPr>
                <w:rFonts w:hint="eastAsia"/>
                <w:highlight w:val="none"/>
              </w:rPr>
              <w:t>八、公共事业及管理组织</w:t>
            </w:r>
          </w:p>
        </w:tc>
        <w:tc>
          <w:tcPr>
            <w:tcW w:w="1563" w:type="dxa"/>
            <w:shd w:val="clear" w:color="auto" w:fill="auto"/>
            <w:noWrap/>
            <w:vAlign w:val="center"/>
          </w:tcPr>
          <w:p w14:paraId="0963A17E">
            <w:pPr>
              <w:bidi w:val="0"/>
              <w:jc w:val="center"/>
              <w:rPr>
                <w:highlight w:val="none"/>
              </w:rPr>
            </w:pPr>
            <w:r>
              <w:rPr>
                <w:rFonts w:hint="eastAsia"/>
                <w:highlight w:val="none"/>
              </w:rPr>
              <w:t>2202</w:t>
            </w:r>
          </w:p>
        </w:tc>
        <w:tc>
          <w:tcPr>
            <w:tcW w:w="1087" w:type="dxa"/>
            <w:shd w:val="clear" w:color="auto" w:fill="auto"/>
            <w:noWrap/>
            <w:vAlign w:val="center"/>
          </w:tcPr>
          <w:p w14:paraId="5B1D379D">
            <w:pPr>
              <w:bidi w:val="0"/>
              <w:jc w:val="center"/>
              <w:rPr>
                <w:highlight w:val="none"/>
              </w:rPr>
            </w:pPr>
            <w:r>
              <w:rPr>
                <w:rFonts w:hint="eastAsia"/>
                <w:highlight w:val="none"/>
              </w:rPr>
              <w:t>2112</w:t>
            </w:r>
          </w:p>
        </w:tc>
        <w:tc>
          <w:tcPr>
            <w:tcW w:w="1713" w:type="dxa"/>
            <w:shd w:val="clear" w:color="auto" w:fill="auto"/>
            <w:noWrap/>
            <w:vAlign w:val="center"/>
          </w:tcPr>
          <w:p w14:paraId="2DF13EE1">
            <w:pPr>
              <w:bidi w:val="0"/>
              <w:jc w:val="center"/>
              <w:rPr>
                <w:highlight w:val="none"/>
              </w:rPr>
            </w:pPr>
            <w:r>
              <w:rPr>
                <w:rFonts w:hint="eastAsia"/>
                <w:highlight w:val="none"/>
              </w:rPr>
              <w:t>4.26</w:t>
            </w:r>
          </w:p>
        </w:tc>
      </w:tr>
    </w:tbl>
    <w:p w14:paraId="24E8E4FE">
      <w:pPr>
        <w:jc w:val="center"/>
        <w:rPr>
          <w:rFonts w:hint="eastAsia" w:hAnsi="宋体" w:cs="宋体"/>
          <w:highlight w:val="none"/>
        </w:rPr>
      </w:pPr>
      <w:r>
        <w:rPr>
          <w:rFonts w:hint="eastAsia" w:hAnsi="宋体" w:cs="宋体"/>
          <w:highlight w:val="none"/>
        </w:rPr>
        <w:t>全市能源消费情况表</w:t>
      </w:r>
    </w:p>
    <w:p w14:paraId="127624E9">
      <w:pPr>
        <w:ind w:firstLine="405"/>
        <w:rPr>
          <w:rFonts w:hint="eastAsia" w:hAnsi="宋体" w:cs="宋体"/>
          <w:highlight w:val="none"/>
        </w:rPr>
      </w:pPr>
      <w:r>
        <w:rPr>
          <w:rFonts w:hint="eastAsia" w:hAnsi="宋体" w:cs="宋体"/>
          <w:highlight w:val="none"/>
        </w:rPr>
        <w:t>表53</w:t>
      </w:r>
    </w:p>
    <w:tbl>
      <w:tblPr>
        <w:tblStyle w:val="7"/>
        <w:tblW w:w="8380" w:type="dxa"/>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0"/>
        <w:gridCol w:w="2020"/>
        <w:gridCol w:w="1120"/>
        <w:gridCol w:w="1080"/>
        <w:gridCol w:w="1080"/>
      </w:tblGrid>
      <w:tr w14:paraId="7F9C0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vMerge w:val="restart"/>
            <w:noWrap w:val="0"/>
            <w:vAlign w:val="center"/>
          </w:tcPr>
          <w:p w14:paraId="5DAED1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指标</w:t>
            </w:r>
          </w:p>
        </w:tc>
        <w:tc>
          <w:tcPr>
            <w:tcW w:w="2020" w:type="dxa"/>
            <w:vMerge w:val="restart"/>
            <w:noWrap w:val="0"/>
            <w:vAlign w:val="center"/>
          </w:tcPr>
          <w:p w14:paraId="5E14DB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计量单位</w:t>
            </w:r>
          </w:p>
        </w:tc>
        <w:tc>
          <w:tcPr>
            <w:tcW w:w="3280" w:type="dxa"/>
            <w:gridSpan w:val="3"/>
            <w:noWrap w:val="0"/>
            <w:vAlign w:val="center"/>
          </w:tcPr>
          <w:p w14:paraId="2B83C78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核算数据</w:t>
            </w:r>
          </w:p>
        </w:tc>
      </w:tr>
      <w:tr w14:paraId="1741E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vMerge w:val="continue"/>
            <w:noWrap w:val="0"/>
            <w:vAlign w:val="center"/>
          </w:tcPr>
          <w:p w14:paraId="17A9C8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20" w:type="dxa"/>
            <w:vMerge w:val="continue"/>
            <w:noWrap w:val="0"/>
            <w:vAlign w:val="center"/>
          </w:tcPr>
          <w:p w14:paraId="43F360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120" w:type="dxa"/>
            <w:noWrap w:val="0"/>
            <w:vAlign w:val="center"/>
          </w:tcPr>
          <w:p w14:paraId="7C27E3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本期数</w:t>
            </w:r>
          </w:p>
        </w:tc>
        <w:tc>
          <w:tcPr>
            <w:tcW w:w="1080" w:type="dxa"/>
            <w:noWrap w:val="0"/>
            <w:vAlign w:val="center"/>
          </w:tcPr>
          <w:p w14:paraId="0B39D2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同期数</w:t>
            </w:r>
          </w:p>
        </w:tc>
        <w:tc>
          <w:tcPr>
            <w:tcW w:w="1080" w:type="dxa"/>
            <w:noWrap w:val="0"/>
            <w:vAlign w:val="center"/>
          </w:tcPr>
          <w:p w14:paraId="762CE5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增长</w:t>
            </w:r>
            <w:r>
              <w:rPr>
                <w:rFonts w:hint="eastAsia"/>
                <w:highlight w:val="none"/>
                <w:lang w:eastAsia="zh-CN"/>
              </w:rPr>
              <w:t>（</w:t>
            </w:r>
            <w:r>
              <w:rPr>
                <w:rFonts w:hint="eastAsia"/>
                <w:highlight w:val="none"/>
              </w:rPr>
              <w:t>%</w:t>
            </w:r>
            <w:r>
              <w:rPr>
                <w:rFonts w:hint="eastAsia"/>
                <w:highlight w:val="none"/>
                <w:lang w:eastAsia="zh-CN"/>
              </w:rPr>
              <w:t>）</w:t>
            </w:r>
          </w:p>
        </w:tc>
      </w:tr>
      <w:tr w14:paraId="7A855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200223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能源消费总量</w:t>
            </w:r>
          </w:p>
        </w:tc>
        <w:tc>
          <w:tcPr>
            <w:tcW w:w="2020" w:type="dxa"/>
            <w:noWrap/>
            <w:vAlign w:val="center"/>
          </w:tcPr>
          <w:p w14:paraId="6439B3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211D85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50.43</w:t>
            </w:r>
          </w:p>
        </w:tc>
        <w:tc>
          <w:tcPr>
            <w:tcW w:w="1080" w:type="dxa"/>
            <w:noWrap/>
            <w:vAlign w:val="center"/>
          </w:tcPr>
          <w:p w14:paraId="6BC253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48.48</w:t>
            </w:r>
          </w:p>
        </w:tc>
        <w:tc>
          <w:tcPr>
            <w:tcW w:w="1080" w:type="dxa"/>
            <w:noWrap/>
            <w:vAlign w:val="center"/>
          </w:tcPr>
          <w:p w14:paraId="7CB943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4.02</w:t>
            </w:r>
          </w:p>
        </w:tc>
      </w:tr>
      <w:tr w14:paraId="21846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23C095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第一产业能源消费</w:t>
            </w:r>
          </w:p>
        </w:tc>
        <w:tc>
          <w:tcPr>
            <w:tcW w:w="2020" w:type="dxa"/>
            <w:noWrap/>
            <w:vAlign w:val="center"/>
          </w:tcPr>
          <w:p w14:paraId="48DD76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5C1A3C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6.07</w:t>
            </w:r>
          </w:p>
        </w:tc>
        <w:tc>
          <w:tcPr>
            <w:tcW w:w="1080" w:type="dxa"/>
            <w:noWrap/>
            <w:vAlign w:val="center"/>
          </w:tcPr>
          <w:p w14:paraId="4CDB7D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5.49</w:t>
            </w:r>
          </w:p>
        </w:tc>
        <w:tc>
          <w:tcPr>
            <w:tcW w:w="1080" w:type="dxa"/>
            <w:noWrap/>
            <w:vAlign w:val="center"/>
          </w:tcPr>
          <w:p w14:paraId="2D6A8E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10.56</w:t>
            </w:r>
          </w:p>
        </w:tc>
      </w:tr>
      <w:tr w14:paraId="225D3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4F4866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第二产业能源消费</w:t>
            </w:r>
          </w:p>
        </w:tc>
        <w:tc>
          <w:tcPr>
            <w:tcW w:w="2020" w:type="dxa"/>
            <w:noWrap/>
            <w:vAlign w:val="center"/>
          </w:tcPr>
          <w:p w14:paraId="0686D1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0360B2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27.54</w:t>
            </w:r>
          </w:p>
        </w:tc>
        <w:tc>
          <w:tcPr>
            <w:tcW w:w="1080" w:type="dxa"/>
            <w:noWrap/>
            <w:vAlign w:val="center"/>
          </w:tcPr>
          <w:p w14:paraId="1B3674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27.52</w:t>
            </w:r>
          </w:p>
        </w:tc>
        <w:tc>
          <w:tcPr>
            <w:tcW w:w="1080" w:type="dxa"/>
            <w:noWrap/>
            <w:vAlign w:val="center"/>
          </w:tcPr>
          <w:p w14:paraId="126A63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0.07</w:t>
            </w:r>
          </w:p>
        </w:tc>
      </w:tr>
      <w:tr w14:paraId="4B98C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4B4C09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工业能源消费</w:t>
            </w:r>
          </w:p>
        </w:tc>
        <w:tc>
          <w:tcPr>
            <w:tcW w:w="2020" w:type="dxa"/>
            <w:noWrap/>
            <w:vAlign w:val="center"/>
          </w:tcPr>
          <w:p w14:paraId="104BA2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71B793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24.18</w:t>
            </w:r>
          </w:p>
        </w:tc>
        <w:tc>
          <w:tcPr>
            <w:tcW w:w="1080" w:type="dxa"/>
            <w:noWrap/>
            <w:vAlign w:val="center"/>
          </w:tcPr>
          <w:p w14:paraId="5AA7AA4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24.56</w:t>
            </w:r>
          </w:p>
        </w:tc>
        <w:tc>
          <w:tcPr>
            <w:tcW w:w="1080" w:type="dxa"/>
            <w:noWrap/>
            <w:vAlign w:val="center"/>
          </w:tcPr>
          <w:p w14:paraId="0182FB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-1.55</w:t>
            </w:r>
          </w:p>
        </w:tc>
      </w:tr>
      <w:tr w14:paraId="28597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3163B5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规上工业</w:t>
            </w:r>
          </w:p>
        </w:tc>
        <w:tc>
          <w:tcPr>
            <w:tcW w:w="2020" w:type="dxa"/>
            <w:noWrap/>
            <w:vAlign w:val="center"/>
          </w:tcPr>
          <w:p w14:paraId="54B4D4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797FFB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15.71</w:t>
            </w:r>
          </w:p>
        </w:tc>
        <w:tc>
          <w:tcPr>
            <w:tcW w:w="1080" w:type="dxa"/>
            <w:noWrap/>
            <w:vAlign w:val="center"/>
          </w:tcPr>
          <w:p w14:paraId="34147C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15.02</w:t>
            </w:r>
          </w:p>
        </w:tc>
        <w:tc>
          <w:tcPr>
            <w:tcW w:w="1080" w:type="dxa"/>
            <w:noWrap/>
            <w:vAlign w:val="center"/>
          </w:tcPr>
          <w:p w14:paraId="08E6F9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4.59</w:t>
            </w:r>
          </w:p>
        </w:tc>
      </w:tr>
      <w:tr w14:paraId="1F982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61284E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规下工业</w:t>
            </w:r>
          </w:p>
        </w:tc>
        <w:tc>
          <w:tcPr>
            <w:tcW w:w="2020" w:type="dxa"/>
            <w:noWrap/>
            <w:vAlign w:val="center"/>
          </w:tcPr>
          <w:p w14:paraId="7CDA2D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442D278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8.47</w:t>
            </w:r>
          </w:p>
        </w:tc>
        <w:tc>
          <w:tcPr>
            <w:tcW w:w="1080" w:type="dxa"/>
            <w:noWrap/>
            <w:vAlign w:val="center"/>
          </w:tcPr>
          <w:p w14:paraId="08CF44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9.54</w:t>
            </w:r>
          </w:p>
        </w:tc>
        <w:tc>
          <w:tcPr>
            <w:tcW w:w="1080" w:type="dxa"/>
            <w:noWrap/>
            <w:vAlign w:val="center"/>
          </w:tcPr>
          <w:p w14:paraId="71A288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-11.22</w:t>
            </w:r>
          </w:p>
        </w:tc>
      </w:tr>
      <w:tr w14:paraId="016FE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4D9D56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建筑业能源消费</w:t>
            </w:r>
          </w:p>
        </w:tc>
        <w:tc>
          <w:tcPr>
            <w:tcW w:w="2020" w:type="dxa"/>
            <w:noWrap/>
            <w:vAlign w:val="center"/>
          </w:tcPr>
          <w:p w14:paraId="59F132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424370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3.36</w:t>
            </w:r>
          </w:p>
        </w:tc>
        <w:tc>
          <w:tcPr>
            <w:tcW w:w="1080" w:type="dxa"/>
            <w:noWrap/>
            <w:vAlign w:val="center"/>
          </w:tcPr>
          <w:p w14:paraId="598126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2.96</w:t>
            </w:r>
          </w:p>
        </w:tc>
        <w:tc>
          <w:tcPr>
            <w:tcW w:w="1080" w:type="dxa"/>
            <w:noWrap/>
            <w:vAlign w:val="center"/>
          </w:tcPr>
          <w:p w14:paraId="294247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13.51</w:t>
            </w:r>
          </w:p>
        </w:tc>
      </w:tr>
      <w:tr w14:paraId="3525D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47A1CA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第三产业能源消费</w:t>
            </w:r>
          </w:p>
        </w:tc>
        <w:tc>
          <w:tcPr>
            <w:tcW w:w="2020" w:type="dxa"/>
            <w:noWrap/>
            <w:vAlign w:val="center"/>
          </w:tcPr>
          <w:p w14:paraId="567A2C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1F6653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8.91</w:t>
            </w:r>
          </w:p>
        </w:tc>
        <w:tc>
          <w:tcPr>
            <w:tcW w:w="1080" w:type="dxa"/>
            <w:noWrap/>
            <w:vAlign w:val="center"/>
          </w:tcPr>
          <w:p w14:paraId="293F41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8.47</w:t>
            </w:r>
          </w:p>
        </w:tc>
        <w:tc>
          <w:tcPr>
            <w:tcW w:w="1080" w:type="dxa"/>
            <w:noWrap/>
            <w:vAlign w:val="center"/>
          </w:tcPr>
          <w:p w14:paraId="02201F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5.19</w:t>
            </w:r>
          </w:p>
        </w:tc>
      </w:tr>
      <w:tr w14:paraId="70CE9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200155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交通运输业能源消费</w:t>
            </w:r>
          </w:p>
        </w:tc>
        <w:tc>
          <w:tcPr>
            <w:tcW w:w="2020" w:type="dxa"/>
            <w:noWrap/>
            <w:vAlign w:val="center"/>
          </w:tcPr>
          <w:p w14:paraId="180C28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749423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4.81</w:t>
            </w:r>
          </w:p>
        </w:tc>
        <w:tc>
          <w:tcPr>
            <w:tcW w:w="1080" w:type="dxa"/>
            <w:noWrap/>
            <w:vAlign w:val="center"/>
          </w:tcPr>
          <w:p w14:paraId="6520A1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4.01</w:t>
            </w:r>
          </w:p>
        </w:tc>
        <w:tc>
          <w:tcPr>
            <w:tcW w:w="1080" w:type="dxa"/>
            <w:noWrap/>
            <w:vAlign w:val="center"/>
          </w:tcPr>
          <w:p w14:paraId="7C8479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19.95</w:t>
            </w:r>
          </w:p>
        </w:tc>
      </w:tr>
      <w:tr w14:paraId="347D5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559527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第三产（不含交通运输）</w:t>
            </w:r>
          </w:p>
        </w:tc>
        <w:tc>
          <w:tcPr>
            <w:tcW w:w="2020" w:type="dxa"/>
            <w:noWrap/>
            <w:vAlign w:val="center"/>
          </w:tcPr>
          <w:p w14:paraId="239AB2C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34BDE9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4.10</w:t>
            </w:r>
          </w:p>
        </w:tc>
        <w:tc>
          <w:tcPr>
            <w:tcW w:w="1080" w:type="dxa"/>
            <w:noWrap/>
            <w:vAlign w:val="center"/>
          </w:tcPr>
          <w:p w14:paraId="029426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4.46</w:t>
            </w:r>
          </w:p>
        </w:tc>
        <w:tc>
          <w:tcPr>
            <w:tcW w:w="1080" w:type="dxa"/>
            <w:noWrap/>
            <w:vAlign w:val="center"/>
          </w:tcPr>
          <w:p w14:paraId="2C544A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-8.07</w:t>
            </w:r>
          </w:p>
        </w:tc>
      </w:tr>
      <w:tr w14:paraId="43EBA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7782B2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居民生活用能</w:t>
            </w:r>
          </w:p>
        </w:tc>
        <w:tc>
          <w:tcPr>
            <w:tcW w:w="2020" w:type="dxa"/>
            <w:noWrap/>
            <w:vAlign w:val="center"/>
          </w:tcPr>
          <w:p w14:paraId="4E9153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44BE0A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7.91</w:t>
            </w:r>
          </w:p>
        </w:tc>
        <w:tc>
          <w:tcPr>
            <w:tcW w:w="1080" w:type="dxa"/>
            <w:noWrap/>
            <w:vAlign w:val="center"/>
          </w:tcPr>
          <w:p w14:paraId="471C6E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7.00</w:t>
            </w:r>
          </w:p>
        </w:tc>
        <w:tc>
          <w:tcPr>
            <w:tcW w:w="1080" w:type="dxa"/>
            <w:noWrap/>
            <w:vAlign w:val="center"/>
          </w:tcPr>
          <w:p w14:paraId="58CD8A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13.00</w:t>
            </w:r>
          </w:p>
        </w:tc>
      </w:tr>
      <w:tr w14:paraId="5716B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26769B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城市居民生活用能</w:t>
            </w:r>
          </w:p>
        </w:tc>
        <w:tc>
          <w:tcPr>
            <w:tcW w:w="2020" w:type="dxa"/>
            <w:noWrap/>
            <w:vAlign w:val="center"/>
          </w:tcPr>
          <w:p w14:paraId="7EEDF1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5D0CC4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3.72</w:t>
            </w:r>
          </w:p>
        </w:tc>
        <w:tc>
          <w:tcPr>
            <w:tcW w:w="1080" w:type="dxa"/>
            <w:noWrap/>
            <w:vAlign w:val="center"/>
          </w:tcPr>
          <w:p w14:paraId="385BE2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3.31</w:t>
            </w:r>
          </w:p>
        </w:tc>
        <w:tc>
          <w:tcPr>
            <w:tcW w:w="1080" w:type="dxa"/>
            <w:noWrap/>
            <w:vAlign w:val="center"/>
          </w:tcPr>
          <w:p w14:paraId="0F1C7A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12.39</w:t>
            </w:r>
          </w:p>
        </w:tc>
      </w:tr>
      <w:tr w14:paraId="6C3F2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00E9FC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农村居民生活用能</w:t>
            </w:r>
          </w:p>
        </w:tc>
        <w:tc>
          <w:tcPr>
            <w:tcW w:w="2020" w:type="dxa"/>
            <w:noWrap/>
            <w:vAlign w:val="center"/>
          </w:tcPr>
          <w:p w14:paraId="583868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万吨标准煤</w:t>
            </w:r>
          </w:p>
        </w:tc>
        <w:tc>
          <w:tcPr>
            <w:tcW w:w="1120" w:type="dxa"/>
            <w:noWrap/>
            <w:vAlign w:val="center"/>
          </w:tcPr>
          <w:p w14:paraId="45CA5E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4.19</w:t>
            </w:r>
          </w:p>
        </w:tc>
        <w:tc>
          <w:tcPr>
            <w:tcW w:w="1080" w:type="dxa"/>
            <w:noWrap/>
            <w:vAlign w:val="center"/>
          </w:tcPr>
          <w:p w14:paraId="4EDDE5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3.69</w:t>
            </w:r>
          </w:p>
        </w:tc>
        <w:tc>
          <w:tcPr>
            <w:tcW w:w="1080" w:type="dxa"/>
            <w:noWrap/>
            <w:vAlign w:val="center"/>
          </w:tcPr>
          <w:p w14:paraId="7D145D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13.55</w:t>
            </w:r>
          </w:p>
        </w:tc>
      </w:tr>
      <w:tr w14:paraId="6BDF2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2CF2F7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GDP（可比价）</w:t>
            </w:r>
          </w:p>
        </w:tc>
        <w:tc>
          <w:tcPr>
            <w:tcW w:w="2020" w:type="dxa"/>
            <w:noWrap/>
            <w:vAlign w:val="center"/>
          </w:tcPr>
          <w:p w14:paraId="4816BC5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亿元</w:t>
            </w:r>
          </w:p>
        </w:tc>
        <w:tc>
          <w:tcPr>
            <w:tcW w:w="1120" w:type="dxa"/>
            <w:noWrap/>
            <w:vAlign w:val="center"/>
          </w:tcPr>
          <w:p w14:paraId="242446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110.95</w:t>
            </w:r>
          </w:p>
        </w:tc>
        <w:tc>
          <w:tcPr>
            <w:tcW w:w="1080" w:type="dxa"/>
            <w:noWrap/>
            <w:vAlign w:val="center"/>
          </w:tcPr>
          <w:p w14:paraId="33BC1E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100.66</w:t>
            </w:r>
          </w:p>
        </w:tc>
        <w:tc>
          <w:tcPr>
            <w:tcW w:w="1080" w:type="dxa"/>
            <w:noWrap/>
            <w:vAlign w:val="center"/>
          </w:tcPr>
          <w:p w14:paraId="69D764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10.20</w:t>
            </w:r>
          </w:p>
        </w:tc>
      </w:tr>
      <w:tr w14:paraId="597AA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35F433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单位GDP能耗</w:t>
            </w:r>
          </w:p>
        </w:tc>
        <w:tc>
          <w:tcPr>
            <w:tcW w:w="2020" w:type="dxa"/>
            <w:noWrap/>
            <w:vAlign w:val="center"/>
          </w:tcPr>
          <w:p w14:paraId="37AE86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吨标准煤/万元</w:t>
            </w:r>
          </w:p>
        </w:tc>
        <w:tc>
          <w:tcPr>
            <w:tcW w:w="1120" w:type="dxa"/>
            <w:noWrap/>
            <w:vAlign w:val="center"/>
          </w:tcPr>
          <w:p w14:paraId="13F33C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0.455</w:t>
            </w:r>
          </w:p>
        </w:tc>
        <w:tc>
          <w:tcPr>
            <w:tcW w:w="1080" w:type="dxa"/>
            <w:noWrap/>
            <w:vAlign w:val="center"/>
          </w:tcPr>
          <w:p w14:paraId="408DD1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0.482</w:t>
            </w:r>
          </w:p>
        </w:tc>
        <w:tc>
          <w:tcPr>
            <w:tcW w:w="1080" w:type="dxa"/>
            <w:noWrap/>
            <w:vAlign w:val="center"/>
          </w:tcPr>
          <w:p w14:paraId="28A96C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-5.61</w:t>
            </w:r>
          </w:p>
        </w:tc>
      </w:tr>
      <w:tr w14:paraId="1782E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1C3173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单位工业增加值能耗</w:t>
            </w:r>
          </w:p>
        </w:tc>
        <w:tc>
          <w:tcPr>
            <w:tcW w:w="2020" w:type="dxa"/>
            <w:noWrap/>
            <w:vAlign w:val="center"/>
          </w:tcPr>
          <w:p w14:paraId="6BADBB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吨标准煤/万元</w:t>
            </w:r>
          </w:p>
        </w:tc>
        <w:tc>
          <w:tcPr>
            <w:tcW w:w="1120" w:type="dxa"/>
            <w:noWrap/>
            <w:vAlign w:val="center"/>
          </w:tcPr>
          <w:p w14:paraId="181EF1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0.342</w:t>
            </w:r>
          </w:p>
        </w:tc>
        <w:tc>
          <w:tcPr>
            <w:tcW w:w="1080" w:type="dxa"/>
            <w:noWrap/>
            <w:vAlign w:val="center"/>
          </w:tcPr>
          <w:p w14:paraId="0FC44C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0.402</w:t>
            </w:r>
          </w:p>
        </w:tc>
        <w:tc>
          <w:tcPr>
            <w:tcW w:w="1080" w:type="dxa"/>
            <w:noWrap/>
            <w:vAlign w:val="center"/>
          </w:tcPr>
          <w:p w14:paraId="711828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-14.96</w:t>
            </w:r>
          </w:p>
        </w:tc>
      </w:tr>
      <w:tr w14:paraId="47533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80" w:type="dxa"/>
            <w:noWrap/>
            <w:vAlign w:val="center"/>
          </w:tcPr>
          <w:p w14:paraId="06509F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单位GDP电耗</w:t>
            </w:r>
          </w:p>
        </w:tc>
        <w:tc>
          <w:tcPr>
            <w:tcW w:w="2020" w:type="dxa"/>
            <w:noWrap/>
            <w:vAlign w:val="center"/>
          </w:tcPr>
          <w:p w14:paraId="1C8598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吨标准煤/万元</w:t>
            </w:r>
          </w:p>
        </w:tc>
        <w:tc>
          <w:tcPr>
            <w:tcW w:w="1120" w:type="dxa"/>
            <w:noWrap/>
            <w:vAlign w:val="center"/>
          </w:tcPr>
          <w:p w14:paraId="2D5998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365.32</w:t>
            </w:r>
          </w:p>
        </w:tc>
        <w:tc>
          <w:tcPr>
            <w:tcW w:w="1080" w:type="dxa"/>
            <w:noWrap/>
            <w:vAlign w:val="center"/>
          </w:tcPr>
          <w:p w14:paraId="0EA885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389.90</w:t>
            </w:r>
          </w:p>
        </w:tc>
        <w:tc>
          <w:tcPr>
            <w:tcW w:w="1080" w:type="dxa"/>
            <w:noWrap/>
            <w:vAlign w:val="center"/>
          </w:tcPr>
          <w:p w14:paraId="01F81B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-6.29</w:t>
            </w:r>
          </w:p>
        </w:tc>
      </w:tr>
    </w:tbl>
    <w:p w14:paraId="120DE201">
      <w:pPr>
        <w:jc w:val="center"/>
        <w:rPr>
          <w:rFonts w:hint="eastAsia" w:hAnsi="宋体" w:cs="宋体"/>
          <w:highlight w:val="none"/>
        </w:rPr>
      </w:pPr>
      <w:r>
        <w:rPr>
          <w:rFonts w:hint="eastAsia" w:hAnsi="宋体" w:cs="宋体"/>
          <w:highlight w:val="none"/>
        </w:rPr>
        <w:t>全市交通运输主要指标</w:t>
      </w:r>
    </w:p>
    <w:p w14:paraId="20B49F52">
      <w:pPr>
        <w:ind w:firstLine="405"/>
        <w:rPr>
          <w:rFonts w:hint="eastAsia" w:hAnsi="宋体" w:cs="宋体"/>
          <w:highlight w:val="none"/>
        </w:rPr>
      </w:pPr>
      <w:r>
        <w:rPr>
          <w:rFonts w:hint="eastAsia" w:hAnsi="宋体" w:cs="宋体"/>
          <w:highlight w:val="none"/>
        </w:rPr>
        <w:t>表54</w:t>
      </w:r>
    </w:p>
    <w:tbl>
      <w:tblPr>
        <w:tblStyle w:val="7"/>
        <w:tblW w:w="481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3"/>
        <w:gridCol w:w="2566"/>
        <w:gridCol w:w="1398"/>
      </w:tblGrid>
      <w:tr w14:paraId="67095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79E0E4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指标</w:t>
            </w:r>
          </w:p>
        </w:tc>
        <w:tc>
          <w:tcPr>
            <w:tcW w:w="2566" w:type="dxa"/>
            <w:noWrap/>
            <w:vAlign w:val="center"/>
          </w:tcPr>
          <w:p w14:paraId="1EADE3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计量单位</w:t>
            </w:r>
          </w:p>
        </w:tc>
        <w:tc>
          <w:tcPr>
            <w:tcW w:w="1398" w:type="dxa"/>
            <w:noWrap/>
            <w:vAlign w:val="center"/>
          </w:tcPr>
          <w:p w14:paraId="223B18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w:t>
            </w:r>
          </w:p>
        </w:tc>
      </w:tr>
      <w:tr w14:paraId="21F66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7A60FB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公路通车总里程</w:t>
            </w:r>
          </w:p>
        </w:tc>
        <w:tc>
          <w:tcPr>
            <w:tcW w:w="2566" w:type="dxa"/>
            <w:noWrap/>
            <w:vAlign w:val="center"/>
          </w:tcPr>
          <w:p w14:paraId="2D480E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公里</w:t>
            </w:r>
          </w:p>
        </w:tc>
        <w:tc>
          <w:tcPr>
            <w:tcW w:w="1398" w:type="dxa"/>
            <w:noWrap/>
            <w:vAlign w:val="center"/>
          </w:tcPr>
          <w:p w14:paraId="3B8514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2281.937</w:t>
            </w:r>
          </w:p>
        </w:tc>
      </w:tr>
      <w:tr w14:paraId="27B1F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289A60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公路密度</w:t>
            </w:r>
            <w:r>
              <w:rPr>
                <w:rFonts w:hint="eastAsia"/>
                <w:highlight w:val="none"/>
                <w:lang w:eastAsia="zh-CN"/>
              </w:rPr>
              <w:t>（</w:t>
            </w:r>
            <w:r>
              <w:rPr>
                <w:rFonts w:hint="eastAsia"/>
                <w:highlight w:val="none"/>
              </w:rPr>
              <w:t>以国土面积计算</w:t>
            </w:r>
            <w:r>
              <w:rPr>
                <w:rFonts w:hint="eastAsia"/>
                <w:highlight w:val="none"/>
                <w:lang w:eastAsia="zh-CN"/>
              </w:rPr>
              <w:t>）</w:t>
            </w:r>
          </w:p>
        </w:tc>
        <w:tc>
          <w:tcPr>
            <w:tcW w:w="2566" w:type="dxa"/>
            <w:noWrap/>
            <w:vAlign w:val="center"/>
          </w:tcPr>
          <w:p w14:paraId="40A888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公里/百平方公里</w:t>
            </w:r>
          </w:p>
        </w:tc>
        <w:tc>
          <w:tcPr>
            <w:tcW w:w="1398" w:type="dxa"/>
            <w:noWrap/>
            <w:vAlign w:val="center"/>
          </w:tcPr>
          <w:p w14:paraId="2BEC40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98.10</w:t>
            </w:r>
          </w:p>
        </w:tc>
      </w:tr>
      <w:tr w14:paraId="1E925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4789FA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公路密度</w:t>
            </w:r>
            <w:r>
              <w:rPr>
                <w:rFonts w:hint="eastAsia"/>
                <w:highlight w:val="none"/>
                <w:lang w:eastAsia="zh-CN"/>
              </w:rPr>
              <w:t>（</w:t>
            </w:r>
            <w:r>
              <w:rPr>
                <w:rFonts w:hint="eastAsia"/>
                <w:highlight w:val="none"/>
              </w:rPr>
              <w:t>以人口数量计算</w:t>
            </w:r>
            <w:r>
              <w:rPr>
                <w:rFonts w:hint="eastAsia"/>
                <w:highlight w:val="none"/>
                <w:lang w:eastAsia="zh-CN"/>
              </w:rPr>
              <w:t>）</w:t>
            </w:r>
          </w:p>
        </w:tc>
        <w:tc>
          <w:tcPr>
            <w:tcW w:w="2566" w:type="dxa"/>
            <w:noWrap/>
            <w:vAlign w:val="center"/>
          </w:tcPr>
          <w:p w14:paraId="15D84D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公里/万人</w:t>
            </w:r>
          </w:p>
        </w:tc>
        <w:tc>
          <w:tcPr>
            <w:tcW w:w="1398" w:type="dxa"/>
            <w:noWrap/>
            <w:vAlign w:val="center"/>
          </w:tcPr>
          <w:p w14:paraId="59067D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69.09</w:t>
            </w:r>
          </w:p>
        </w:tc>
      </w:tr>
      <w:tr w14:paraId="6800F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0E7383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通公路乡镇数量数</w:t>
            </w:r>
          </w:p>
        </w:tc>
        <w:tc>
          <w:tcPr>
            <w:tcW w:w="2566" w:type="dxa"/>
            <w:noWrap/>
            <w:vAlign w:val="center"/>
          </w:tcPr>
          <w:p w14:paraId="7E491D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398" w:type="dxa"/>
            <w:noWrap/>
            <w:vAlign w:val="center"/>
          </w:tcPr>
          <w:p w14:paraId="1BE018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w:t>
            </w:r>
          </w:p>
        </w:tc>
      </w:tr>
      <w:tr w14:paraId="2264E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7BB297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通公路行政村数量</w:t>
            </w:r>
          </w:p>
        </w:tc>
        <w:tc>
          <w:tcPr>
            <w:tcW w:w="2566" w:type="dxa"/>
            <w:noWrap/>
            <w:vAlign w:val="center"/>
          </w:tcPr>
          <w:p w14:paraId="00DFAA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398" w:type="dxa"/>
            <w:noWrap/>
            <w:vAlign w:val="center"/>
          </w:tcPr>
          <w:p w14:paraId="2FCA93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208</w:t>
            </w:r>
          </w:p>
        </w:tc>
      </w:tr>
      <w:tr w14:paraId="5695D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5D0C18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民用车辆保有量</w:t>
            </w:r>
          </w:p>
        </w:tc>
        <w:tc>
          <w:tcPr>
            <w:tcW w:w="2566" w:type="dxa"/>
            <w:noWrap/>
            <w:vAlign w:val="center"/>
          </w:tcPr>
          <w:p w14:paraId="739A56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辆</w:t>
            </w:r>
          </w:p>
        </w:tc>
        <w:tc>
          <w:tcPr>
            <w:tcW w:w="1398" w:type="dxa"/>
            <w:noWrap/>
            <w:vAlign w:val="center"/>
          </w:tcPr>
          <w:p w14:paraId="04AA15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34130</w:t>
            </w:r>
          </w:p>
        </w:tc>
      </w:tr>
      <w:tr w14:paraId="33551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429426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#公共汽（电）车保有量</w:t>
            </w:r>
          </w:p>
        </w:tc>
        <w:tc>
          <w:tcPr>
            <w:tcW w:w="2566" w:type="dxa"/>
            <w:noWrap/>
            <w:vAlign w:val="center"/>
          </w:tcPr>
          <w:p w14:paraId="6CD2A0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辆</w:t>
            </w:r>
          </w:p>
        </w:tc>
        <w:tc>
          <w:tcPr>
            <w:tcW w:w="1398" w:type="dxa"/>
            <w:noWrap/>
            <w:vAlign w:val="center"/>
          </w:tcPr>
          <w:p w14:paraId="2CC696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113</w:t>
            </w:r>
          </w:p>
        </w:tc>
      </w:tr>
      <w:tr w14:paraId="37A58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26410A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公共出租汽车保有量</w:t>
            </w:r>
          </w:p>
        </w:tc>
        <w:tc>
          <w:tcPr>
            <w:tcW w:w="2566" w:type="dxa"/>
            <w:noWrap/>
            <w:vAlign w:val="center"/>
          </w:tcPr>
          <w:p w14:paraId="159394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辆</w:t>
            </w:r>
          </w:p>
        </w:tc>
        <w:tc>
          <w:tcPr>
            <w:tcW w:w="1398" w:type="dxa"/>
            <w:noWrap/>
            <w:vAlign w:val="center"/>
          </w:tcPr>
          <w:p w14:paraId="37C5D5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65</w:t>
            </w:r>
          </w:p>
        </w:tc>
      </w:tr>
      <w:tr w14:paraId="0D070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7A22F0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公路客运量</w:t>
            </w:r>
          </w:p>
        </w:tc>
        <w:tc>
          <w:tcPr>
            <w:tcW w:w="2566" w:type="dxa"/>
            <w:noWrap/>
            <w:vAlign w:val="center"/>
          </w:tcPr>
          <w:p w14:paraId="6AD117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w:t>
            </w:r>
          </w:p>
        </w:tc>
        <w:tc>
          <w:tcPr>
            <w:tcW w:w="1398" w:type="dxa"/>
            <w:noWrap/>
            <w:vAlign w:val="center"/>
          </w:tcPr>
          <w:p w14:paraId="2C64BD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342.86</w:t>
            </w:r>
          </w:p>
        </w:tc>
      </w:tr>
      <w:tr w14:paraId="616EC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3" w:type="dxa"/>
            <w:noWrap/>
            <w:vAlign w:val="center"/>
          </w:tcPr>
          <w:p w14:paraId="5D5EE6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旅客周转量</w:t>
            </w:r>
          </w:p>
        </w:tc>
        <w:tc>
          <w:tcPr>
            <w:tcW w:w="2566" w:type="dxa"/>
            <w:noWrap/>
            <w:vAlign w:val="center"/>
          </w:tcPr>
          <w:p w14:paraId="22BC97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万人公里</w:t>
            </w:r>
          </w:p>
        </w:tc>
        <w:tc>
          <w:tcPr>
            <w:tcW w:w="1398" w:type="dxa"/>
            <w:noWrap/>
            <w:vAlign w:val="center"/>
          </w:tcPr>
          <w:p w14:paraId="3725CB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14281.34</w:t>
            </w:r>
          </w:p>
        </w:tc>
      </w:tr>
    </w:tbl>
    <w:p w14:paraId="3FCDBFA3">
      <w:pPr>
        <w:jc w:val="center"/>
        <w:rPr>
          <w:rFonts w:hint="eastAsia" w:hAnsi="宋体" w:cs="宋体"/>
          <w:b/>
          <w:highlight w:val="none"/>
        </w:rPr>
      </w:pPr>
      <w:r>
        <w:rPr>
          <w:rFonts w:hint="eastAsia" w:hAnsi="宋体" w:cs="宋体"/>
          <w:highlight w:val="none"/>
        </w:rPr>
        <w:t>全市民用车辆保有</w:t>
      </w:r>
      <w:r>
        <w:rPr>
          <w:rFonts w:hint="eastAsia" w:hAnsi="宋体" w:cs="宋体"/>
          <w:b/>
          <w:highlight w:val="none"/>
        </w:rPr>
        <w:t>量</w:t>
      </w:r>
    </w:p>
    <w:p w14:paraId="5A44D294">
      <w:pPr>
        <w:rPr>
          <w:rFonts w:hint="eastAsia" w:hAnsi="宋体" w:cs="宋体"/>
          <w:highlight w:val="none"/>
        </w:rPr>
      </w:pPr>
      <w:r>
        <w:rPr>
          <w:rFonts w:hint="eastAsia" w:hAnsi="宋体" w:cs="宋体"/>
          <w:b/>
          <w:highlight w:val="none"/>
        </w:rPr>
        <w:t xml:space="preserve">表55                                                                 </w:t>
      </w:r>
      <w:r>
        <w:rPr>
          <w:rFonts w:hint="eastAsia" w:hAnsi="宋体" w:cs="宋体"/>
          <w:highlight w:val="none"/>
        </w:rPr>
        <w:t xml:space="preserve"> 单位</w:t>
      </w:r>
      <w:r>
        <w:rPr>
          <w:rFonts w:hint="eastAsia" w:hAnsi="宋体" w:cs="宋体"/>
          <w:highlight w:val="none"/>
          <w:lang w:eastAsia="zh-CN"/>
        </w:rPr>
        <w:t>：</w:t>
      </w:r>
      <w:r>
        <w:rPr>
          <w:rFonts w:hint="eastAsia" w:hAnsi="宋体" w:cs="宋体"/>
          <w:highlight w:val="none"/>
        </w:rPr>
        <w:t>辆</w:t>
      </w:r>
    </w:p>
    <w:tbl>
      <w:tblPr>
        <w:tblStyle w:val="7"/>
        <w:tblW w:w="4650" w:type="pct"/>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85"/>
        <w:gridCol w:w="2429"/>
        <w:gridCol w:w="2001"/>
      </w:tblGrid>
      <w:tr w14:paraId="1C475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586" w:type="dxa"/>
            <w:vMerge w:val="restart"/>
            <w:noWrap w:val="0"/>
            <w:vAlign w:val="bottom"/>
          </w:tcPr>
          <w:p w14:paraId="06060D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429" w:type="dxa"/>
            <w:vMerge w:val="restart"/>
            <w:noWrap w:val="0"/>
            <w:vAlign w:val="center"/>
          </w:tcPr>
          <w:p w14:paraId="4A2D47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2015年末总计</w:t>
            </w:r>
          </w:p>
        </w:tc>
        <w:tc>
          <w:tcPr>
            <w:tcW w:w="2001" w:type="dxa"/>
            <w:noWrap w:val="0"/>
            <w:vAlign w:val="center"/>
          </w:tcPr>
          <w:p w14:paraId="006002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9BDA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3586" w:type="dxa"/>
            <w:vMerge w:val="continue"/>
            <w:noWrap w:val="0"/>
            <w:vAlign w:val="center"/>
          </w:tcPr>
          <w:p w14:paraId="7D0DCE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429" w:type="dxa"/>
            <w:vMerge w:val="continue"/>
            <w:noWrap w:val="0"/>
            <w:vAlign w:val="center"/>
          </w:tcPr>
          <w:p w14:paraId="0814C3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01" w:type="dxa"/>
            <w:noWrap w:val="0"/>
            <w:vAlign w:val="center"/>
          </w:tcPr>
          <w:p w14:paraId="74825B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#新注册</w:t>
            </w:r>
          </w:p>
        </w:tc>
      </w:tr>
      <w:tr w14:paraId="2EF99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16E2CE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   计</w:t>
            </w:r>
          </w:p>
        </w:tc>
        <w:tc>
          <w:tcPr>
            <w:tcW w:w="2429" w:type="dxa"/>
            <w:noWrap/>
            <w:vAlign w:val="bottom"/>
          </w:tcPr>
          <w:p w14:paraId="777510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34130</w:t>
            </w:r>
          </w:p>
        </w:tc>
        <w:tc>
          <w:tcPr>
            <w:tcW w:w="2001" w:type="dxa"/>
            <w:noWrap/>
            <w:vAlign w:val="bottom"/>
          </w:tcPr>
          <w:p w14:paraId="49866A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3872</w:t>
            </w:r>
          </w:p>
        </w:tc>
      </w:tr>
      <w:tr w14:paraId="7EAE0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04BA24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一、汽车</w:t>
            </w:r>
          </w:p>
        </w:tc>
        <w:tc>
          <w:tcPr>
            <w:tcW w:w="2429" w:type="dxa"/>
            <w:noWrap/>
            <w:vAlign w:val="bottom"/>
          </w:tcPr>
          <w:p w14:paraId="56AACB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16195</w:t>
            </w:r>
          </w:p>
        </w:tc>
        <w:tc>
          <w:tcPr>
            <w:tcW w:w="2001" w:type="dxa"/>
            <w:noWrap/>
            <w:vAlign w:val="bottom"/>
          </w:tcPr>
          <w:p w14:paraId="183DE3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11ECC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3586" w:type="dxa"/>
            <w:noWrap w:val="0"/>
            <w:vAlign w:val="top"/>
          </w:tcPr>
          <w:p w14:paraId="43373E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1.载客汽车</w:t>
            </w:r>
          </w:p>
        </w:tc>
        <w:tc>
          <w:tcPr>
            <w:tcW w:w="2429" w:type="dxa"/>
            <w:noWrap/>
            <w:vAlign w:val="bottom"/>
          </w:tcPr>
          <w:p w14:paraId="2C9E10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13396</w:t>
            </w:r>
          </w:p>
        </w:tc>
        <w:tc>
          <w:tcPr>
            <w:tcW w:w="2001" w:type="dxa"/>
            <w:noWrap/>
            <w:vAlign w:val="bottom"/>
          </w:tcPr>
          <w:p w14:paraId="3A476F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2379</w:t>
            </w:r>
          </w:p>
        </w:tc>
      </w:tr>
      <w:tr w14:paraId="7E5AB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center"/>
          </w:tcPr>
          <w:p w14:paraId="55FF67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其中：大型</w:t>
            </w:r>
          </w:p>
        </w:tc>
        <w:tc>
          <w:tcPr>
            <w:tcW w:w="2429" w:type="dxa"/>
            <w:noWrap/>
            <w:vAlign w:val="bottom"/>
          </w:tcPr>
          <w:p w14:paraId="3C4F09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37</w:t>
            </w:r>
          </w:p>
        </w:tc>
        <w:tc>
          <w:tcPr>
            <w:tcW w:w="2001" w:type="dxa"/>
            <w:noWrap/>
            <w:vAlign w:val="bottom"/>
          </w:tcPr>
          <w:p w14:paraId="34B434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B275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center"/>
          </w:tcPr>
          <w:p w14:paraId="70F991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中型</w:t>
            </w:r>
          </w:p>
        </w:tc>
        <w:tc>
          <w:tcPr>
            <w:tcW w:w="2429" w:type="dxa"/>
            <w:noWrap/>
            <w:vAlign w:val="bottom"/>
          </w:tcPr>
          <w:p w14:paraId="15565B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96</w:t>
            </w:r>
          </w:p>
        </w:tc>
        <w:tc>
          <w:tcPr>
            <w:tcW w:w="2001" w:type="dxa"/>
            <w:noWrap/>
            <w:vAlign w:val="bottom"/>
          </w:tcPr>
          <w:p w14:paraId="2B8509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3555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center"/>
          </w:tcPr>
          <w:p w14:paraId="322FF0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小型</w:t>
            </w:r>
          </w:p>
        </w:tc>
        <w:tc>
          <w:tcPr>
            <w:tcW w:w="2429" w:type="dxa"/>
            <w:noWrap/>
            <w:vAlign w:val="bottom"/>
          </w:tcPr>
          <w:p w14:paraId="657833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13097</w:t>
            </w:r>
          </w:p>
        </w:tc>
        <w:tc>
          <w:tcPr>
            <w:tcW w:w="2001" w:type="dxa"/>
            <w:noWrap/>
            <w:vAlign w:val="bottom"/>
          </w:tcPr>
          <w:p w14:paraId="43E209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2379</w:t>
            </w:r>
          </w:p>
        </w:tc>
      </w:tr>
      <w:tr w14:paraId="4A57B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center"/>
          </w:tcPr>
          <w:p w14:paraId="6649E1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微型</w:t>
            </w:r>
          </w:p>
        </w:tc>
        <w:tc>
          <w:tcPr>
            <w:tcW w:w="2429" w:type="dxa"/>
            <w:noWrap/>
            <w:vAlign w:val="bottom"/>
          </w:tcPr>
          <w:p w14:paraId="773E57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166</w:t>
            </w:r>
          </w:p>
        </w:tc>
        <w:tc>
          <w:tcPr>
            <w:tcW w:w="2001" w:type="dxa"/>
            <w:noWrap/>
            <w:vAlign w:val="bottom"/>
          </w:tcPr>
          <w:p w14:paraId="422F1E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15249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3586" w:type="dxa"/>
            <w:noWrap w:val="0"/>
            <w:vAlign w:val="center"/>
          </w:tcPr>
          <w:p w14:paraId="29FCA7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其中：轿车</w:t>
            </w:r>
          </w:p>
        </w:tc>
        <w:tc>
          <w:tcPr>
            <w:tcW w:w="2429" w:type="dxa"/>
            <w:noWrap/>
            <w:vAlign w:val="bottom"/>
          </w:tcPr>
          <w:p w14:paraId="01DE66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01" w:type="dxa"/>
            <w:noWrap/>
            <w:vAlign w:val="bottom"/>
          </w:tcPr>
          <w:p w14:paraId="0F6AC5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8D84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3586" w:type="dxa"/>
            <w:noWrap w:val="0"/>
            <w:vAlign w:val="top"/>
          </w:tcPr>
          <w:p w14:paraId="536985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2.载货汽车</w:t>
            </w:r>
          </w:p>
        </w:tc>
        <w:tc>
          <w:tcPr>
            <w:tcW w:w="2429" w:type="dxa"/>
            <w:noWrap/>
            <w:vAlign w:val="bottom"/>
          </w:tcPr>
          <w:p w14:paraId="26E394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2766</w:t>
            </w:r>
          </w:p>
        </w:tc>
        <w:tc>
          <w:tcPr>
            <w:tcW w:w="2001" w:type="dxa"/>
            <w:noWrap/>
            <w:vAlign w:val="bottom"/>
          </w:tcPr>
          <w:p w14:paraId="280261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324</w:t>
            </w:r>
          </w:p>
        </w:tc>
      </w:tr>
      <w:tr w14:paraId="249E2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5DDB95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其中：重型</w:t>
            </w:r>
          </w:p>
        </w:tc>
        <w:tc>
          <w:tcPr>
            <w:tcW w:w="2429" w:type="dxa"/>
            <w:noWrap/>
            <w:vAlign w:val="bottom"/>
          </w:tcPr>
          <w:p w14:paraId="378B84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w:t>
            </w:r>
          </w:p>
        </w:tc>
        <w:tc>
          <w:tcPr>
            <w:tcW w:w="2001" w:type="dxa"/>
            <w:noWrap/>
            <w:vAlign w:val="bottom"/>
          </w:tcPr>
          <w:p w14:paraId="209248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A99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54633B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中型</w:t>
            </w:r>
          </w:p>
        </w:tc>
        <w:tc>
          <w:tcPr>
            <w:tcW w:w="2429" w:type="dxa"/>
            <w:noWrap/>
            <w:vAlign w:val="bottom"/>
          </w:tcPr>
          <w:p w14:paraId="33B382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63</w:t>
            </w:r>
          </w:p>
        </w:tc>
        <w:tc>
          <w:tcPr>
            <w:tcW w:w="2001" w:type="dxa"/>
            <w:noWrap/>
            <w:vAlign w:val="bottom"/>
          </w:tcPr>
          <w:p w14:paraId="56D5C8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w:t>
            </w:r>
          </w:p>
        </w:tc>
      </w:tr>
      <w:tr w14:paraId="6725C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3AB47F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轻型</w:t>
            </w:r>
          </w:p>
        </w:tc>
        <w:tc>
          <w:tcPr>
            <w:tcW w:w="2429" w:type="dxa"/>
            <w:noWrap/>
            <w:vAlign w:val="bottom"/>
          </w:tcPr>
          <w:p w14:paraId="6FDA20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2531</w:t>
            </w:r>
          </w:p>
        </w:tc>
        <w:tc>
          <w:tcPr>
            <w:tcW w:w="2001" w:type="dxa"/>
            <w:noWrap/>
            <w:vAlign w:val="bottom"/>
          </w:tcPr>
          <w:p w14:paraId="3902F5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314</w:t>
            </w:r>
          </w:p>
        </w:tc>
      </w:tr>
      <w:tr w14:paraId="3CEF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3586" w:type="dxa"/>
            <w:noWrap w:val="0"/>
            <w:vAlign w:val="top"/>
          </w:tcPr>
          <w:p w14:paraId="2960A4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微型</w:t>
            </w:r>
          </w:p>
        </w:tc>
        <w:tc>
          <w:tcPr>
            <w:tcW w:w="2429" w:type="dxa"/>
            <w:noWrap/>
            <w:vAlign w:val="bottom"/>
          </w:tcPr>
          <w:p w14:paraId="72D029E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151</w:t>
            </w:r>
          </w:p>
        </w:tc>
        <w:tc>
          <w:tcPr>
            <w:tcW w:w="2001" w:type="dxa"/>
            <w:noWrap/>
            <w:vAlign w:val="bottom"/>
          </w:tcPr>
          <w:p w14:paraId="395A9F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7DBA5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3586" w:type="dxa"/>
            <w:noWrap w:val="0"/>
            <w:vAlign w:val="center"/>
          </w:tcPr>
          <w:p w14:paraId="38342A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其中：普通载货</w:t>
            </w:r>
          </w:p>
        </w:tc>
        <w:tc>
          <w:tcPr>
            <w:tcW w:w="2429" w:type="dxa"/>
            <w:noWrap/>
            <w:vAlign w:val="bottom"/>
          </w:tcPr>
          <w:p w14:paraId="0D65FF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01" w:type="dxa"/>
            <w:noWrap/>
            <w:vAlign w:val="bottom"/>
          </w:tcPr>
          <w:p w14:paraId="169094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1BC06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6814E83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3.其他汽车</w:t>
            </w:r>
          </w:p>
        </w:tc>
        <w:tc>
          <w:tcPr>
            <w:tcW w:w="2429" w:type="dxa"/>
            <w:noWrap/>
            <w:vAlign w:val="bottom"/>
          </w:tcPr>
          <w:p w14:paraId="6CBFFF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w:t>
            </w:r>
          </w:p>
        </w:tc>
        <w:tc>
          <w:tcPr>
            <w:tcW w:w="2001" w:type="dxa"/>
            <w:noWrap/>
            <w:vAlign w:val="bottom"/>
          </w:tcPr>
          <w:p w14:paraId="6CE88F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r>
      <w:tr w14:paraId="149C5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74281E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其中：三轮汽车</w:t>
            </w:r>
          </w:p>
        </w:tc>
        <w:tc>
          <w:tcPr>
            <w:tcW w:w="2429" w:type="dxa"/>
            <w:noWrap/>
            <w:vAlign w:val="bottom"/>
          </w:tcPr>
          <w:p w14:paraId="466483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01" w:type="dxa"/>
            <w:noWrap/>
            <w:vAlign w:val="bottom"/>
          </w:tcPr>
          <w:p w14:paraId="5B12DE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994B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center"/>
          </w:tcPr>
          <w:p w14:paraId="30748C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低速货车</w:t>
            </w:r>
          </w:p>
        </w:tc>
        <w:tc>
          <w:tcPr>
            <w:tcW w:w="2429" w:type="dxa"/>
            <w:noWrap/>
            <w:vAlign w:val="bottom"/>
          </w:tcPr>
          <w:p w14:paraId="6FF14E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w:t>
            </w:r>
          </w:p>
        </w:tc>
        <w:tc>
          <w:tcPr>
            <w:tcW w:w="2001" w:type="dxa"/>
            <w:noWrap/>
            <w:vAlign w:val="bottom"/>
          </w:tcPr>
          <w:p w14:paraId="6EC5E2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w:t>
            </w:r>
          </w:p>
        </w:tc>
      </w:tr>
      <w:tr w14:paraId="3D6CD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4727CB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二、电车</w:t>
            </w:r>
          </w:p>
        </w:tc>
        <w:tc>
          <w:tcPr>
            <w:tcW w:w="2429" w:type="dxa"/>
            <w:noWrap/>
            <w:vAlign w:val="bottom"/>
          </w:tcPr>
          <w:p w14:paraId="588979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01" w:type="dxa"/>
            <w:noWrap/>
            <w:vAlign w:val="bottom"/>
          </w:tcPr>
          <w:p w14:paraId="0704A9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01CD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386782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三、摩托车</w:t>
            </w:r>
          </w:p>
        </w:tc>
        <w:tc>
          <w:tcPr>
            <w:tcW w:w="2429" w:type="dxa"/>
            <w:noWrap/>
            <w:vAlign w:val="bottom"/>
          </w:tcPr>
          <w:p w14:paraId="29ECF6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17714</w:t>
            </w:r>
          </w:p>
        </w:tc>
        <w:tc>
          <w:tcPr>
            <w:tcW w:w="2001" w:type="dxa"/>
            <w:noWrap/>
            <w:vAlign w:val="bottom"/>
          </w:tcPr>
          <w:p w14:paraId="4122B1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1160</w:t>
            </w:r>
          </w:p>
        </w:tc>
      </w:tr>
      <w:tr w14:paraId="64232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231FEE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1.普通</w:t>
            </w:r>
          </w:p>
        </w:tc>
        <w:tc>
          <w:tcPr>
            <w:tcW w:w="2429" w:type="dxa"/>
            <w:noWrap/>
            <w:vAlign w:val="bottom"/>
          </w:tcPr>
          <w:p w14:paraId="4A2A48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17712</w:t>
            </w:r>
          </w:p>
        </w:tc>
        <w:tc>
          <w:tcPr>
            <w:tcW w:w="2001" w:type="dxa"/>
            <w:noWrap/>
            <w:vAlign w:val="bottom"/>
          </w:tcPr>
          <w:p w14:paraId="344D004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1160</w:t>
            </w:r>
          </w:p>
        </w:tc>
      </w:tr>
      <w:tr w14:paraId="4A10D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3586" w:type="dxa"/>
            <w:noWrap w:val="0"/>
            <w:vAlign w:val="top"/>
          </w:tcPr>
          <w:p w14:paraId="04ED84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2.轻便</w:t>
            </w:r>
          </w:p>
        </w:tc>
        <w:tc>
          <w:tcPr>
            <w:tcW w:w="2429" w:type="dxa"/>
            <w:noWrap/>
            <w:vAlign w:val="bottom"/>
          </w:tcPr>
          <w:p w14:paraId="7BD0A26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c>
          <w:tcPr>
            <w:tcW w:w="2001" w:type="dxa"/>
            <w:noWrap/>
            <w:vAlign w:val="bottom"/>
          </w:tcPr>
          <w:p w14:paraId="5D97C0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0B9F7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7D2F56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四、拖拉机</w:t>
            </w:r>
          </w:p>
        </w:tc>
        <w:tc>
          <w:tcPr>
            <w:tcW w:w="2429" w:type="dxa"/>
            <w:noWrap/>
            <w:vAlign w:val="bottom"/>
          </w:tcPr>
          <w:p w14:paraId="7759B1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2001" w:type="dxa"/>
            <w:noWrap/>
            <w:vAlign w:val="bottom"/>
          </w:tcPr>
          <w:p w14:paraId="7BB022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CA3A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trPr>
        <w:tc>
          <w:tcPr>
            <w:tcW w:w="3586" w:type="dxa"/>
            <w:noWrap w:val="0"/>
            <w:vAlign w:val="top"/>
          </w:tcPr>
          <w:p w14:paraId="0641E7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五、挂车</w:t>
            </w:r>
          </w:p>
        </w:tc>
        <w:tc>
          <w:tcPr>
            <w:tcW w:w="2429" w:type="dxa"/>
            <w:noWrap/>
            <w:vAlign w:val="bottom"/>
          </w:tcPr>
          <w:p w14:paraId="389BE0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2001" w:type="dxa"/>
            <w:noWrap/>
            <w:vAlign w:val="bottom"/>
          </w:tcPr>
          <w:p w14:paraId="3B6E39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5B145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3586" w:type="dxa"/>
            <w:noWrap w:val="0"/>
            <w:vAlign w:val="top"/>
          </w:tcPr>
          <w:p w14:paraId="54BD2F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六、其他类型车</w:t>
            </w:r>
          </w:p>
        </w:tc>
        <w:tc>
          <w:tcPr>
            <w:tcW w:w="2429" w:type="dxa"/>
            <w:noWrap/>
            <w:vAlign w:val="bottom"/>
          </w:tcPr>
          <w:p w14:paraId="29378F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205</w:t>
            </w:r>
          </w:p>
        </w:tc>
        <w:tc>
          <w:tcPr>
            <w:tcW w:w="2001" w:type="dxa"/>
            <w:noWrap/>
            <w:vAlign w:val="bottom"/>
          </w:tcPr>
          <w:p w14:paraId="786706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136D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8016" w:type="dxa"/>
            <w:gridSpan w:val="3"/>
            <w:noWrap w:val="0"/>
            <w:vAlign w:val="top"/>
          </w:tcPr>
          <w:p w14:paraId="1C5D49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补充资料：机动车驾驶员66306人，汽车驾驶员42487人。</w:t>
            </w:r>
          </w:p>
        </w:tc>
      </w:tr>
    </w:tbl>
    <w:p w14:paraId="58BFC5EB">
      <w:pPr>
        <w:jc w:val="center"/>
        <w:rPr>
          <w:rFonts w:hint="eastAsia" w:hAnsi="宋体" w:cs="宋体"/>
          <w:highlight w:val="none"/>
        </w:rPr>
      </w:pPr>
      <w:r>
        <w:rPr>
          <w:rFonts w:hint="eastAsia" w:hAnsi="宋体" w:cs="宋体"/>
          <w:highlight w:val="none"/>
        </w:rPr>
        <w:t>全市从业人员情况</w:t>
      </w:r>
    </w:p>
    <w:p w14:paraId="091C6828">
      <w:pPr>
        <w:rPr>
          <w:rFonts w:hint="eastAsia" w:hAnsi="宋体" w:eastAsia="宋体" w:cs="宋体"/>
          <w:highlight w:val="none"/>
          <w:lang w:eastAsia="zh-CN"/>
        </w:rPr>
      </w:pPr>
      <w:r>
        <w:rPr>
          <w:rFonts w:hint="eastAsia" w:hAnsi="宋体" w:cs="宋体"/>
          <w:highlight w:val="none"/>
        </w:rPr>
        <w:t>表56</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03"/>
        <w:gridCol w:w="3015"/>
      </w:tblGrid>
      <w:tr w14:paraId="70AEF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460" w:type="dxa"/>
            <w:noWrap w:val="0"/>
            <w:vAlign w:val="center"/>
          </w:tcPr>
          <w:p w14:paraId="25006C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指标名称</w:t>
            </w:r>
          </w:p>
        </w:tc>
        <w:tc>
          <w:tcPr>
            <w:tcW w:w="2400" w:type="dxa"/>
            <w:noWrap w:val="0"/>
            <w:vAlign w:val="center"/>
          </w:tcPr>
          <w:p w14:paraId="6905A3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从业人员期末人数（人）</w:t>
            </w:r>
          </w:p>
        </w:tc>
      </w:tr>
      <w:tr w14:paraId="32048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0BEE43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   计</w:t>
            </w:r>
          </w:p>
        </w:tc>
        <w:tc>
          <w:tcPr>
            <w:tcW w:w="2400" w:type="dxa"/>
            <w:noWrap/>
            <w:vAlign w:val="bottom"/>
          </w:tcPr>
          <w:p w14:paraId="54FE54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182460</w:t>
            </w:r>
          </w:p>
        </w:tc>
      </w:tr>
      <w:tr w14:paraId="14578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00F5EF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一、按登记注册类型分组</w:t>
            </w:r>
          </w:p>
        </w:tc>
        <w:tc>
          <w:tcPr>
            <w:tcW w:w="2400" w:type="dxa"/>
            <w:noWrap/>
            <w:vAlign w:val="bottom"/>
          </w:tcPr>
          <w:p w14:paraId="49307A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2F6A8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31FCA2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1．国有单位</w:t>
            </w:r>
          </w:p>
        </w:tc>
        <w:tc>
          <w:tcPr>
            <w:tcW w:w="2400" w:type="dxa"/>
            <w:noWrap/>
            <w:vAlign w:val="bottom"/>
          </w:tcPr>
          <w:p w14:paraId="236CBD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14443</w:t>
            </w:r>
          </w:p>
        </w:tc>
      </w:tr>
      <w:tr w14:paraId="01714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624F30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2．集体单位</w:t>
            </w:r>
          </w:p>
        </w:tc>
        <w:tc>
          <w:tcPr>
            <w:tcW w:w="2400" w:type="dxa"/>
            <w:noWrap/>
            <w:vAlign w:val="bottom"/>
          </w:tcPr>
          <w:p w14:paraId="742E2C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94860</w:t>
            </w:r>
          </w:p>
        </w:tc>
      </w:tr>
      <w:tr w14:paraId="7D0BA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2DD0FC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3．股份合作单位</w:t>
            </w:r>
          </w:p>
        </w:tc>
        <w:tc>
          <w:tcPr>
            <w:tcW w:w="2400" w:type="dxa"/>
            <w:noWrap/>
            <w:vAlign w:val="bottom"/>
          </w:tcPr>
          <w:p w14:paraId="64E170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4038</w:t>
            </w:r>
          </w:p>
        </w:tc>
      </w:tr>
      <w:tr w14:paraId="32601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505403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4．联营单位</w:t>
            </w:r>
          </w:p>
        </w:tc>
        <w:tc>
          <w:tcPr>
            <w:tcW w:w="2400" w:type="dxa"/>
            <w:noWrap/>
            <w:vAlign w:val="bottom"/>
          </w:tcPr>
          <w:p w14:paraId="360C90D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5310</w:t>
            </w:r>
          </w:p>
        </w:tc>
      </w:tr>
      <w:tr w14:paraId="5CE17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168979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5．有限责任公司</w:t>
            </w:r>
          </w:p>
        </w:tc>
        <w:tc>
          <w:tcPr>
            <w:tcW w:w="2400" w:type="dxa"/>
            <w:noWrap/>
            <w:vAlign w:val="bottom"/>
          </w:tcPr>
          <w:p w14:paraId="31CAE2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10179</w:t>
            </w:r>
          </w:p>
        </w:tc>
      </w:tr>
      <w:tr w14:paraId="622CE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06AC7E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6．股份有限公司</w:t>
            </w:r>
          </w:p>
        </w:tc>
        <w:tc>
          <w:tcPr>
            <w:tcW w:w="2400" w:type="dxa"/>
            <w:noWrap/>
            <w:vAlign w:val="bottom"/>
          </w:tcPr>
          <w:p w14:paraId="0AC678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2649</w:t>
            </w:r>
          </w:p>
        </w:tc>
      </w:tr>
      <w:tr w14:paraId="43E0C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580FA7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7．外商投资单位</w:t>
            </w:r>
          </w:p>
        </w:tc>
        <w:tc>
          <w:tcPr>
            <w:tcW w:w="2400" w:type="dxa"/>
            <w:noWrap/>
            <w:vAlign w:val="bottom"/>
          </w:tcPr>
          <w:p w14:paraId="36B6CB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51</w:t>
            </w:r>
          </w:p>
        </w:tc>
      </w:tr>
      <w:tr w14:paraId="25614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6948DC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8．港澳台投资单位</w:t>
            </w:r>
          </w:p>
        </w:tc>
        <w:tc>
          <w:tcPr>
            <w:tcW w:w="2400" w:type="dxa"/>
            <w:noWrap/>
            <w:vAlign w:val="bottom"/>
          </w:tcPr>
          <w:p w14:paraId="5B39D9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728</w:t>
            </w:r>
          </w:p>
        </w:tc>
      </w:tr>
      <w:tr w14:paraId="2D586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141B00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9．私营企业</w:t>
            </w:r>
          </w:p>
        </w:tc>
        <w:tc>
          <w:tcPr>
            <w:tcW w:w="2400" w:type="dxa"/>
            <w:noWrap/>
            <w:vAlign w:val="bottom"/>
          </w:tcPr>
          <w:p w14:paraId="1F3CB3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14211</w:t>
            </w:r>
          </w:p>
        </w:tc>
      </w:tr>
      <w:tr w14:paraId="05C23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3E34A1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10．个体经济</w:t>
            </w:r>
          </w:p>
        </w:tc>
        <w:tc>
          <w:tcPr>
            <w:tcW w:w="2400" w:type="dxa"/>
            <w:noWrap/>
            <w:vAlign w:val="bottom"/>
          </w:tcPr>
          <w:p w14:paraId="41E55A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35991</w:t>
            </w:r>
          </w:p>
        </w:tc>
      </w:tr>
      <w:tr w14:paraId="47835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ign w:val="center"/>
          </w:tcPr>
          <w:p w14:paraId="3A6431D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11．其他经济</w:t>
            </w:r>
          </w:p>
        </w:tc>
        <w:tc>
          <w:tcPr>
            <w:tcW w:w="2400" w:type="dxa"/>
            <w:noWrap/>
            <w:vAlign w:val="bottom"/>
          </w:tcPr>
          <w:p w14:paraId="5E42EF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1042F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3CED13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二、按行业分组</w:t>
            </w:r>
          </w:p>
        </w:tc>
        <w:tc>
          <w:tcPr>
            <w:tcW w:w="2400" w:type="dxa"/>
            <w:noWrap/>
            <w:vAlign w:val="bottom"/>
          </w:tcPr>
          <w:p w14:paraId="75CD84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49140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3FC01A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1.农、林、牧、渔业</w:t>
            </w:r>
          </w:p>
        </w:tc>
        <w:tc>
          <w:tcPr>
            <w:tcW w:w="2400" w:type="dxa"/>
            <w:noWrap/>
            <w:vAlign w:val="bottom"/>
          </w:tcPr>
          <w:p w14:paraId="467CF6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94384</w:t>
            </w:r>
          </w:p>
        </w:tc>
      </w:tr>
      <w:tr w14:paraId="10E39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382D94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2.采掘业</w:t>
            </w:r>
          </w:p>
        </w:tc>
        <w:tc>
          <w:tcPr>
            <w:tcW w:w="2400" w:type="dxa"/>
            <w:noWrap/>
            <w:vAlign w:val="bottom"/>
          </w:tcPr>
          <w:p w14:paraId="1BBF8F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1241</w:t>
            </w:r>
          </w:p>
        </w:tc>
      </w:tr>
      <w:tr w14:paraId="2F8B5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2FF793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3.制造业</w:t>
            </w:r>
          </w:p>
        </w:tc>
        <w:tc>
          <w:tcPr>
            <w:tcW w:w="2400" w:type="dxa"/>
            <w:noWrap/>
            <w:vAlign w:val="bottom"/>
          </w:tcPr>
          <w:p w14:paraId="768268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18602</w:t>
            </w:r>
          </w:p>
        </w:tc>
      </w:tr>
      <w:tr w14:paraId="52AA8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7ABE77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4.电力、热气、燃气及水的生产和供应业</w:t>
            </w:r>
          </w:p>
        </w:tc>
        <w:tc>
          <w:tcPr>
            <w:tcW w:w="2400" w:type="dxa"/>
            <w:noWrap/>
            <w:vAlign w:val="bottom"/>
          </w:tcPr>
          <w:p w14:paraId="5CD80E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2476</w:t>
            </w:r>
          </w:p>
        </w:tc>
      </w:tr>
      <w:tr w14:paraId="5B137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0DA6D3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5.建筑业</w:t>
            </w:r>
          </w:p>
        </w:tc>
        <w:tc>
          <w:tcPr>
            <w:tcW w:w="2400" w:type="dxa"/>
            <w:noWrap/>
            <w:vAlign w:val="bottom"/>
          </w:tcPr>
          <w:p w14:paraId="57280C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10548</w:t>
            </w:r>
          </w:p>
        </w:tc>
      </w:tr>
      <w:tr w14:paraId="0B459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741922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6.批发和零售业 </w:t>
            </w:r>
          </w:p>
        </w:tc>
        <w:tc>
          <w:tcPr>
            <w:tcW w:w="2400" w:type="dxa"/>
            <w:noWrap/>
            <w:vAlign w:val="bottom"/>
          </w:tcPr>
          <w:p w14:paraId="05FC0D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21314</w:t>
            </w:r>
          </w:p>
        </w:tc>
      </w:tr>
      <w:tr w14:paraId="482EE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575B03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7.交通运输、仓储和邮政业</w:t>
            </w:r>
          </w:p>
        </w:tc>
        <w:tc>
          <w:tcPr>
            <w:tcW w:w="2400" w:type="dxa"/>
            <w:noWrap/>
            <w:vAlign w:val="bottom"/>
          </w:tcPr>
          <w:p w14:paraId="55690C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5367</w:t>
            </w:r>
          </w:p>
        </w:tc>
      </w:tr>
      <w:tr w14:paraId="2FB4F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324A47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8.住宿和餐饮业</w:t>
            </w:r>
          </w:p>
        </w:tc>
        <w:tc>
          <w:tcPr>
            <w:tcW w:w="2400" w:type="dxa"/>
            <w:noWrap/>
            <w:vAlign w:val="bottom"/>
          </w:tcPr>
          <w:p w14:paraId="6F588D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3442</w:t>
            </w:r>
          </w:p>
        </w:tc>
      </w:tr>
      <w:tr w14:paraId="3F2B8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5A2390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9.信息传输、软件和信息技术服务业</w:t>
            </w:r>
          </w:p>
        </w:tc>
        <w:tc>
          <w:tcPr>
            <w:tcW w:w="2400" w:type="dxa"/>
            <w:noWrap/>
            <w:vAlign w:val="bottom"/>
          </w:tcPr>
          <w:p w14:paraId="063C5F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1594</w:t>
            </w:r>
          </w:p>
        </w:tc>
      </w:tr>
      <w:tr w14:paraId="74458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4827B6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10.金融业</w:t>
            </w:r>
          </w:p>
        </w:tc>
        <w:tc>
          <w:tcPr>
            <w:tcW w:w="2400" w:type="dxa"/>
            <w:noWrap/>
            <w:vAlign w:val="bottom"/>
          </w:tcPr>
          <w:p w14:paraId="37A240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613</w:t>
            </w:r>
          </w:p>
        </w:tc>
      </w:tr>
      <w:tr w14:paraId="0F494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77C45AF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11.房地产业</w:t>
            </w:r>
          </w:p>
        </w:tc>
        <w:tc>
          <w:tcPr>
            <w:tcW w:w="2400" w:type="dxa"/>
            <w:noWrap/>
            <w:vAlign w:val="bottom"/>
          </w:tcPr>
          <w:p w14:paraId="7F7802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979</w:t>
            </w:r>
          </w:p>
        </w:tc>
      </w:tr>
      <w:tr w14:paraId="1134A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43CE443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12.租赁和商务服务业</w:t>
            </w:r>
          </w:p>
        </w:tc>
        <w:tc>
          <w:tcPr>
            <w:tcW w:w="2400" w:type="dxa"/>
            <w:noWrap/>
            <w:vAlign w:val="bottom"/>
          </w:tcPr>
          <w:p w14:paraId="3D01C4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2531</w:t>
            </w:r>
          </w:p>
        </w:tc>
      </w:tr>
      <w:tr w14:paraId="1A932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31E711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13.科学研究和技术服务业</w:t>
            </w:r>
          </w:p>
        </w:tc>
        <w:tc>
          <w:tcPr>
            <w:tcW w:w="2400" w:type="dxa"/>
            <w:noWrap/>
            <w:vAlign w:val="bottom"/>
          </w:tcPr>
          <w:p w14:paraId="7E3CB8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756</w:t>
            </w:r>
          </w:p>
        </w:tc>
      </w:tr>
      <w:tr w14:paraId="3CB7E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598107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14.水利、环境和公共设施管理业</w:t>
            </w:r>
          </w:p>
        </w:tc>
        <w:tc>
          <w:tcPr>
            <w:tcW w:w="2400" w:type="dxa"/>
            <w:noWrap/>
            <w:vAlign w:val="bottom"/>
          </w:tcPr>
          <w:p w14:paraId="7F9F8E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680</w:t>
            </w:r>
          </w:p>
        </w:tc>
      </w:tr>
      <w:tr w14:paraId="0F128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60D578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15.居民服务、修理和其他服务业</w:t>
            </w:r>
          </w:p>
        </w:tc>
        <w:tc>
          <w:tcPr>
            <w:tcW w:w="2400" w:type="dxa"/>
            <w:noWrap/>
            <w:vAlign w:val="bottom"/>
          </w:tcPr>
          <w:p w14:paraId="3925AA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1586</w:t>
            </w:r>
          </w:p>
        </w:tc>
      </w:tr>
      <w:tr w14:paraId="09227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76BAC1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16.教育</w:t>
            </w:r>
          </w:p>
        </w:tc>
        <w:tc>
          <w:tcPr>
            <w:tcW w:w="2400" w:type="dxa"/>
            <w:noWrap/>
            <w:vAlign w:val="bottom"/>
          </w:tcPr>
          <w:p w14:paraId="7DAEA1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5902</w:t>
            </w:r>
          </w:p>
        </w:tc>
      </w:tr>
      <w:tr w14:paraId="605CC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51B5EB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17.卫生和社会工作</w:t>
            </w:r>
          </w:p>
        </w:tc>
        <w:tc>
          <w:tcPr>
            <w:tcW w:w="2400" w:type="dxa"/>
            <w:noWrap/>
            <w:vAlign w:val="bottom"/>
          </w:tcPr>
          <w:p w14:paraId="0DA243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2035</w:t>
            </w:r>
          </w:p>
        </w:tc>
      </w:tr>
      <w:tr w14:paraId="112DD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2905F1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18.文化、体育和娱乐业</w:t>
            </w:r>
          </w:p>
        </w:tc>
        <w:tc>
          <w:tcPr>
            <w:tcW w:w="2400" w:type="dxa"/>
            <w:noWrap/>
            <w:vAlign w:val="bottom"/>
          </w:tcPr>
          <w:p w14:paraId="11128A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1584</w:t>
            </w:r>
          </w:p>
        </w:tc>
      </w:tr>
      <w:tr w14:paraId="56575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60" w:type="dxa"/>
            <w:noWrap w:val="0"/>
            <w:vAlign w:val="top"/>
          </w:tcPr>
          <w:p w14:paraId="4DBB1C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19.公共管理、社会保障和社会组织</w:t>
            </w:r>
          </w:p>
        </w:tc>
        <w:tc>
          <w:tcPr>
            <w:tcW w:w="2400" w:type="dxa"/>
            <w:noWrap/>
            <w:vAlign w:val="bottom"/>
          </w:tcPr>
          <w:p w14:paraId="3EFCAF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6826</w:t>
            </w:r>
          </w:p>
        </w:tc>
      </w:tr>
    </w:tbl>
    <w:p w14:paraId="23F65823">
      <w:pPr>
        <w:jc w:val="center"/>
        <w:rPr>
          <w:rFonts w:hint="eastAsia" w:hAnsi="宋体" w:cs="宋体"/>
          <w:highlight w:val="none"/>
        </w:rPr>
      </w:pPr>
      <w:r>
        <w:rPr>
          <w:rFonts w:hint="eastAsia" w:hAnsi="宋体" w:cs="宋体"/>
          <w:highlight w:val="none"/>
        </w:rPr>
        <w:t>全市教育情况</w:t>
      </w:r>
    </w:p>
    <w:p w14:paraId="678AFC22">
      <w:pPr>
        <w:rPr>
          <w:rFonts w:hint="eastAsia" w:hAnsi="宋体" w:eastAsia="宋体" w:cs="宋体"/>
          <w:highlight w:val="none"/>
          <w:lang w:eastAsia="zh-CN"/>
        </w:rPr>
      </w:pPr>
      <w:r>
        <w:rPr>
          <w:rFonts w:hint="eastAsia" w:hAnsi="宋体" w:cs="宋体"/>
          <w:highlight w:val="none"/>
        </w:rPr>
        <w:t>表57</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4"/>
        <w:gridCol w:w="1531"/>
        <w:gridCol w:w="1531"/>
        <w:gridCol w:w="1531"/>
        <w:gridCol w:w="1531"/>
      </w:tblGrid>
      <w:tr w14:paraId="41DD4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7CBC93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1531" w:type="dxa"/>
            <w:noWrap w:val="0"/>
            <w:vAlign w:val="center"/>
          </w:tcPr>
          <w:p w14:paraId="0A03264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学校数（所）</w:t>
            </w:r>
          </w:p>
        </w:tc>
        <w:tc>
          <w:tcPr>
            <w:tcW w:w="1531" w:type="dxa"/>
            <w:noWrap w:val="0"/>
            <w:vAlign w:val="center"/>
          </w:tcPr>
          <w:p w14:paraId="77EF0A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招生数（人）</w:t>
            </w:r>
          </w:p>
        </w:tc>
        <w:tc>
          <w:tcPr>
            <w:tcW w:w="1531" w:type="dxa"/>
            <w:noWrap w:val="0"/>
            <w:vAlign w:val="center"/>
          </w:tcPr>
          <w:p w14:paraId="6191A6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在校学生（人）</w:t>
            </w:r>
          </w:p>
        </w:tc>
        <w:tc>
          <w:tcPr>
            <w:tcW w:w="1531" w:type="dxa"/>
            <w:noWrap w:val="0"/>
            <w:vAlign w:val="center"/>
          </w:tcPr>
          <w:p w14:paraId="0BA828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毕业人数（人）</w:t>
            </w:r>
          </w:p>
        </w:tc>
      </w:tr>
      <w:tr w14:paraId="3C2E5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3DD573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幼儿园</w:t>
            </w:r>
          </w:p>
        </w:tc>
        <w:tc>
          <w:tcPr>
            <w:tcW w:w="1531" w:type="dxa"/>
            <w:noWrap w:val="0"/>
            <w:vAlign w:val="center"/>
          </w:tcPr>
          <w:p w14:paraId="1677ED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60</w:t>
            </w:r>
          </w:p>
        </w:tc>
        <w:tc>
          <w:tcPr>
            <w:tcW w:w="1531" w:type="dxa"/>
            <w:noWrap w:val="0"/>
            <w:vAlign w:val="center"/>
          </w:tcPr>
          <w:p w14:paraId="207734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6212</w:t>
            </w:r>
          </w:p>
        </w:tc>
        <w:tc>
          <w:tcPr>
            <w:tcW w:w="1531" w:type="dxa"/>
            <w:noWrap w:val="0"/>
            <w:vAlign w:val="center"/>
          </w:tcPr>
          <w:p w14:paraId="77EB2D1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15128</w:t>
            </w:r>
          </w:p>
        </w:tc>
        <w:tc>
          <w:tcPr>
            <w:tcW w:w="1531" w:type="dxa"/>
            <w:noWrap w:val="0"/>
            <w:vAlign w:val="center"/>
          </w:tcPr>
          <w:p w14:paraId="784FEB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5226</w:t>
            </w:r>
          </w:p>
        </w:tc>
      </w:tr>
      <w:tr w14:paraId="3FF51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5E4DAB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义务教育</w:t>
            </w:r>
          </w:p>
        </w:tc>
        <w:tc>
          <w:tcPr>
            <w:tcW w:w="1531" w:type="dxa"/>
            <w:noWrap w:val="0"/>
            <w:vAlign w:val="center"/>
          </w:tcPr>
          <w:p w14:paraId="359F92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45</w:t>
            </w:r>
          </w:p>
        </w:tc>
        <w:tc>
          <w:tcPr>
            <w:tcW w:w="1531" w:type="dxa"/>
            <w:noWrap w:val="0"/>
            <w:vAlign w:val="center"/>
          </w:tcPr>
          <w:p w14:paraId="2AA0FE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9384</w:t>
            </w:r>
          </w:p>
        </w:tc>
        <w:tc>
          <w:tcPr>
            <w:tcW w:w="1531" w:type="dxa"/>
            <w:noWrap w:val="0"/>
            <w:vAlign w:val="center"/>
          </w:tcPr>
          <w:p w14:paraId="5E88F4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40506</w:t>
            </w:r>
          </w:p>
        </w:tc>
        <w:tc>
          <w:tcPr>
            <w:tcW w:w="1531" w:type="dxa"/>
            <w:noWrap w:val="0"/>
            <w:vAlign w:val="center"/>
          </w:tcPr>
          <w:p w14:paraId="7CC285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8816</w:t>
            </w:r>
          </w:p>
        </w:tc>
      </w:tr>
      <w:tr w14:paraId="770D7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1D9510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#：小学</w:t>
            </w:r>
          </w:p>
        </w:tc>
        <w:tc>
          <w:tcPr>
            <w:tcW w:w="1531" w:type="dxa"/>
            <w:noWrap w:val="0"/>
            <w:vAlign w:val="center"/>
          </w:tcPr>
          <w:p w14:paraId="15BF4E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29</w:t>
            </w:r>
          </w:p>
        </w:tc>
        <w:tc>
          <w:tcPr>
            <w:tcW w:w="1531" w:type="dxa"/>
            <w:noWrap w:val="0"/>
            <w:vAlign w:val="center"/>
          </w:tcPr>
          <w:p w14:paraId="56811D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5009</w:t>
            </w:r>
          </w:p>
        </w:tc>
        <w:tc>
          <w:tcPr>
            <w:tcW w:w="1531" w:type="dxa"/>
            <w:noWrap w:val="0"/>
            <w:vAlign w:val="center"/>
          </w:tcPr>
          <w:p w14:paraId="380E44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27772</w:t>
            </w:r>
          </w:p>
        </w:tc>
        <w:tc>
          <w:tcPr>
            <w:tcW w:w="1531" w:type="dxa"/>
            <w:noWrap w:val="0"/>
            <w:vAlign w:val="center"/>
          </w:tcPr>
          <w:p w14:paraId="1F4C66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4362</w:t>
            </w:r>
          </w:p>
        </w:tc>
      </w:tr>
      <w:tr w14:paraId="23E33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7C0358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初中</w:t>
            </w:r>
          </w:p>
        </w:tc>
        <w:tc>
          <w:tcPr>
            <w:tcW w:w="1531" w:type="dxa"/>
            <w:noWrap w:val="0"/>
            <w:vAlign w:val="center"/>
          </w:tcPr>
          <w:p w14:paraId="731E56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c>
          <w:tcPr>
            <w:tcW w:w="1531" w:type="dxa"/>
            <w:noWrap w:val="0"/>
            <w:vAlign w:val="center"/>
          </w:tcPr>
          <w:p w14:paraId="026FA7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4375</w:t>
            </w:r>
          </w:p>
        </w:tc>
        <w:tc>
          <w:tcPr>
            <w:tcW w:w="1531" w:type="dxa"/>
            <w:noWrap w:val="0"/>
            <w:vAlign w:val="center"/>
          </w:tcPr>
          <w:p w14:paraId="2B8C2C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12734</w:t>
            </w:r>
          </w:p>
        </w:tc>
        <w:tc>
          <w:tcPr>
            <w:tcW w:w="1531" w:type="dxa"/>
            <w:noWrap w:val="0"/>
            <w:vAlign w:val="center"/>
          </w:tcPr>
          <w:p w14:paraId="5AE743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4454</w:t>
            </w:r>
          </w:p>
        </w:tc>
      </w:tr>
      <w:tr w14:paraId="16A8C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465569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高中</w:t>
            </w:r>
          </w:p>
        </w:tc>
        <w:tc>
          <w:tcPr>
            <w:tcW w:w="1531" w:type="dxa"/>
            <w:noWrap w:val="0"/>
            <w:vAlign w:val="center"/>
          </w:tcPr>
          <w:p w14:paraId="51A21E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531" w:type="dxa"/>
            <w:noWrap w:val="0"/>
            <w:vAlign w:val="center"/>
          </w:tcPr>
          <w:p w14:paraId="528C53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2828</w:t>
            </w:r>
          </w:p>
        </w:tc>
        <w:tc>
          <w:tcPr>
            <w:tcW w:w="1531" w:type="dxa"/>
            <w:noWrap w:val="0"/>
            <w:vAlign w:val="center"/>
          </w:tcPr>
          <w:p w14:paraId="2088B0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9314</w:t>
            </w:r>
          </w:p>
        </w:tc>
        <w:tc>
          <w:tcPr>
            <w:tcW w:w="1531" w:type="dxa"/>
            <w:noWrap w:val="0"/>
            <w:vAlign w:val="center"/>
          </w:tcPr>
          <w:p w14:paraId="7B2704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3306</w:t>
            </w:r>
          </w:p>
        </w:tc>
      </w:tr>
      <w:tr w14:paraId="74B82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621CBB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特殊教育学校</w:t>
            </w:r>
          </w:p>
        </w:tc>
        <w:tc>
          <w:tcPr>
            <w:tcW w:w="1531" w:type="dxa"/>
            <w:noWrap w:val="0"/>
            <w:vAlign w:val="center"/>
          </w:tcPr>
          <w:p w14:paraId="5C7FAE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531" w:type="dxa"/>
            <w:noWrap w:val="0"/>
            <w:vAlign w:val="center"/>
          </w:tcPr>
          <w:p w14:paraId="3401B8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c>
          <w:tcPr>
            <w:tcW w:w="1531" w:type="dxa"/>
            <w:noWrap w:val="0"/>
            <w:vAlign w:val="center"/>
          </w:tcPr>
          <w:p w14:paraId="6AA2E1C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68</w:t>
            </w:r>
          </w:p>
        </w:tc>
        <w:tc>
          <w:tcPr>
            <w:tcW w:w="1531" w:type="dxa"/>
            <w:noWrap w:val="0"/>
            <w:vAlign w:val="center"/>
          </w:tcPr>
          <w:p w14:paraId="1B7E46E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16</w:t>
            </w:r>
          </w:p>
        </w:tc>
      </w:tr>
      <w:tr w14:paraId="5FE09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693240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中等职业学校</w:t>
            </w:r>
          </w:p>
        </w:tc>
        <w:tc>
          <w:tcPr>
            <w:tcW w:w="1531" w:type="dxa"/>
            <w:noWrap w:val="0"/>
            <w:vAlign w:val="center"/>
          </w:tcPr>
          <w:p w14:paraId="3CBB46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c>
          <w:tcPr>
            <w:tcW w:w="1531" w:type="dxa"/>
            <w:noWrap w:val="0"/>
            <w:vAlign w:val="center"/>
          </w:tcPr>
          <w:p w14:paraId="6352D8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361</w:t>
            </w:r>
          </w:p>
        </w:tc>
        <w:tc>
          <w:tcPr>
            <w:tcW w:w="1531" w:type="dxa"/>
            <w:noWrap w:val="0"/>
            <w:vAlign w:val="center"/>
          </w:tcPr>
          <w:p w14:paraId="67F534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1041</w:t>
            </w:r>
          </w:p>
        </w:tc>
        <w:tc>
          <w:tcPr>
            <w:tcW w:w="1531" w:type="dxa"/>
            <w:noWrap w:val="0"/>
            <w:vAlign w:val="center"/>
          </w:tcPr>
          <w:p w14:paraId="079CE3E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473</w:t>
            </w:r>
          </w:p>
        </w:tc>
      </w:tr>
      <w:tr w14:paraId="242E8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94" w:type="dxa"/>
            <w:noWrap w:val="0"/>
            <w:vAlign w:val="bottom"/>
          </w:tcPr>
          <w:p w14:paraId="50F88E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合计</w:t>
            </w:r>
          </w:p>
        </w:tc>
        <w:tc>
          <w:tcPr>
            <w:tcW w:w="1531" w:type="dxa"/>
            <w:noWrap w:val="0"/>
            <w:vAlign w:val="center"/>
          </w:tcPr>
          <w:p w14:paraId="35E9E9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110</w:t>
            </w:r>
          </w:p>
        </w:tc>
        <w:tc>
          <w:tcPr>
            <w:tcW w:w="1531" w:type="dxa"/>
            <w:noWrap w:val="0"/>
            <w:vAlign w:val="center"/>
          </w:tcPr>
          <w:p w14:paraId="1B8150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18788</w:t>
            </w:r>
          </w:p>
        </w:tc>
        <w:tc>
          <w:tcPr>
            <w:tcW w:w="1531" w:type="dxa"/>
            <w:noWrap w:val="0"/>
            <w:vAlign w:val="center"/>
          </w:tcPr>
          <w:p w14:paraId="004826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66057</w:t>
            </w:r>
          </w:p>
        </w:tc>
        <w:tc>
          <w:tcPr>
            <w:tcW w:w="1531" w:type="dxa"/>
            <w:noWrap w:val="0"/>
            <w:vAlign w:val="center"/>
          </w:tcPr>
          <w:p w14:paraId="69B0BF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17837</w:t>
            </w:r>
          </w:p>
        </w:tc>
      </w:tr>
    </w:tbl>
    <w:p w14:paraId="7BFF86D3">
      <w:pPr>
        <w:bidi w:val="0"/>
        <w:rPr>
          <w:rFonts w:hint="eastAsia" w:eastAsia="宋体"/>
          <w:highlight w:val="none"/>
          <w:lang w:eastAsia="zh-CN"/>
        </w:rPr>
      </w:pPr>
      <w:r>
        <w:rPr>
          <w:rFonts w:hint="eastAsia"/>
          <w:highlight w:val="none"/>
        </w:rPr>
        <w:t>注：本表为2015-2016学年初情况</w:t>
      </w:r>
    </w:p>
    <w:p w14:paraId="3FA80204">
      <w:pPr>
        <w:rPr>
          <w:rFonts w:hAnsi="宋体" w:cs="宋体"/>
          <w:highlight w:val="none"/>
        </w:rPr>
        <w:sectPr>
          <w:pgSz w:w="11906" w:h="16838"/>
          <w:pgMar w:top="1440" w:right="1752" w:bottom="1440" w:left="1752" w:header="851" w:footer="992" w:gutter="0"/>
          <w:cols w:space="720" w:num="1"/>
          <w:docGrid w:type="lines" w:linePitch="312" w:charSpace="0"/>
        </w:sectPr>
      </w:pPr>
    </w:p>
    <w:p w14:paraId="320F9816">
      <w:pPr>
        <w:jc w:val="center"/>
        <w:rPr>
          <w:rFonts w:hint="eastAsia" w:hAnsi="宋体" w:cs="宋体"/>
          <w:b w:val="0"/>
          <w:bCs w:val="0"/>
          <w:highlight w:val="none"/>
        </w:rPr>
      </w:pPr>
      <w:r>
        <w:rPr>
          <w:rFonts w:hint="eastAsia" w:hAnsi="宋体" w:cs="宋体"/>
          <w:highlight w:val="none"/>
        </w:rPr>
        <w:t>医疗卫生机构、床</w:t>
      </w:r>
      <w:r>
        <w:rPr>
          <w:rFonts w:hint="eastAsia" w:hAnsi="宋体" w:cs="宋体"/>
          <w:b w:val="0"/>
          <w:bCs w:val="0"/>
          <w:highlight w:val="none"/>
        </w:rPr>
        <w:t>位、人员数</w:t>
      </w:r>
    </w:p>
    <w:p w14:paraId="52A3366B">
      <w:pPr>
        <w:rPr>
          <w:rFonts w:hint="eastAsia" w:hAnsi="宋体" w:cs="宋体"/>
          <w:highlight w:val="none"/>
        </w:rPr>
      </w:pPr>
      <w:r>
        <w:rPr>
          <w:rFonts w:hint="eastAsia" w:hAnsi="宋体" w:cs="宋体"/>
          <w:b w:val="0"/>
          <w:bCs w:val="0"/>
          <w:highlight w:val="none"/>
        </w:rPr>
        <w:t xml:space="preserve">表58                                                                                 </w:t>
      </w:r>
      <w:r>
        <w:rPr>
          <w:rFonts w:hint="eastAsia" w:hAnsi="宋体" w:cs="宋体"/>
          <w:b/>
          <w:highlight w:val="none"/>
        </w:rPr>
        <w:t xml:space="preserve">                          </w:t>
      </w:r>
      <w:r>
        <w:rPr>
          <w:rFonts w:hint="eastAsia" w:hAnsi="宋体" w:cs="宋体"/>
          <w:highlight w:val="none"/>
        </w:rPr>
        <w:t xml:space="preserve">  </w:t>
      </w:r>
      <w:r>
        <w:rPr>
          <w:rFonts w:hint="eastAsia"/>
          <w:highlight w:val="none"/>
        </w:rPr>
        <w:t>单位：个、张、人</w:t>
      </w:r>
    </w:p>
    <w:tbl>
      <w:tblPr>
        <w:tblStyle w:val="7"/>
        <w:tblW w:w="34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63"/>
        <w:gridCol w:w="442"/>
        <w:gridCol w:w="567"/>
        <w:gridCol w:w="567"/>
        <w:gridCol w:w="567"/>
        <w:gridCol w:w="624"/>
        <w:gridCol w:w="567"/>
        <w:gridCol w:w="567"/>
        <w:gridCol w:w="608"/>
        <w:gridCol w:w="567"/>
        <w:gridCol w:w="567"/>
        <w:gridCol w:w="567"/>
        <w:gridCol w:w="584"/>
        <w:gridCol w:w="586"/>
        <w:gridCol w:w="537"/>
        <w:gridCol w:w="597"/>
      </w:tblGrid>
      <w:tr w14:paraId="611FE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vMerge w:val="restart"/>
            <w:noWrap w:val="0"/>
            <w:vAlign w:val="center"/>
          </w:tcPr>
          <w:p w14:paraId="65E836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2" w:type="dxa"/>
            <w:vMerge w:val="restart"/>
            <w:noWrap w:val="0"/>
            <w:vAlign w:val="center"/>
          </w:tcPr>
          <w:p w14:paraId="554642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机构</w:t>
            </w:r>
            <w:r>
              <w:rPr>
                <w:rFonts w:hint="eastAsia"/>
                <w:highlight w:val="none"/>
              </w:rPr>
              <w:br w:type="textWrapping"/>
            </w:r>
            <w:r>
              <w:rPr>
                <w:rFonts w:hint="eastAsia"/>
                <w:highlight w:val="none"/>
              </w:rPr>
              <w:t>个数</w:t>
            </w:r>
          </w:p>
        </w:tc>
        <w:tc>
          <w:tcPr>
            <w:tcW w:w="567" w:type="dxa"/>
            <w:vMerge w:val="restart"/>
            <w:noWrap w:val="0"/>
            <w:vAlign w:val="center"/>
          </w:tcPr>
          <w:p w14:paraId="334422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实有床位数</w:t>
            </w:r>
          </w:p>
        </w:tc>
        <w:tc>
          <w:tcPr>
            <w:tcW w:w="7505" w:type="dxa"/>
            <w:gridSpan w:val="13"/>
            <w:noWrap w:val="0"/>
            <w:vAlign w:val="center"/>
          </w:tcPr>
          <w:p w14:paraId="78B0FB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在岗职工</w:t>
            </w:r>
          </w:p>
        </w:tc>
      </w:tr>
      <w:tr w14:paraId="1C3F6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vMerge w:val="continue"/>
            <w:noWrap w:val="0"/>
            <w:vAlign w:val="center"/>
          </w:tcPr>
          <w:p w14:paraId="581EA3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2" w:type="dxa"/>
            <w:vMerge w:val="continue"/>
            <w:noWrap w:val="0"/>
            <w:vAlign w:val="center"/>
          </w:tcPr>
          <w:p w14:paraId="21A8E9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continue"/>
            <w:noWrap w:val="0"/>
            <w:vAlign w:val="center"/>
          </w:tcPr>
          <w:p w14:paraId="706265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restart"/>
            <w:noWrap w:val="0"/>
            <w:vAlign w:val="center"/>
          </w:tcPr>
          <w:p w14:paraId="3AB55F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合计</w:t>
            </w:r>
          </w:p>
        </w:tc>
        <w:tc>
          <w:tcPr>
            <w:tcW w:w="5218" w:type="dxa"/>
            <w:gridSpan w:val="9"/>
            <w:noWrap w:val="0"/>
            <w:vAlign w:val="center"/>
          </w:tcPr>
          <w:p w14:paraId="76A024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卫生技术人员</w:t>
            </w:r>
          </w:p>
        </w:tc>
        <w:tc>
          <w:tcPr>
            <w:tcW w:w="586" w:type="dxa"/>
            <w:vMerge w:val="restart"/>
            <w:noWrap w:val="0"/>
            <w:vAlign w:val="center"/>
          </w:tcPr>
          <w:p w14:paraId="04DD81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   他</w:t>
            </w:r>
            <w:r>
              <w:rPr>
                <w:rFonts w:hint="eastAsia"/>
                <w:highlight w:val="none"/>
              </w:rPr>
              <w:br w:type="textWrapping"/>
            </w:r>
            <w:r>
              <w:rPr>
                <w:rFonts w:hint="eastAsia"/>
                <w:highlight w:val="none"/>
              </w:rPr>
              <w:t>技术人员</w:t>
            </w:r>
          </w:p>
        </w:tc>
        <w:tc>
          <w:tcPr>
            <w:tcW w:w="537" w:type="dxa"/>
            <w:vMerge w:val="restart"/>
            <w:noWrap w:val="0"/>
            <w:vAlign w:val="center"/>
          </w:tcPr>
          <w:p w14:paraId="62E6B3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管理人员</w:t>
            </w:r>
          </w:p>
        </w:tc>
        <w:tc>
          <w:tcPr>
            <w:tcW w:w="597" w:type="dxa"/>
            <w:vMerge w:val="restart"/>
            <w:noWrap w:val="0"/>
            <w:vAlign w:val="center"/>
          </w:tcPr>
          <w:p w14:paraId="3D719E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工勤技能人员</w:t>
            </w:r>
          </w:p>
        </w:tc>
      </w:tr>
      <w:tr w14:paraId="39687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vMerge w:val="continue"/>
            <w:noWrap w:val="0"/>
            <w:vAlign w:val="center"/>
          </w:tcPr>
          <w:p w14:paraId="525153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2" w:type="dxa"/>
            <w:vMerge w:val="continue"/>
            <w:noWrap w:val="0"/>
            <w:vAlign w:val="center"/>
          </w:tcPr>
          <w:p w14:paraId="71FFB0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continue"/>
            <w:noWrap w:val="0"/>
            <w:vAlign w:val="center"/>
          </w:tcPr>
          <w:p w14:paraId="16F72E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continue"/>
            <w:noWrap w:val="0"/>
            <w:vAlign w:val="center"/>
          </w:tcPr>
          <w:p w14:paraId="18326AB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restart"/>
            <w:noWrap w:val="0"/>
            <w:vAlign w:val="center"/>
          </w:tcPr>
          <w:p w14:paraId="35ACDB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小计</w:t>
            </w:r>
          </w:p>
        </w:tc>
        <w:tc>
          <w:tcPr>
            <w:tcW w:w="624" w:type="dxa"/>
            <w:vMerge w:val="restart"/>
            <w:noWrap w:val="0"/>
            <w:vAlign w:val="center"/>
          </w:tcPr>
          <w:p w14:paraId="6EBD6D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执业（助理）医师</w:t>
            </w:r>
          </w:p>
        </w:tc>
        <w:tc>
          <w:tcPr>
            <w:tcW w:w="567" w:type="dxa"/>
            <w:noWrap w:val="0"/>
            <w:vAlign w:val="center"/>
          </w:tcPr>
          <w:p w14:paraId="7DD592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restart"/>
            <w:noWrap w:val="0"/>
            <w:vAlign w:val="center"/>
          </w:tcPr>
          <w:p w14:paraId="59476C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注册护士</w:t>
            </w:r>
          </w:p>
        </w:tc>
        <w:tc>
          <w:tcPr>
            <w:tcW w:w="608" w:type="dxa"/>
            <w:vMerge w:val="restart"/>
            <w:noWrap w:val="0"/>
            <w:vAlign w:val="center"/>
          </w:tcPr>
          <w:p w14:paraId="0E1CC3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药师（士）</w:t>
            </w:r>
          </w:p>
        </w:tc>
        <w:tc>
          <w:tcPr>
            <w:tcW w:w="567" w:type="dxa"/>
            <w:vMerge w:val="restart"/>
            <w:noWrap w:val="0"/>
            <w:vAlign w:val="center"/>
          </w:tcPr>
          <w:p w14:paraId="41475A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技师（士）</w:t>
            </w:r>
          </w:p>
        </w:tc>
        <w:tc>
          <w:tcPr>
            <w:tcW w:w="567" w:type="dxa"/>
            <w:noWrap w:val="0"/>
            <w:vAlign w:val="center"/>
          </w:tcPr>
          <w:p w14:paraId="5E035A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restart"/>
            <w:noWrap w:val="0"/>
            <w:vAlign w:val="center"/>
          </w:tcPr>
          <w:p w14:paraId="063701A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其他</w:t>
            </w:r>
          </w:p>
        </w:tc>
        <w:tc>
          <w:tcPr>
            <w:tcW w:w="584" w:type="dxa"/>
            <w:noWrap w:val="0"/>
            <w:vAlign w:val="center"/>
          </w:tcPr>
          <w:p w14:paraId="1A52BC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86" w:type="dxa"/>
            <w:vMerge w:val="continue"/>
            <w:noWrap w:val="0"/>
            <w:vAlign w:val="center"/>
          </w:tcPr>
          <w:p w14:paraId="73FA41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37" w:type="dxa"/>
            <w:vMerge w:val="continue"/>
            <w:noWrap w:val="0"/>
            <w:vAlign w:val="center"/>
          </w:tcPr>
          <w:p w14:paraId="08DDE1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97" w:type="dxa"/>
            <w:vMerge w:val="continue"/>
            <w:noWrap w:val="0"/>
            <w:vAlign w:val="center"/>
          </w:tcPr>
          <w:p w14:paraId="47289B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3314A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392" w:hRule="atLeast"/>
          <w:jc w:val="center"/>
        </w:trPr>
        <w:tc>
          <w:tcPr>
            <w:tcW w:w="1263" w:type="dxa"/>
            <w:vMerge w:val="continue"/>
            <w:noWrap w:val="0"/>
            <w:vAlign w:val="center"/>
          </w:tcPr>
          <w:p w14:paraId="553A73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442" w:type="dxa"/>
            <w:vMerge w:val="continue"/>
            <w:noWrap w:val="0"/>
            <w:vAlign w:val="center"/>
          </w:tcPr>
          <w:p w14:paraId="732F5F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continue"/>
            <w:noWrap w:val="0"/>
            <w:vAlign w:val="center"/>
          </w:tcPr>
          <w:p w14:paraId="711651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continue"/>
            <w:noWrap w:val="0"/>
            <w:vAlign w:val="center"/>
          </w:tcPr>
          <w:p w14:paraId="027821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continue"/>
            <w:noWrap w:val="0"/>
            <w:vAlign w:val="center"/>
          </w:tcPr>
          <w:p w14:paraId="1DE072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624" w:type="dxa"/>
            <w:vMerge w:val="continue"/>
            <w:noWrap w:val="0"/>
            <w:vAlign w:val="center"/>
          </w:tcPr>
          <w:p w14:paraId="5CBD2D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0"/>
            <w:vAlign w:val="center"/>
          </w:tcPr>
          <w:p w14:paraId="29A548D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执业医师</w:t>
            </w:r>
          </w:p>
        </w:tc>
        <w:tc>
          <w:tcPr>
            <w:tcW w:w="567" w:type="dxa"/>
            <w:vMerge w:val="continue"/>
            <w:noWrap w:val="0"/>
            <w:vAlign w:val="center"/>
          </w:tcPr>
          <w:p w14:paraId="3B81ADB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608" w:type="dxa"/>
            <w:vMerge w:val="continue"/>
            <w:noWrap w:val="0"/>
            <w:vAlign w:val="center"/>
          </w:tcPr>
          <w:p w14:paraId="7CF86D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vMerge w:val="continue"/>
            <w:noWrap w:val="0"/>
            <w:vAlign w:val="center"/>
          </w:tcPr>
          <w:p w14:paraId="2D5687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0"/>
            <w:vAlign w:val="center"/>
          </w:tcPr>
          <w:p w14:paraId="4F8A1D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检验师</w:t>
            </w:r>
          </w:p>
        </w:tc>
        <w:tc>
          <w:tcPr>
            <w:tcW w:w="567" w:type="dxa"/>
            <w:vMerge w:val="continue"/>
            <w:noWrap w:val="0"/>
            <w:vAlign w:val="center"/>
          </w:tcPr>
          <w:p w14:paraId="243ECE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84" w:type="dxa"/>
            <w:noWrap w:val="0"/>
            <w:vAlign w:val="center"/>
          </w:tcPr>
          <w:p w14:paraId="2D994B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见习医师</w:t>
            </w:r>
          </w:p>
        </w:tc>
        <w:tc>
          <w:tcPr>
            <w:tcW w:w="586" w:type="dxa"/>
            <w:vMerge w:val="continue"/>
            <w:noWrap w:val="0"/>
            <w:vAlign w:val="center"/>
          </w:tcPr>
          <w:p w14:paraId="23BB30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37" w:type="dxa"/>
            <w:vMerge w:val="continue"/>
            <w:noWrap w:val="0"/>
            <w:vAlign w:val="center"/>
          </w:tcPr>
          <w:p w14:paraId="129CF9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97" w:type="dxa"/>
            <w:vMerge w:val="continue"/>
            <w:noWrap w:val="0"/>
            <w:vAlign w:val="center"/>
          </w:tcPr>
          <w:p w14:paraId="69556C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r w14:paraId="14816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noWrap w:val="0"/>
            <w:vAlign w:val="center"/>
          </w:tcPr>
          <w:p w14:paraId="248E18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总    计</w:t>
            </w:r>
          </w:p>
        </w:tc>
        <w:tc>
          <w:tcPr>
            <w:tcW w:w="442" w:type="dxa"/>
            <w:noWrap w:val="0"/>
            <w:vAlign w:val="center"/>
          </w:tcPr>
          <w:p w14:paraId="032746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369</w:t>
            </w:r>
          </w:p>
        </w:tc>
        <w:tc>
          <w:tcPr>
            <w:tcW w:w="567" w:type="dxa"/>
            <w:noWrap w:val="0"/>
            <w:vAlign w:val="center"/>
          </w:tcPr>
          <w:p w14:paraId="30E606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1172</w:t>
            </w:r>
          </w:p>
        </w:tc>
        <w:tc>
          <w:tcPr>
            <w:tcW w:w="567" w:type="dxa"/>
            <w:noWrap w:val="0"/>
            <w:vAlign w:val="center"/>
          </w:tcPr>
          <w:p w14:paraId="0E0260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2146</w:t>
            </w:r>
          </w:p>
        </w:tc>
        <w:tc>
          <w:tcPr>
            <w:tcW w:w="567" w:type="dxa"/>
            <w:noWrap w:val="0"/>
            <w:vAlign w:val="center"/>
          </w:tcPr>
          <w:p w14:paraId="5EB5A3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1627</w:t>
            </w:r>
          </w:p>
        </w:tc>
        <w:tc>
          <w:tcPr>
            <w:tcW w:w="624" w:type="dxa"/>
            <w:noWrap w:val="0"/>
            <w:vAlign w:val="center"/>
          </w:tcPr>
          <w:p w14:paraId="1E71B5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785</w:t>
            </w:r>
          </w:p>
        </w:tc>
        <w:tc>
          <w:tcPr>
            <w:tcW w:w="567" w:type="dxa"/>
            <w:noWrap w:val="0"/>
            <w:vAlign w:val="center"/>
          </w:tcPr>
          <w:p w14:paraId="295571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558</w:t>
            </w:r>
          </w:p>
        </w:tc>
        <w:tc>
          <w:tcPr>
            <w:tcW w:w="567" w:type="dxa"/>
            <w:noWrap w:val="0"/>
            <w:vAlign w:val="center"/>
          </w:tcPr>
          <w:p w14:paraId="198D74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483</w:t>
            </w:r>
          </w:p>
        </w:tc>
        <w:tc>
          <w:tcPr>
            <w:tcW w:w="608" w:type="dxa"/>
            <w:noWrap w:val="0"/>
            <w:vAlign w:val="center"/>
          </w:tcPr>
          <w:p w14:paraId="6117F4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64</w:t>
            </w:r>
          </w:p>
        </w:tc>
        <w:tc>
          <w:tcPr>
            <w:tcW w:w="567" w:type="dxa"/>
            <w:noWrap w:val="0"/>
            <w:vAlign w:val="center"/>
          </w:tcPr>
          <w:p w14:paraId="3CB44B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80</w:t>
            </w:r>
          </w:p>
        </w:tc>
        <w:tc>
          <w:tcPr>
            <w:tcW w:w="567" w:type="dxa"/>
            <w:noWrap w:val="0"/>
            <w:vAlign w:val="center"/>
          </w:tcPr>
          <w:p w14:paraId="2905D2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67</w:t>
            </w:r>
          </w:p>
        </w:tc>
        <w:tc>
          <w:tcPr>
            <w:tcW w:w="567" w:type="dxa"/>
            <w:noWrap w:val="0"/>
            <w:vAlign w:val="center"/>
          </w:tcPr>
          <w:p w14:paraId="6A94DC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215</w:t>
            </w:r>
          </w:p>
        </w:tc>
        <w:tc>
          <w:tcPr>
            <w:tcW w:w="584" w:type="dxa"/>
            <w:noWrap w:val="0"/>
            <w:vAlign w:val="center"/>
          </w:tcPr>
          <w:p w14:paraId="67CABF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86</w:t>
            </w:r>
          </w:p>
        </w:tc>
        <w:tc>
          <w:tcPr>
            <w:tcW w:w="586" w:type="dxa"/>
            <w:noWrap w:val="0"/>
            <w:vAlign w:val="center"/>
          </w:tcPr>
          <w:p w14:paraId="595824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290</w:t>
            </w:r>
          </w:p>
        </w:tc>
        <w:tc>
          <w:tcPr>
            <w:tcW w:w="537" w:type="dxa"/>
            <w:noWrap w:val="0"/>
            <w:vAlign w:val="center"/>
          </w:tcPr>
          <w:p w14:paraId="41EBC2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67</w:t>
            </w:r>
          </w:p>
        </w:tc>
        <w:tc>
          <w:tcPr>
            <w:tcW w:w="597" w:type="dxa"/>
            <w:noWrap w:val="0"/>
            <w:vAlign w:val="center"/>
          </w:tcPr>
          <w:p w14:paraId="7222C6A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162</w:t>
            </w:r>
          </w:p>
        </w:tc>
      </w:tr>
      <w:tr w14:paraId="74C5F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noWrap w:val="0"/>
            <w:vAlign w:val="center"/>
          </w:tcPr>
          <w:p w14:paraId="150EF8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一、医院</w:t>
            </w:r>
          </w:p>
        </w:tc>
        <w:tc>
          <w:tcPr>
            <w:tcW w:w="442" w:type="dxa"/>
            <w:noWrap w:val="0"/>
            <w:vAlign w:val="center"/>
          </w:tcPr>
          <w:p w14:paraId="67FCBB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67" w:type="dxa"/>
            <w:noWrap w:val="0"/>
            <w:vAlign w:val="center"/>
          </w:tcPr>
          <w:p w14:paraId="08A6D3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687</w:t>
            </w:r>
          </w:p>
        </w:tc>
        <w:tc>
          <w:tcPr>
            <w:tcW w:w="567" w:type="dxa"/>
            <w:noWrap w:val="0"/>
            <w:vAlign w:val="center"/>
          </w:tcPr>
          <w:p w14:paraId="0E2CB8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798</w:t>
            </w:r>
          </w:p>
        </w:tc>
        <w:tc>
          <w:tcPr>
            <w:tcW w:w="567" w:type="dxa"/>
            <w:noWrap w:val="0"/>
            <w:vAlign w:val="center"/>
          </w:tcPr>
          <w:p w14:paraId="0BA9E41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665</w:t>
            </w:r>
          </w:p>
        </w:tc>
        <w:tc>
          <w:tcPr>
            <w:tcW w:w="624" w:type="dxa"/>
            <w:noWrap w:val="0"/>
            <w:vAlign w:val="center"/>
          </w:tcPr>
          <w:p w14:paraId="67C0C7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309</w:t>
            </w:r>
          </w:p>
        </w:tc>
        <w:tc>
          <w:tcPr>
            <w:tcW w:w="567" w:type="dxa"/>
            <w:noWrap w:val="0"/>
            <w:vAlign w:val="center"/>
          </w:tcPr>
          <w:p w14:paraId="2302C2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293</w:t>
            </w:r>
          </w:p>
        </w:tc>
        <w:tc>
          <w:tcPr>
            <w:tcW w:w="567" w:type="dxa"/>
            <w:noWrap w:val="0"/>
            <w:vAlign w:val="center"/>
          </w:tcPr>
          <w:p w14:paraId="059D5E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194</w:t>
            </w:r>
          </w:p>
        </w:tc>
        <w:tc>
          <w:tcPr>
            <w:tcW w:w="608" w:type="dxa"/>
            <w:noWrap w:val="0"/>
            <w:vAlign w:val="center"/>
          </w:tcPr>
          <w:p w14:paraId="7EB7926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w:t>
            </w:r>
          </w:p>
        </w:tc>
        <w:tc>
          <w:tcPr>
            <w:tcW w:w="567" w:type="dxa"/>
            <w:noWrap w:val="0"/>
            <w:vAlign w:val="center"/>
          </w:tcPr>
          <w:p w14:paraId="047B4B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c>
          <w:tcPr>
            <w:tcW w:w="567" w:type="dxa"/>
            <w:noWrap w:val="0"/>
            <w:vAlign w:val="center"/>
          </w:tcPr>
          <w:p w14:paraId="62830D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w:t>
            </w:r>
          </w:p>
        </w:tc>
        <w:tc>
          <w:tcPr>
            <w:tcW w:w="567" w:type="dxa"/>
            <w:noWrap w:val="0"/>
            <w:vAlign w:val="center"/>
          </w:tcPr>
          <w:p w14:paraId="1E10D3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111</w:t>
            </w:r>
          </w:p>
        </w:tc>
        <w:tc>
          <w:tcPr>
            <w:tcW w:w="584" w:type="dxa"/>
            <w:noWrap w:val="0"/>
            <w:vAlign w:val="center"/>
          </w:tcPr>
          <w:p w14:paraId="6F7152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54</w:t>
            </w:r>
          </w:p>
        </w:tc>
        <w:tc>
          <w:tcPr>
            <w:tcW w:w="586" w:type="dxa"/>
            <w:noWrap w:val="0"/>
            <w:vAlign w:val="center"/>
          </w:tcPr>
          <w:p w14:paraId="26F856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w:t>
            </w:r>
          </w:p>
        </w:tc>
        <w:tc>
          <w:tcPr>
            <w:tcW w:w="537" w:type="dxa"/>
            <w:noWrap w:val="0"/>
            <w:vAlign w:val="center"/>
          </w:tcPr>
          <w:p w14:paraId="0BD446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40</w:t>
            </w:r>
          </w:p>
        </w:tc>
        <w:tc>
          <w:tcPr>
            <w:tcW w:w="597" w:type="dxa"/>
            <w:noWrap w:val="0"/>
            <w:vAlign w:val="center"/>
          </w:tcPr>
          <w:p w14:paraId="477B87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85</w:t>
            </w:r>
          </w:p>
        </w:tc>
      </w:tr>
      <w:tr w14:paraId="35E16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noWrap w:val="0"/>
            <w:vAlign w:val="center"/>
          </w:tcPr>
          <w:p w14:paraId="7802B9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综合医院</w:t>
            </w:r>
          </w:p>
        </w:tc>
        <w:tc>
          <w:tcPr>
            <w:tcW w:w="442" w:type="dxa"/>
            <w:noWrap w:val="0"/>
            <w:vAlign w:val="center"/>
          </w:tcPr>
          <w:p w14:paraId="07CFCA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2BD4A7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473</w:t>
            </w:r>
          </w:p>
        </w:tc>
        <w:tc>
          <w:tcPr>
            <w:tcW w:w="567" w:type="dxa"/>
            <w:noWrap w:val="0"/>
            <w:vAlign w:val="center"/>
          </w:tcPr>
          <w:p w14:paraId="03C257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444</w:t>
            </w:r>
          </w:p>
        </w:tc>
        <w:tc>
          <w:tcPr>
            <w:tcW w:w="567" w:type="dxa"/>
            <w:noWrap w:val="0"/>
            <w:vAlign w:val="center"/>
          </w:tcPr>
          <w:p w14:paraId="33BCC88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377</w:t>
            </w:r>
          </w:p>
        </w:tc>
        <w:tc>
          <w:tcPr>
            <w:tcW w:w="624" w:type="dxa"/>
            <w:noWrap w:val="0"/>
            <w:vAlign w:val="center"/>
          </w:tcPr>
          <w:p w14:paraId="394DBB9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187</w:t>
            </w:r>
          </w:p>
        </w:tc>
        <w:tc>
          <w:tcPr>
            <w:tcW w:w="567" w:type="dxa"/>
            <w:noWrap w:val="0"/>
            <w:vAlign w:val="center"/>
          </w:tcPr>
          <w:p w14:paraId="71E8AA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182</w:t>
            </w:r>
          </w:p>
        </w:tc>
        <w:tc>
          <w:tcPr>
            <w:tcW w:w="567" w:type="dxa"/>
            <w:noWrap w:val="0"/>
            <w:vAlign w:val="center"/>
          </w:tcPr>
          <w:p w14:paraId="4BA791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133</w:t>
            </w:r>
          </w:p>
        </w:tc>
        <w:tc>
          <w:tcPr>
            <w:tcW w:w="608" w:type="dxa"/>
            <w:noWrap w:val="0"/>
            <w:vAlign w:val="center"/>
          </w:tcPr>
          <w:p w14:paraId="3842BD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w:t>
            </w:r>
          </w:p>
        </w:tc>
        <w:tc>
          <w:tcPr>
            <w:tcW w:w="567" w:type="dxa"/>
            <w:noWrap w:val="0"/>
            <w:vAlign w:val="center"/>
          </w:tcPr>
          <w:p w14:paraId="791BFB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567" w:type="dxa"/>
            <w:noWrap w:val="0"/>
            <w:vAlign w:val="center"/>
          </w:tcPr>
          <w:p w14:paraId="64F6C9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w:t>
            </w:r>
          </w:p>
        </w:tc>
        <w:tc>
          <w:tcPr>
            <w:tcW w:w="567" w:type="dxa"/>
            <w:noWrap w:val="0"/>
            <w:vAlign w:val="center"/>
          </w:tcPr>
          <w:p w14:paraId="3E0E9D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w:t>
            </w:r>
          </w:p>
        </w:tc>
        <w:tc>
          <w:tcPr>
            <w:tcW w:w="584" w:type="dxa"/>
            <w:noWrap w:val="0"/>
            <w:vAlign w:val="center"/>
          </w:tcPr>
          <w:p w14:paraId="5C039F4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586" w:type="dxa"/>
            <w:noWrap w:val="0"/>
            <w:vAlign w:val="center"/>
          </w:tcPr>
          <w:p w14:paraId="16681E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537" w:type="dxa"/>
            <w:noWrap w:val="0"/>
            <w:vAlign w:val="center"/>
          </w:tcPr>
          <w:p w14:paraId="2A6298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31</w:t>
            </w:r>
          </w:p>
        </w:tc>
        <w:tc>
          <w:tcPr>
            <w:tcW w:w="597" w:type="dxa"/>
            <w:noWrap w:val="0"/>
            <w:vAlign w:val="center"/>
          </w:tcPr>
          <w:p w14:paraId="1D7E9F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w:t>
            </w:r>
          </w:p>
        </w:tc>
      </w:tr>
      <w:tr w14:paraId="21743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noWrap w:val="0"/>
            <w:vAlign w:val="center"/>
          </w:tcPr>
          <w:p w14:paraId="4804F9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中医医院</w:t>
            </w:r>
          </w:p>
        </w:tc>
        <w:tc>
          <w:tcPr>
            <w:tcW w:w="442" w:type="dxa"/>
            <w:noWrap w:val="0"/>
            <w:vAlign w:val="center"/>
          </w:tcPr>
          <w:p w14:paraId="5A4140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73C0CF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214</w:t>
            </w:r>
          </w:p>
        </w:tc>
        <w:tc>
          <w:tcPr>
            <w:tcW w:w="567" w:type="dxa"/>
            <w:noWrap w:val="0"/>
            <w:vAlign w:val="center"/>
          </w:tcPr>
          <w:p w14:paraId="37B546B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354</w:t>
            </w:r>
          </w:p>
        </w:tc>
        <w:tc>
          <w:tcPr>
            <w:tcW w:w="567" w:type="dxa"/>
            <w:noWrap w:val="0"/>
            <w:vAlign w:val="center"/>
          </w:tcPr>
          <w:p w14:paraId="7F4774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288</w:t>
            </w:r>
          </w:p>
        </w:tc>
        <w:tc>
          <w:tcPr>
            <w:tcW w:w="624" w:type="dxa"/>
            <w:noWrap w:val="0"/>
            <w:vAlign w:val="center"/>
          </w:tcPr>
          <w:p w14:paraId="7F15E1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122</w:t>
            </w:r>
          </w:p>
        </w:tc>
        <w:tc>
          <w:tcPr>
            <w:tcW w:w="567" w:type="dxa"/>
            <w:noWrap w:val="0"/>
            <w:vAlign w:val="center"/>
          </w:tcPr>
          <w:p w14:paraId="4AC608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111</w:t>
            </w:r>
          </w:p>
        </w:tc>
        <w:tc>
          <w:tcPr>
            <w:tcW w:w="567" w:type="dxa"/>
            <w:noWrap w:val="0"/>
            <w:vAlign w:val="center"/>
          </w:tcPr>
          <w:p w14:paraId="206629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61</w:t>
            </w:r>
          </w:p>
        </w:tc>
        <w:tc>
          <w:tcPr>
            <w:tcW w:w="608" w:type="dxa"/>
            <w:noWrap w:val="0"/>
            <w:vAlign w:val="center"/>
          </w:tcPr>
          <w:p w14:paraId="34B203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567" w:type="dxa"/>
            <w:noWrap w:val="0"/>
            <w:vAlign w:val="center"/>
          </w:tcPr>
          <w:p w14:paraId="625FE0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567" w:type="dxa"/>
            <w:noWrap w:val="0"/>
            <w:vAlign w:val="center"/>
          </w:tcPr>
          <w:p w14:paraId="24FA9F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567" w:type="dxa"/>
            <w:noWrap w:val="0"/>
            <w:vAlign w:val="center"/>
          </w:tcPr>
          <w:p w14:paraId="3767F3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89</w:t>
            </w:r>
          </w:p>
        </w:tc>
        <w:tc>
          <w:tcPr>
            <w:tcW w:w="584" w:type="dxa"/>
            <w:noWrap w:val="0"/>
            <w:vAlign w:val="center"/>
          </w:tcPr>
          <w:p w14:paraId="63E215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w:t>
            </w:r>
          </w:p>
        </w:tc>
        <w:tc>
          <w:tcPr>
            <w:tcW w:w="586" w:type="dxa"/>
            <w:noWrap w:val="0"/>
            <w:vAlign w:val="center"/>
          </w:tcPr>
          <w:p w14:paraId="48304B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37" w:type="dxa"/>
            <w:noWrap w:val="0"/>
            <w:vAlign w:val="center"/>
          </w:tcPr>
          <w:p w14:paraId="35AB8B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597" w:type="dxa"/>
            <w:noWrap w:val="0"/>
            <w:vAlign w:val="center"/>
          </w:tcPr>
          <w:p w14:paraId="2DEFD9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56</w:t>
            </w:r>
          </w:p>
        </w:tc>
      </w:tr>
      <w:tr w14:paraId="4D953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16222DD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二、基层医疗卫生机构</w:t>
            </w:r>
          </w:p>
        </w:tc>
        <w:tc>
          <w:tcPr>
            <w:tcW w:w="442" w:type="dxa"/>
            <w:noWrap w:val="0"/>
            <w:vAlign w:val="center"/>
          </w:tcPr>
          <w:p w14:paraId="24CAD7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363</w:t>
            </w:r>
          </w:p>
        </w:tc>
        <w:tc>
          <w:tcPr>
            <w:tcW w:w="567" w:type="dxa"/>
            <w:noWrap w:val="0"/>
            <w:vAlign w:val="center"/>
          </w:tcPr>
          <w:p w14:paraId="2369B6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424</w:t>
            </w:r>
          </w:p>
        </w:tc>
        <w:tc>
          <w:tcPr>
            <w:tcW w:w="567" w:type="dxa"/>
            <w:noWrap w:val="0"/>
            <w:vAlign w:val="center"/>
          </w:tcPr>
          <w:p w14:paraId="526559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1071</w:t>
            </w:r>
          </w:p>
        </w:tc>
        <w:tc>
          <w:tcPr>
            <w:tcW w:w="567" w:type="dxa"/>
            <w:noWrap w:val="0"/>
            <w:vAlign w:val="center"/>
          </w:tcPr>
          <w:p w14:paraId="3F556DC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737</w:t>
            </w:r>
          </w:p>
        </w:tc>
        <w:tc>
          <w:tcPr>
            <w:tcW w:w="624" w:type="dxa"/>
            <w:noWrap w:val="0"/>
            <w:vAlign w:val="center"/>
          </w:tcPr>
          <w:p w14:paraId="4CAF46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368</w:t>
            </w:r>
          </w:p>
        </w:tc>
        <w:tc>
          <w:tcPr>
            <w:tcW w:w="567" w:type="dxa"/>
            <w:noWrap w:val="0"/>
            <w:vAlign w:val="center"/>
          </w:tcPr>
          <w:p w14:paraId="36DCA1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193</w:t>
            </w:r>
          </w:p>
        </w:tc>
        <w:tc>
          <w:tcPr>
            <w:tcW w:w="567" w:type="dxa"/>
            <w:noWrap w:val="0"/>
            <w:vAlign w:val="center"/>
          </w:tcPr>
          <w:p w14:paraId="1106FC3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225</w:t>
            </w:r>
          </w:p>
        </w:tc>
        <w:tc>
          <w:tcPr>
            <w:tcW w:w="608" w:type="dxa"/>
            <w:noWrap w:val="0"/>
            <w:vAlign w:val="center"/>
          </w:tcPr>
          <w:p w14:paraId="360470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w:t>
            </w:r>
          </w:p>
        </w:tc>
        <w:tc>
          <w:tcPr>
            <w:tcW w:w="567" w:type="dxa"/>
            <w:noWrap w:val="0"/>
            <w:vAlign w:val="center"/>
          </w:tcPr>
          <w:p w14:paraId="02DF22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w:t>
            </w:r>
          </w:p>
        </w:tc>
        <w:tc>
          <w:tcPr>
            <w:tcW w:w="567" w:type="dxa"/>
            <w:noWrap w:val="0"/>
            <w:vAlign w:val="center"/>
          </w:tcPr>
          <w:p w14:paraId="5AD29F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w:t>
            </w:r>
          </w:p>
        </w:tc>
        <w:tc>
          <w:tcPr>
            <w:tcW w:w="567" w:type="dxa"/>
            <w:noWrap w:val="0"/>
            <w:vAlign w:val="center"/>
          </w:tcPr>
          <w:p w14:paraId="019641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78</w:t>
            </w:r>
          </w:p>
        </w:tc>
        <w:tc>
          <w:tcPr>
            <w:tcW w:w="584" w:type="dxa"/>
            <w:noWrap w:val="0"/>
            <w:vAlign w:val="center"/>
          </w:tcPr>
          <w:p w14:paraId="76AA37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w:t>
            </w:r>
          </w:p>
        </w:tc>
        <w:tc>
          <w:tcPr>
            <w:tcW w:w="586" w:type="dxa"/>
            <w:noWrap w:val="0"/>
            <w:vAlign w:val="center"/>
          </w:tcPr>
          <w:p w14:paraId="4EF658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273</w:t>
            </w:r>
          </w:p>
        </w:tc>
        <w:tc>
          <w:tcPr>
            <w:tcW w:w="537" w:type="dxa"/>
            <w:noWrap w:val="0"/>
            <w:vAlign w:val="center"/>
          </w:tcPr>
          <w:p w14:paraId="799AC7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597" w:type="dxa"/>
            <w:noWrap w:val="0"/>
            <w:vAlign w:val="center"/>
          </w:tcPr>
          <w:p w14:paraId="6BEAF8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49</w:t>
            </w:r>
          </w:p>
        </w:tc>
      </w:tr>
      <w:tr w14:paraId="5E6BA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353810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社区卫生服务中心</w:t>
            </w:r>
            <w:r>
              <w:rPr>
                <w:rFonts w:hint="eastAsia"/>
                <w:highlight w:val="none"/>
                <w:lang w:eastAsia="zh-CN"/>
              </w:rPr>
              <w:t>（</w:t>
            </w:r>
            <w:r>
              <w:rPr>
                <w:rFonts w:hint="eastAsia"/>
                <w:highlight w:val="none"/>
              </w:rPr>
              <w:t>站</w:t>
            </w:r>
            <w:r>
              <w:rPr>
                <w:rFonts w:hint="eastAsia"/>
                <w:highlight w:val="none"/>
                <w:lang w:eastAsia="zh-CN"/>
              </w:rPr>
              <w:t>）</w:t>
            </w:r>
          </w:p>
        </w:tc>
        <w:tc>
          <w:tcPr>
            <w:tcW w:w="442" w:type="dxa"/>
            <w:noWrap w:val="0"/>
            <w:vAlign w:val="center"/>
          </w:tcPr>
          <w:p w14:paraId="5B3038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3CEDB9A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33</w:t>
            </w:r>
          </w:p>
        </w:tc>
        <w:tc>
          <w:tcPr>
            <w:tcW w:w="567" w:type="dxa"/>
            <w:noWrap w:val="0"/>
            <w:vAlign w:val="center"/>
          </w:tcPr>
          <w:p w14:paraId="22225E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63</w:t>
            </w:r>
          </w:p>
        </w:tc>
        <w:tc>
          <w:tcPr>
            <w:tcW w:w="567" w:type="dxa"/>
            <w:noWrap w:val="0"/>
            <w:vAlign w:val="center"/>
          </w:tcPr>
          <w:p w14:paraId="5CD473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48</w:t>
            </w:r>
          </w:p>
        </w:tc>
        <w:tc>
          <w:tcPr>
            <w:tcW w:w="624" w:type="dxa"/>
            <w:noWrap w:val="0"/>
            <w:vAlign w:val="center"/>
          </w:tcPr>
          <w:p w14:paraId="2E620F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w:t>
            </w:r>
          </w:p>
        </w:tc>
        <w:tc>
          <w:tcPr>
            <w:tcW w:w="567" w:type="dxa"/>
            <w:noWrap w:val="0"/>
            <w:vAlign w:val="center"/>
          </w:tcPr>
          <w:p w14:paraId="3795A6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567" w:type="dxa"/>
            <w:noWrap w:val="0"/>
            <w:vAlign w:val="center"/>
          </w:tcPr>
          <w:p w14:paraId="6C0E7B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w:t>
            </w:r>
          </w:p>
        </w:tc>
        <w:tc>
          <w:tcPr>
            <w:tcW w:w="608" w:type="dxa"/>
            <w:noWrap w:val="0"/>
            <w:vAlign w:val="center"/>
          </w:tcPr>
          <w:p w14:paraId="7292903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567" w:type="dxa"/>
            <w:noWrap w:val="0"/>
            <w:vAlign w:val="center"/>
          </w:tcPr>
          <w:p w14:paraId="6A0E65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567" w:type="dxa"/>
            <w:noWrap w:val="0"/>
            <w:vAlign w:val="center"/>
          </w:tcPr>
          <w:p w14:paraId="44DE37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67" w:type="dxa"/>
            <w:noWrap w:val="0"/>
            <w:vAlign w:val="center"/>
          </w:tcPr>
          <w:p w14:paraId="518412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84" w:type="dxa"/>
            <w:noWrap w:val="0"/>
            <w:vAlign w:val="center"/>
          </w:tcPr>
          <w:p w14:paraId="0C6940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86" w:type="dxa"/>
            <w:noWrap w:val="0"/>
            <w:vAlign w:val="center"/>
          </w:tcPr>
          <w:p w14:paraId="694981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37" w:type="dxa"/>
            <w:noWrap w:val="0"/>
            <w:vAlign w:val="center"/>
          </w:tcPr>
          <w:p w14:paraId="4D5168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97" w:type="dxa"/>
            <w:noWrap w:val="0"/>
            <w:vAlign w:val="center"/>
          </w:tcPr>
          <w:p w14:paraId="0F6EF7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r>
      <w:tr w14:paraId="3BC61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noWrap w:val="0"/>
            <w:vAlign w:val="center"/>
          </w:tcPr>
          <w:p w14:paraId="5FBA50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卫生院</w:t>
            </w:r>
          </w:p>
        </w:tc>
        <w:tc>
          <w:tcPr>
            <w:tcW w:w="442" w:type="dxa"/>
            <w:noWrap w:val="0"/>
            <w:vAlign w:val="center"/>
          </w:tcPr>
          <w:p w14:paraId="563028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w:t>
            </w:r>
          </w:p>
        </w:tc>
        <w:tc>
          <w:tcPr>
            <w:tcW w:w="567" w:type="dxa"/>
            <w:noWrap w:val="0"/>
            <w:vAlign w:val="center"/>
          </w:tcPr>
          <w:p w14:paraId="1DF03F8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391</w:t>
            </w:r>
          </w:p>
        </w:tc>
        <w:tc>
          <w:tcPr>
            <w:tcW w:w="567" w:type="dxa"/>
            <w:noWrap w:val="0"/>
            <w:vAlign w:val="center"/>
          </w:tcPr>
          <w:p w14:paraId="6A0C20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559</w:t>
            </w:r>
          </w:p>
        </w:tc>
        <w:tc>
          <w:tcPr>
            <w:tcW w:w="567" w:type="dxa"/>
            <w:noWrap w:val="0"/>
            <w:vAlign w:val="center"/>
          </w:tcPr>
          <w:p w14:paraId="60B5CF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497</w:t>
            </w:r>
          </w:p>
        </w:tc>
        <w:tc>
          <w:tcPr>
            <w:tcW w:w="624" w:type="dxa"/>
            <w:noWrap w:val="0"/>
            <w:vAlign w:val="center"/>
          </w:tcPr>
          <w:p w14:paraId="5BD436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197</w:t>
            </w:r>
          </w:p>
        </w:tc>
        <w:tc>
          <w:tcPr>
            <w:tcW w:w="567" w:type="dxa"/>
            <w:noWrap w:val="0"/>
            <w:vAlign w:val="center"/>
          </w:tcPr>
          <w:p w14:paraId="2B14EB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116</w:t>
            </w:r>
          </w:p>
        </w:tc>
        <w:tc>
          <w:tcPr>
            <w:tcW w:w="567" w:type="dxa"/>
            <w:noWrap w:val="0"/>
            <w:vAlign w:val="center"/>
          </w:tcPr>
          <w:p w14:paraId="77D8C2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181</w:t>
            </w:r>
          </w:p>
        </w:tc>
        <w:tc>
          <w:tcPr>
            <w:tcW w:w="608" w:type="dxa"/>
            <w:noWrap w:val="0"/>
            <w:vAlign w:val="center"/>
          </w:tcPr>
          <w:p w14:paraId="7B0EFC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w:t>
            </w:r>
          </w:p>
        </w:tc>
        <w:tc>
          <w:tcPr>
            <w:tcW w:w="567" w:type="dxa"/>
            <w:noWrap w:val="0"/>
            <w:vAlign w:val="center"/>
          </w:tcPr>
          <w:p w14:paraId="427797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w:t>
            </w:r>
          </w:p>
        </w:tc>
        <w:tc>
          <w:tcPr>
            <w:tcW w:w="567" w:type="dxa"/>
            <w:noWrap w:val="0"/>
            <w:vAlign w:val="center"/>
          </w:tcPr>
          <w:p w14:paraId="3060410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w:t>
            </w:r>
          </w:p>
        </w:tc>
        <w:tc>
          <w:tcPr>
            <w:tcW w:w="567" w:type="dxa"/>
            <w:noWrap w:val="0"/>
            <w:vAlign w:val="center"/>
          </w:tcPr>
          <w:p w14:paraId="1954453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63</w:t>
            </w:r>
          </w:p>
        </w:tc>
        <w:tc>
          <w:tcPr>
            <w:tcW w:w="584" w:type="dxa"/>
            <w:noWrap w:val="0"/>
            <w:vAlign w:val="center"/>
          </w:tcPr>
          <w:p w14:paraId="0D197B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21</w:t>
            </w:r>
          </w:p>
        </w:tc>
        <w:tc>
          <w:tcPr>
            <w:tcW w:w="586" w:type="dxa"/>
            <w:noWrap w:val="0"/>
            <w:vAlign w:val="center"/>
          </w:tcPr>
          <w:p w14:paraId="4BE3EC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w:t>
            </w:r>
          </w:p>
        </w:tc>
        <w:tc>
          <w:tcPr>
            <w:tcW w:w="537" w:type="dxa"/>
            <w:noWrap w:val="0"/>
            <w:vAlign w:val="center"/>
          </w:tcPr>
          <w:p w14:paraId="45E02D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w:t>
            </w:r>
          </w:p>
        </w:tc>
        <w:tc>
          <w:tcPr>
            <w:tcW w:w="597" w:type="dxa"/>
            <w:noWrap w:val="0"/>
            <w:vAlign w:val="center"/>
          </w:tcPr>
          <w:p w14:paraId="2D0CBD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w:t>
            </w:r>
          </w:p>
        </w:tc>
      </w:tr>
      <w:tr w14:paraId="7393E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noWrap w:val="0"/>
            <w:vAlign w:val="center"/>
          </w:tcPr>
          <w:p w14:paraId="03A886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村卫生室</w:t>
            </w:r>
          </w:p>
        </w:tc>
        <w:tc>
          <w:tcPr>
            <w:tcW w:w="442" w:type="dxa"/>
            <w:noWrap w:val="0"/>
            <w:vAlign w:val="center"/>
          </w:tcPr>
          <w:p w14:paraId="02035BE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292</w:t>
            </w:r>
          </w:p>
        </w:tc>
        <w:tc>
          <w:tcPr>
            <w:tcW w:w="567" w:type="dxa"/>
            <w:noWrap w:val="0"/>
            <w:vAlign w:val="center"/>
          </w:tcPr>
          <w:p w14:paraId="6B5A36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6E677A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301</w:t>
            </w:r>
          </w:p>
        </w:tc>
        <w:tc>
          <w:tcPr>
            <w:tcW w:w="567" w:type="dxa"/>
            <w:noWrap w:val="0"/>
            <w:vAlign w:val="center"/>
          </w:tcPr>
          <w:p w14:paraId="6483D9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w:t>
            </w:r>
          </w:p>
        </w:tc>
        <w:tc>
          <w:tcPr>
            <w:tcW w:w="624" w:type="dxa"/>
            <w:noWrap w:val="0"/>
            <w:vAlign w:val="center"/>
          </w:tcPr>
          <w:p w14:paraId="62520D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45</w:t>
            </w:r>
          </w:p>
        </w:tc>
        <w:tc>
          <w:tcPr>
            <w:tcW w:w="567" w:type="dxa"/>
            <w:noWrap w:val="0"/>
            <w:vAlign w:val="center"/>
          </w:tcPr>
          <w:p w14:paraId="7A7B4B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w:t>
            </w:r>
          </w:p>
        </w:tc>
        <w:tc>
          <w:tcPr>
            <w:tcW w:w="567" w:type="dxa"/>
            <w:noWrap w:val="0"/>
            <w:vAlign w:val="center"/>
          </w:tcPr>
          <w:p w14:paraId="6DFC165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608" w:type="dxa"/>
            <w:noWrap w:val="0"/>
            <w:vAlign w:val="center"/>
          </w:tcPr>
          <w:p w14:paraId="3F9A8D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72C634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425CB75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3BD2E0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84" w:type="dxa"/>
            <w:noWrap w:val="0"/>
            <w:vAlign w:val="center"/>
          </w:tcPr>
          <w:p w14:paraId="6E0EEEC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86" w:type="dxa"/>
            <w:noWrap w:val="0"/>
            <w:vAlign w:val="center"/>
          </w:tcPr>
          <w:p w14:paraId="542772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256</w:t>
            </w:r>
          </w:p>
        </w:tc>
        <w:tc>
          <w:tcPr>
            <w:tcW w:w="537" w:type="dxa"/>
            <w:noWrap w:val="0"/>
            <w:vAlign w:val="center"/>
          </w:tcPr>
          <w:p w14:paraId="2C8C0C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97" w:type="dxa"/>
            <w:noWrap w:val="0"/>
            <w:vAlign w:val="center"/>
          </w:tcPr>
          <w:p w14:paraId="68675E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r>
      <w:tr w14:paraId="20720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1263" w:type="dxa"/>
            <w:noWrap w:val="0"/>
            <w:vAlign w:val="center"/>
          </w:tcPr>
          <w:p w14:paraId="6A54E0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门诊部</w:t>
            </w:r>
          </w:p>
        </w:tc>
        <w:tc>
          <w:tcPr>
            <w:tcW w:w="442" w:type="dxa"/>
            <w:noWrap w:val="0"/>
            <w:vAlign w:val="center"/>
          </w:tcPr>
          <w:p w14:paraId="57487D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67" w:type="dxa"/>
            <w:noWrap w:val="0"/>
            <w:vAlign w:val="center"/>
          </w:tcPr>
          <w:p w14:paraId="4134CE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03B6DB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w:t>
            </w:r>
          </w:p>
        </w:tc>
        <w:tc>
          <w:tcPr>
            <w:tcW w:w="567" w:type="dxa"/>
            <w:noWrap w:val="0"/>
            <w:vAlign w:val="center"/>
          </w:tcPr>
          <w:p w14:paraId="5D05C1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624" w:type="dxa"/>
            <w:noWrap w:val="0"/>
            <w:vAlign w:val="center"/>
          </w:tcPr>
          <w:p w14:paraId="1EFF16A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567" w:type="dxa"/>
            <w:noWrap w:val="0"/>
            <w:vAlign w:val="center"/>
          </w:tcPr>
          <w:p w14:paraId="4B07B2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567" w:type="dxa"/>
            <w:noWrap w:val="0"/>
            <w:vAlign w:val="center"/>
          </w:tcPr>
          <w:p w14:paraId="2A93EE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608" w:type="dxa"/>
            <w:noWrap w:val="0"/>
            <w:vAlign w:val="center"/>
          </w:tcPr>
          <w:p w14:paraId="32F6BA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2EB0A19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1F63C0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7DDB67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84" w:type="dxa"/>
            <w:noWrap w:val="0"/>
            <w:vAlign w:val="center"/>
          </w:tcPr>
          <w:p w14:paraId="623D9B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86" w:type="dxa"/>
            <w:noWrap w:val="0"/>
            <w:vAlign w:val="center"/>
          </w:tcPr>
          <w:p w14:paraId="47B914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37" w:type="dxa"/>
            <w:noWrap w:val="0"/>
            <w:vAlign w:val="center"/>
          </w:tcPr>
          <w:p w14:paraId="473C3E7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97" w:type="dxa"/>
            <w:noWrap w:val="0"/>
            <w:vAlign w:val="center"/>
          </w:tcPr>
          <w:p w14:paraId="42C7AA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r>
      <w:tr w14:paraId="0DE86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7D5F8D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诊所.卫生所.医务室</w:t>
            </w:r>
          </w:p>
        </w:tc>
        <w:tc>
          <w:tcPr>
            <w:tcW w:w="442" w:type="dxa"/>
            <w:noWrap w:val="0"/>
            <w:vAlign w:val="center"/>
          </w:tcPr>
          <w:p w14:paraId="4683E19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48</w:t>
            </w:r>
          </w:p>
        </w:tc>
        <w:tc>
          <w:tcPr>
            <w:tcW w:w="567" w:type="dxa"/>
            <w:noWrap w:val="0"/>
            <w:vAlign w:val="center"/>
          </w:tcPr>
          <w:p w14:paraId="12DD93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2D89CE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133</w:t>
            </w:r>
          </w:p>
        </w:tc>
        <w:tc>
          <w:tcPr>
            <w:tcW w:w="567" w:type="dxa"/>
            <w:noWrap w:val="0"/>
            <w:vAlign w:val="center"/>
          </w:tcPr>
          <w:p w14:paraId="73F6F2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133</w:t>
            </w:r>
          </w:p>
        </w:tc>
        <w:tc>
          <w:tcPr>
            <w:tcW w:w="624" w:type="dxa"/>
            <w:noWrap w:val="0"/>
            <w:vAlign w:val="center"/>
          </w:tcPr>
          <w:p w14:paraId="30776E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97</w:t>
            </w:r>
          </w:p>
        </w:tc>
        <w:tc>
          <w:tcPr>
            <w:tcW w:w="567" w:type="dxa"/>
            <w:noWrap w:val="0"/>
            <w:vAlign w:val="center"/>
          </w:tcPr>
          <w:p w14:paraId="153ABC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52</w:t>
            </w:r>
          </w:p>
        </w:tc>
        <w:tc>
          <w:tcPr>
            <w:tcW w:w="567" w:type="dxa"/>
            <w:noWrap w:val="0"/>
            <w:vAlign w:val="center"/>
          </w:tcPr>
          <w:p w14:paraId="2DB70F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24</w:t>
            </w:r>
          </w:p>
        </w:tc>
        <w:tc>
          <w:tcPr>
            <w:tcW w:w="608" w:type="dxa"/>
            <w:noWrap w:val="0"/>
            <w:vAlign w:val="center"/>
          </w:tcPr>
          <w:p w14:paraId="6CEB6A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40AE1D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5821487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5070DD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w:t>
            </w:r>
          </w:p>
        </w:tc>
        <w:tc>
          <w:tcPr>
            <w:tcW w:w="584" w:type="dxa"/>
            <w:noWrap w:val="0"/>
            <w:vAlign w:val="center"/>
          </w:tcPr>
          <w:p w14:paraId="43F96E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w:t>
            </w:r>
          </w:p>
        </w:tc>
        <w:tc>
          <w:tcPr>
            <w:tcW w:w="586" w:type="dxa"/>
            <w:noWrap w:val="0"/>
            <w:vAlign w:val="center"/>
          </w:tcPr>
          <w:p w14:paraId="7E3E48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37" w:type="dxa"/>
            <w:noWrap w:val="0"/>
            <w:vAlign w:val="center"/>
          </w:tcPr>
          <w:p w14:paraId="5C87CE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97" w:type="dxa"/>
            <w:noWrap w:val="0"/>
            <w:vAlign w:val="center"/>
          </w:tcPr>
          <w:p w14:paraId="47460F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r>
      <w:tr w14:paraId="2A47D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4A181B2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三、专业公共卫生机构</w:t>
            </w:r>
          </w:p>
        </w:tc>
        <w:tc>
          <w:tcPr>
            <w:tcW w:w="442" w:type="dxa"/>
            <w:noWrap w:val="0"/>
            <w:vAlign w:val="center"/>
          </w:tcPr>
          <w:p w14:paraId="7C6B3D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567" w:type="dxa"/>
            <w:noWrap w:val="0"/>
            <w:vAlign w:val="center"/>
          </w:tcPr>
          <w:p w14:paraId="1F01362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61</w:t>
            </w:r>
          </w:p>
        </w:tc>
        <w:tc>
          <w:tcPr>
            <w:tcW w:w="567" w:type="dxa"/>
            <w:noWrap w:val="0"/>
            <w:vAlign w:val="center"/>
          </w:tcPr>
          <w:p w14:paraId="5FAD07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277</w:t>
            </w:r>
          </w:p>
        </w:tc>
        <w:tc>
          <w:tcPr>
            <w:tcW w:w="567" w:type="dxa"/>
            <w:noWrap w:val="0"/>
            <w:vAlign w:val="center"/>
          </w:tcPr>
          <w:p w14:paraId="71C8BF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225</w:t>
            </w:r>
          </w:p>
        </w:tc>
        <w:tc>
          <w:tcPr>
            <w:tcW w:w="624" w:type="dxa"/>
            <w:noWrap w:val="0"/>
            <w:vAlign w:val="center"/>
          </w:tcPr>
          <w:p w14:paraId="0B454F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108</w:t>
            </w:r>
          </w:p>
        </w:tc>
        <w:tc>
          <w:tcPr>
            <w:tcW w:w="567" w:type="dxa"/>
            <w:noWrap w:val="0"/>
            <w:vAlign w:val="center"/>
          </w:tcPr>
          <w:p w14:paraId="2B3955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72</w:t>
            </w:r>
          </w:p>
        </w:tc>
        <w:tc>
          <w:tcPr>
            <w:tcW w:w="567" w:type="dxa"/>
            <w:noWrap w:val="0"/>
            <w:vAlign w:val="center"/>
          </w:tcPr>
          <w:p w14:paraId="7FBF460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64</w:t>
            </w:r>
          </w:p>
        </w:tc>
        <w:tc>
          <w:tcPr>
            <w:tcW w:w="608" w:type="dxa"/>
            <w:noWrap w:val="0"/>
            <w:vAlign w:val="center"/>
          </w:tcPr>
          <w:p w14:paraId="76C321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567" w:type="dxa"/>
            <w:noWrap w:val="0"/>
            <w:vAlign w:val="center"/>
          </w:tcPr>
          <w:p w14:paraId="0BA3C8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22</w:t>
            </w:r>
          </w:p>
        </w:tc>
        <w:tc>
          <w:tcPr>
            <w:tcW w:w="567" w:type="dxa"/>
            <w:noWrap w:val="0"/>
            <w:vAlign w:val="center"/>
          </w:tcPr>
          <w:p w14:paraId="5E5DDF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19</w:t>
            </w:r>
          </w:p>
        </w:tc>
        <w:tc>
          <w:tcPr>
            <w:tcW w:w="567" w:type="dxa"/>
            <w:noWrap w:val="0"/>
            <w:vAlign w:val="center"/>
          </w:tcPr>
          <w:p w14:paraId="236180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26</w:t>
            </w:r>
          </w:p>
        </w:tc>
        <w:tc>
          <w:tcPr>
            <w:tcW w:w="584" w:type="dxa"/>
            <w:noWrap w:val="0"/>
            <w:vAlign w:val="center"/>
          </w:tcPr>
          <w:p w14:paraId="77B885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586" w:type="dxa"/>
            <w:noWrap w:val="0"/>
            <w:vAlign w:val="center"/>
          </w:tcPr>
          <w:p w14:paraId="0D7DBD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537" w:type="dxa"/>
            <w:noWrap w:val="0"/>
            <w:vAlign w:val="center"/>
          </w:tcPr>
          <w:p w14:paraId="5948393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15</w:t>
            </w:r>
          </w:p>
        </w:tc>
        <w:tc>
          <w:tcPr>
            <w:tcW w:w="597" w:type="dxa"/>
            <w:noWrap w:val="0"/>
            <w:vAlign w:val="center"/>
          </w:tcPr>
          <w:p w14:paraId="14CD29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28</w:t>
            </w:r>
          </w:p>
        </w:tc>
      </w:tr>
      <w:tr w14:paraId="4FE22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5A93ACB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疾病预防控制中心</w:t>
            </w:r>
          </w:p>
        </w:tc>
        <w:tc>
          <w:tcPr>
            <w:tcW w:w="442" w:type="dxa"/>
            <w:noWrap w:val="0"/>
            <w:vAlign w:val="center"/>
          </w:tcPr>
          <w:p w14:paraId="7CE067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1FE2A6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235589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80</w:t>
            </w:r>
          </w:p>
        </w:tc>
        <w:tc>
          <w:tcPr>
            <w:tcW w:w="567" w:type="dxa"/>
            <w:noWrap w:val="0"/>
            <w:vAlign w:val="center"/>
          </w:tcPr>
          <w:p w14:paraId="497E770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59</w:t>
            </w:r>
          </w:p>
        </w:tc>
        <w:tc>
          <w:tcPr>
            <w:tcW w:w="624" w:type="dxa"/>
            <w:noWrap w:val="0"/>
            <w:vAlign w:val="center"/>
          </w:tcPr>
          <w:p w14:paraId="3089DC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32</w:t>
            </w:r>
          </w:p>
        </w:tc>
        <w:tc>
          <w:tcPr>
            <w:tcW w:w="567" w:type="dxa"/>
            <w:noWrap w:val="0"/>
            <w:vAlign w:val="center"/>
          </w:tcPr>
          <w:p w14:paraId="062840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c>
          <w:tcPr>
            <w:tcW w:w="567" w:type="dxa"/>
            <w:noWrap w:val="0"/>
            <w:vAlign w:val="center"/>
          </w:tcPr>
          <w:p w14:paraId="1DDA5D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14</w:t>
            </w:r>
          </w:p>
        </w:tc>
        <w:tc>
          <w:tcPr>
            <w:tcW w:w="608" w:type="dxa"/>
            <w:noWrap w:val="0"/>
            <w:vAlign w:val="center"/>
          </w:tcPr>
          <w:p w14:paraId="39E2F4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3718B7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10</w:t>
            </w:r>
          </w:p>
        </w:tc>
        <w:tc>
          <w:tcPr>
            <w:tcW w:w="567" w:type="dxa"/>
            <w:noWrap w:val="0"/>
            <w:vAlign w:val="center"/>
          </w:tcPr>
          <w:p w14:paraId="463C0E4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567" w:type="dxa"/>
            <w:noWrap w:val="0"/>
            <w:vAlign w:val="center"/>
          </w:tcPr>
          <w:p w14:paraId="4D864C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584" w:type="dxa"/>
            <w:noWrap w:val="0"/>
            <w:vAlign w:val="center"/>
          </w:tcPr>
          <w:p w14:paraId="6F0287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86" w:type="dxa"/>
            <w:noWrap w:val="0"/>
            <w:vAlign w:val="center"/>
          </w:tcPr>
          <w:p w14:paraId="3535CA5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537" w:type="dxa"/>
            <w:noWrap w:val="0"/>
            <w:vAlign w:val="center"/>
          </w:tcPr>
          <w:p w14:paraId="2FE2070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97" w:type="dxa"/>
            <w:noWrap w:val="0"/>
            <w:vAlign w:val="center"/>
          </w:tcPr>
          <w:p w14:paraId="202D87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w:t>
            </w:r>
          </w:p>
        </w:tc>
      </w:tr>
      <w:tr w14:paraId="2A1D5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7DAC12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专科疾病防治院</w:t>
            </w:r>
            <w:r>
              <w:rPr>
                <w:rFonts w:hint="eastAsia"/>
                <w:highlight w:val="none"/>
                <w:lang w:eastAsia="zh-CN"/>
              </w:rPr>
              <w:t>（</w:t>
            </w:r>
            <w:r>
              <w:rPr>
                <w:rFonts w:hint="eastAsia"/>
                <w:highlight w:val="none"/>
              </w:rPr>
              <w:t>所、站</w:t>
            </w:r>
            <w:r>
              <w:rPr>
                <w:rFonts w:hint="eastAsia"/>
                <w:highlight w:val="none"/>
                <w:lang w:eastAsia="zh-CN"/>
              </w:rPr>
              <w:t>）</w:t>
            </w:r>
          </w:p>
        </w:tc>
        <w:tc>
          <w:tcPr>
            <w:tcW w:w="442" w:type="dxa"/>
            <w:noWrap w:val="0"/>
            <w:vAlign w:val="center"/>
          </w:tcPr>
          <w:p w14:paraId="6B5DF4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0CE4F7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25</w:t>
            </w:r>
          </w:p>
        </w:tc>
        <w:tc>
          <w:tcPr>
            <w:tcW w:w="567" w:type="dxa"/>
            <w:noWrap w:val="0"/>
            <w:vAlign w:val="center"/>
          </w:tcPr>
          <w:p w14:paraId="4B92AC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51</w:t>
            </w:r>
          </w:p>
        </w:tc>
        <w:tc>
          <w:tcPr>
            <w:tcW w:w="567" w:type="dxa"/>
            <w:noWrap w:val="0"/>
            <w:vAlign w:val="center"/>
          </w:tcPr>
          <w:p w14:paraId="42B5958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41</w:t>
            </w:r>
          </w:p>
        </w:tc>
        <w:tc>
          <w:tcPr>
            <w:tcW w:w="624" w:type="dxa"/>
            <w:noWrap w:val="0"/>
            <w:vAlign w:val="center"/>
          </w:tcPr>
          <w:p w14:paraId="181EDC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17</w:t>
            </w:r>
          </w:p>
        </w:tc>
        <w:tc>
          <w:tcPr>
            <w:tcW w:w="567" w:type="dxa"/>
            <w:noWrap w:val="0"/>
            <w:vAlign w:val="center"/>
          </w:tcPr>
          <w:p w14:paraId="455F37C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567" w:type="dxa"/>
            <w:noWrap w:val="0"/>
            <w:vAlign w:val="center"/>
          </w:tcPr>
          <w:p w14:paraId="1469BA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w:t>
            </w:r>
          </w:p>
        </w:tc>
        <w:tc>
          <w:tcPr>
            <w:tcW w:w="608" w:type="dxa"/>
            <w:noWrap w:val="0"/>
            <w:vAlign w:val="center"/>
          </w:tcPr>
          <w:p w14:paraId="23095A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67" w:type="dxa"/>
            <w:noWrap w:val="0"/>
            <w:vAlign w:val="center"/>
          </w:tcPr>
          <w:p w14:paraId="360BB6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567" w:type="dxa"/>
            <w:noWrap w:val="0"/>
            <w:vAlign w:val="center"/>
          </w:tcPr>
          <w:p w14:paraId="5FC3444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67" w:type="dxa"/>
            <w:noWrap w:val="0"/>
            <w:vAlign w:val="center"/>
          </w:tcPr>
          <w:p w14:paraId="40450D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6</w:t>
            </w:r>
          </w:p>
        </w:tc>
        <w:tc>
          <w:tcPr>
            <w:tcW w:w="584" w:type="dxa"/>
            <w:noWrap w:val="0"/>
            <w:vAlign w:val="center"/>
          </w:tcPr>
          <w:p w14:paraId="272D9F1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86" w:type="dxa"/>
            <w:noWrap w:val="0"/>
            <w:vAlign w:val="center"/>
          </w:tcPr>
          <w:p w14:paraId="2F2C71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537" w:type="dxa"/>
            <w:noWrap w:val="0"/>
            <w:vAlign w:val="center"/>
          </w:tcPr>
          <w:p w14:paraId="3EB74B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597" w:type="dxa"/>
            <w:noWrap w:val="0"/>
            <w:vAlign w:val="center"/>
          </w:tcPr>
          <w:p w14:paraId="744B0C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r>
      <w:tr w14:paraId="34225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641C4F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妇幼保健院</w:t>
            </w:r>
            <w:r>
              <w:rPr>
                <w:rFonts w:hint="eastAsia"/>
                <w:highlight w:val="none"/>
                <w:lang w:eastAsia="zh-CN"/>
              </w:rPr>
              <w:t>（</w:t>
            </w:r>
            <w:r>
              <w:rPr>
                <w:rFonts w:hint="eastAsia"/>
                <w:highlight w:val="none"/>
              </w:rPr>
              <w:t>所、站</w:t>
            </w:r>
            <w:r>
              <w:rPr>
                <w:rFonts w:hint="eastAsia"/>
                <w:highlight w:val="none"/>
                <w:lang w:eastAsia="zh-CN"/>
              </w:rPr>
              <w:t>）</w:t>
            </w:r>
          </w:p>
        </w:tc>
        <w:tc>
          <w:tcPr>
            <w:tcW w:w="442" w:type="dxa"/>
            <w:noWrap w:val="0"/>
            <w:vAlign w:val="center"/>
          </w:tcPr>
          <w:p w14:paraId="73BD80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31F3ACB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36</w:t>
            </w:r>
          </w:p>
        </w:tc>
        <w:tc>
          <w:tcPr>
            <w:tcW w:w="567" w:type="dxa"/>
            <w:noWrap w:val="0"/>
            <w:vAlign w:val="center"/>
          </w:tcPr>
          <w:p w14:paraId="7A0906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130</w:t>
            </w:r>
          </w:p>
        </w:tc>
        <w:tc>
          <w:tcPr>
            <w:tcW w:w="567" w:type="dxa"/>
            <w:noWrap w:val="0"/>
            <w:vAlign w:val="center"/>
          </w:tcPr>
          <w:p w14:paraId="688D10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113</w:t>
            </w:r>
          </w:p>
        </w:tc>
        <w:tc>
          <w:tcPr>
            <w:tcW w:w="624" w:type="dxa"/>
            <w:noWrap w:val="0"/>
            <w:vAlign w:val="center"/>
          </w:tcPr>
          <w:p w14:paraId="54CCC1F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59</w:t>
            </w:r>
          </w:p>
        </w:tc>
        <w:tc>
          <w:tcPr>
            <w:tcW w:w="567" w:type="dxa"/>
            <w:noWrap w:val="0"/>
            <w:vAlign w:val="center"/>
          </w:tcPr>
          <w:p w14:paraId="61DD04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34</w:t>
            </w:r>
          </w:p>
        </w:tc>
        <w:tc>
          <w:tcPr>
            <w:tcW w:w="567" w:type="dxa"/>
            <w:noWrap w:val="0"/>
            <w:vAlign w:val="center"/>
          </w:tcPr>
          <w:p w14:paraId="7EEFAEF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37</w:t>
            </w:r>
          </w:p>
        </w:tc>
        <w:tc>
          <w:tcPr>
            <w:tcW w:w="608" w:type="dxa"/>
            <w:noWrap w:val="0"/>
            <w:vAlign w:val="center"/>
          </w:tcPr>
          <w:p w14:paraId="34419FE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567" w:type="dxa"/>
            <w:noWrap w:val="0"/>
            <w:vAlign w:val="center"/>
          </w:tcPr>
          <w:p w14:paraId="666D5C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9</w:t>
            </w:r>
          </w:p>
        </w:tc>
        <w:tc>
          <w:tcPr>
            <w:tcW w:w="567" w:type="dxa"/>
            <w:noWrap w:val="0"/>
            <w:vAlign w:val="center"/>
          </w:tcPr>
          <w:p w14:paraId="06B2F1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w:t>
            </w:r>
          </w:p>
        </w:tc>
        <w:tc>
          <w:tcPr>
            <w:tcW w:w="567" w:type="dxa"/>
            <w:noWrap w:val="0"/>
            <w:vAlign w:val="center"/>
          </w:tcPr>
          <w:p w14:paraId="7A9991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5</w:t>
            </w:r>
          </w:p>
        </w:tc>
        <w:tc>
          <w:tcPr>
            <w:tcW w:w="584" w:type="dxa"/>
            <w:noWrap w:val="0"/>
            <w:vAlign w:val="center"/>
          </w:tcPr>
          <w:p w14:paraId="4B92F3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3</w:t>
            </w:r>
          </w:p>
        </w:tc>
        <w:tc>
          <w:tcPr>
            <w:tcW w:w="586" w:type="dxa"/>
            <w:noWrap w:val="0"/>
            <w:vAlign w:val="center"/>
          </w:tcPr>
          <w:p w14:paraId="0CB1504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w:t>
            </w:r>
          </w:p>
        </w:tc>
        <w:tc>
          <w:tcPr>
            <w:tcW w:w="537" w:type="dxa"/>
            <w:noWrap w:val="0"/>
            <w:vAlign w:val="center"/>
          </w:tcPr>
          <w:p w14:paraId="4F0599D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7</w:t>
            </w:r>
          </w:p>
        </w:tc>
        <w:tc>
          <w:tcPr>
            <w:tcW w:w="597" w:type="dxa"/>
            <w:noWrap w:val="0"/>
            <w:vAlign w:val="center"/>
          </w:tcPr>
          <w:p w14:paraId="4E44D7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8</w:t>
            </w:r>
          </w:p>
        </w:tc>
      </w:tr>
      <w:tr w14:paraId="78206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44" w:hRule="atLeast"/>
          <w:jc w:val="center"/>
        </w:trPr>
        <w:tc>
          <w:tcPr>
            <w:tcW w:w="1263" w:type="dxa"/>
            <w:noWrap w:val="0"/>
            <w:vAlign w:val="center"/>
          </w:tcPr>
          <w:p w14:paraId="48CA8FB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highlight w:val="none"/>
                <w:lang w:eastAsia="zh-CN"/>
              </w:rPr>
            </w:pPr>
            <w:r>
              <w:rPr>
                <w:rFonts w:hint="eastAsia"/>
                <w:highlight w:val="none"/>
              </w:rPr>
              <w:t>卫生监督所</w:t>
            </w:r>
            <w:r>
              <w:rPr>
                <w:rFonts w:hint="eastAsia"/>
                <w:highlight w:val="none"/>
                <w:lang w:eastAsia="zh-CN"/>
              </w:rPr>
              <w:t>（</w:t>
            </w:r>
            <w:r>
              <w:rPr>
                <w:rFonts w:hint="eastAsia"/>
                <w:highlight w:val="none"/>
              </w:rPr>
              <w:t>中心</w:t>
            </w:r>
            <w:r>
              <w:rPr>
                <w:rFonts w:hint="eastAsia"/>
                <w:highlight w:val="none"/>
                <w:lang w:eastAsia="zh-CN"/>
              </w:rPr>
              <w:t>）</w:t>
            </w:r>
          </w:p>
        </w:tc>
        <w:tc>
          <w:tcPr>
            <w:tcW w:w="442" w:type="dxa"/>
            <w:noWrap w:val="0"/>
            <w:vAlign w:val="center"/>
          </w:tcPr>
          <w:p w14:paraId="56E50E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w:t>
            </w:r>
          </w:p>
        </w:tc>
        <w:tc>
          <w:tcPr>
            <w:tcW w:w="567" w:type="dxa"/>
            <w:noWrap w:val="0"/>
            <w:vAlign w:val="center"/>
          </w:tcPr>
          <w:p w14:paraId="704F57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1CF85A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16</w:t>
            </w:r>
          </w:p>
        </w:tc>
        <w:tc>
          <w:tcPr>
            <w:tcW w:w="567" w:type="dxa"/>
            <w:noWrap w:val="0"/>
            <w:vAlign w:val="center"/>
          </w:tcPr>
          <w:p w14:paraId="20736E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624" w:type="dxa"/>
            <w:noWrap w:val="0"/>
            <w:vAlign w:val="center"/>
          </w:tcPr>
          <w:p w14:paraId="263A83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3D9EC08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2A8539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608" w:type="dxa"/>
            <w:noWrap w:val="0"/>
            <w:vAlign w:val="center"/>
          </w:tcPr>
          <w:p w14:paraId="5DC9C9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14F384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0641BB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67" w:type="dxa"/>
            <w:noWrap w:val="0"/>
            <w:vAlign w:val="center"/>
          </w:tcPr>
          <w:p w14:paraId="2937E5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12</w:t>
            </w:r>
          </w:p>
        </w:tc>
        <w:tc>
          <w:tcPr>
            <w:tcW w:w="584" w:type="dxa"/>
            <w:noWrap w:val="0"/>
            <w:vAlign w:val="center"/>
          </w:tcPr>
          <w:p w14:paraId="09198D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c>
          <w:tcPr>
            <w:tcW w:w="586" w:type="dxa"/>
            <w:noWrap w:val="0"/>
            <w:vAlign w:val="center"/>
          </w:tcPr>
          <w:p w14:paraId="48D77E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37" w:type="dxa"/>
            <w:noWrap w:val="0"/>
            <w:vAlign w:val="center"/>
          </w:tcPr>
          <w:p w14:paraId="1554FB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4</w:t>
            </w:r>
          </w:p>
        </w:tc>
        <w:tc>
          <w:tcPr>
            <w:tcW w:w="597" w:type="dxa"/>
            <w:noWrap w:val="0"/>
            <w:vAlign w:val="center"/>
          </w:tcPr>
          <w:p w14:paraId="4345920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0</w:t>
            </w:r>
          </w:p>
        </w:tc>
      </w:tr>
      <w:tr w14:paraId="32C92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432" w:hRule="atLeast"/>
          <w:jc w:val="center"/>
        </w:trPr>
        <w:tc>
          <w:tcPr>
            <w:tcW w:w="2272" w:type="dxa"/>
            <w:gridSpan w:val="3"/>
            <w:noWrap w:val="0"/>
            <w:vAlign w:val="center"/>
          </w:tcPr>
          <w:p w14:paraId="6AC5FF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备注：数据来源于国家卫生计生统计信息网络直报系统2015年年报。</w:t>
            </w:r>
          </w:p>
        </w:tc>
        <w:tc>
          <w:tcPr>
            <w:tcW w:w="567" w:type="dxa"/>
            <w:noWrap/>
            <w:vAlign w:val="bottom"/>
          </w:tcPr>
          <w:p w14:paraId="3F8109C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ign w:val="bottom"/>
          </w:tcPr>
          <w:p w14:paraId="1D176C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624" w:type="dxa"/>
            <w:noWrap/>
            <w:vAlign w:val="bottom"/>
          </w:tcPr>
          <w:p w14:paraId="0F1E59D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ign w:val="bottom"/>
          </w:tcPr>
          <w:p w14:paraId="0EF9C4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ign w:val="bottom"/>
          </w:tcPr>
          <w:p w14:paraId="46E86E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608" w:type="dxa"/>
            <w:noWrap/>
            <w:vAlign w:val="bottom"/>
          </w:tcPr>
          <w:p w14:paraId="053CB9E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ign w:val="bottom"/>
          </w:tcPr>
          <w:p w14:paraId="7B65395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ign w:val="bottom"/>
          </w:tcPr>
          <w:p w14:paraId="7EDA297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67" w:type="dxa"/>
            <w:noWrap/>
            <w:vAlign w:val="bottom"/>
          </w:tcPr>
          <w:p w14:paraId="1BA0B6C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84" w:type="dxa"/>
            <w:noWrap/>
            <w:vAlign w:val="bottom"/>
          </w:tcPr>
          <w:p w14:paraId="0E00F7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86" w:type="dxa"/>
            <w:noWrap/>
            <w:vAlign w:val="bottom"/>
          </w:tcPr>
          <w:p w14:paraId="33F994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37" w:type="dxa"/>
            <w:noWrap/>
            <w:vAlign w:val="bottom"/>
          </w:tcPr>
          <w:p w14:paraId="46665B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c>
          <w:tcPr>
            <w:tcW w:w="597" w:type="dxa"/>
            <w:noWrap/>
            <w:vAlign w:val="bottom"/>
          </w:tcPr>
          <w:p w14:paraId="09A580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p>
        </w:tc>
      </w:tr>
    </w:tbl>
    <w:p w14:paraId="2C803629">
      <w:pPr>
        <w:rPr>
          <w:rFonts w:hAnsi="宋体" w:cs="宋体"/>
          <w:highlight w:val="none"/>
        </w:rPr>
        <w:sectPr>
          <w:pgSz w:w="16838" w:h="11906" w:orient="landscape"/>
          <w:pgMar w:top="1752" w:right="1440" w:bottom="1752" w:left="1440" w:header="851" w:footer="992" w:gutter="0"/>
          <w:cols w:space="720" w:num="1"/>
          <w:docGrid w:type="lines" w:linePitch="312" w:charSpace="0"/>
        </w:sectPr>
      </w:pPr>
    </w:p>
    <w:p w14:paraId="7D4FA3A3">
      <w:pPr>
        <w:jc w:val="center"/>
        <w:rPr>
          <w:rFonts w:hint="eastAsia" w:hAnsi="宋体" w:cs="宋体"/>
          <w:highlight w:val="none"/>
        </w:rPr>
      </w:pPr>
      <w:r>
        <w:rPr>
          <w:rFonts w:hint="eastAsia" w:hAnsi="宋体" w:cs="宋体"/>
          <w:highlight w:val="none"/>
        </w:rPr>
        <w:t>全市文化体育事业情况</w:t>
      </w:r>
    </w:p>
    <w:p w14:paraId="62178FA7">
      <w:pPr>
        <w:rPr>
          <w:rFonts w:hint="eastAsia" w:hAnsi="宋体" w:cs="宋体"/>
          <w:highlight w:val="none"/>
        </w:rPr>
      </w:pPr>
      <w:r>
        <w:rPr>
          <w:rFonts w:hint="eastAsia" w:hAnsi="宋体" w:cs="宋体"/>
          <w:highlight w:val="none"/>
        </w:rPr>
        <w:t>表59</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77"/>
        <w:gridCol w:w="1820"/>
        <w:gridCol w:w="1821"/>
      </w:tblGrid>
      <w:tr w14:paraId="5BF7D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48624BC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指</w:t>
            </w:r>
            <w:r>
              <w:rPr>
                <w:b/>
                <w:highlight w:val="none"/>
              </w:rPr>
              <w:t xml:space="preserve">    </w:t>
            </w:r>
            <w:r>
              <w:rPr>
                <w:rFonts w:hint="eastAsia"/>
                <w:b/>
                <w:highlight w:val="none"/>
              </w:rPr>
              <w:t>标</w:t>
            </w:r>
            <w:r>
              <w:rPr>
                <w:b/>
                <w:highlight w:val="none"/>
              </w:rPr>
              <w:t xml:space="preserve">    </w:t>
            </w:r>
            <w:r>
              <w:rPr>
                <w:rFonts w:hint="eastAsia"/>
                <w:b/>
                <w:highlight w:val="none"/>
              </w:rPr>
              <w:t>名</w:t>
            </w:r>
            <w:r>
              <w:rPr>
                <w:b/>
                <w:highlight w:val="none"/>
              </w:rPr>
              <w:t xml:space="preserve">    </w:t>
            </w:r>
            <w:r>
              <w:rPr>
                <w:rFonts w:hint="eastAsia"/>
                <w:highlight w:val="none"/>
              </w:rPr>
              <w:t>称</w:t>
            </w:r>
          </w:p>
        </w:tc>
        <w:tc>
          <w:tcPr>
            <w:tcW w:w="1280" w:type="dxa"/>
            <w:noWrap w:val="0"/>
            <w:vAlign w:val="center"/>
          </w:tcPr>
          <w:p w14:paraId="14ABE7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计量单位</w:t>
            </w:r>
          </w:p>
        </w:tc>
        <w:tc>
          <w:tcPr>
            <w:tcW w:w="1280" w:type="dxa"/>
            <w:noWrap w:val="0"/>
            <w:vAlign w:val="center"/>
          </w:tcPr>
          <w:p w14:paraId="568BF0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highlight w:val="none"/>
              </w:rPr>
              <w:t>2015年</w:t>
            </w:r>
          </w:p>
        </w:tc>
      </w:tr>
      <w:tr w14:paraId="02C31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4260F1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影剧院</w:t>
            </w:r>
          </w:p>
        </w:tc>
        <w:tc>
          <w:tcPr>
            <w:tcW w:w="1280" w:type="dxa"/>
            <w:noWrap/>
            <w:vAlign w:val="center"/>
          </w:tcPr>
          <w:p w14:paraId="66CA48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间</w:t>
            </w:r>
          </w:p>
        </w:tc>
        <w:tc>
          <w:tcPr>
            <w:tcW w:w="1280" w:type="dxa"/>
            <w:noWrap/>
            <w:vAlign w:val="center"/>
          </w:tcPr>
          <w:p w14:paraId="49E0B6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r>
      <w:tr w14:paraId="7E84C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2DB19B9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公共图书馆</w:t>
            </w:r>
          </w:p>
        </w:tc>
        <w:tc>
          <w:tcPr>
            <w:tcW w:w="1280" w:type="dxa"/>
            <w:noWrap/>
            <w:vAlign w:val="center"/>
          </w:tcPr>
          <w:p w14:paraId="57761A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ign w:val="center"/>
          </w:tcPr>
          <w:p w14:paraId="489700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r>
      <w:tr w14:paraId="55440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258789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公共图书馆建筑面积</w:t>
            </w:r>
          </w:p>
        </w:tc>
        <w:tc>
          <w:tcPr>
            <w:tcW w:w="1280" w:type="dxa"/>
            <w:noWrap/>
            <w:vAlign w:val="center"/>
          </w:tcPr>
          <w:p w14:paraId="35AE7DB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平方米</w:t>
            </w:r>
          </w:p>
        </w:tc>
        <w:tc>
          <w:tcPr>
            <w:tcW w:w="1280" w:type="dxa"/>
            <w:noWrap/>
            <w:vAlign w:val="center"/>
          </w:tcPr>
          <w:p w14:paraId="5615A7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2000</w:t>
            </w:r>
          </w:p>
        </w:tc>
      </w:tr>
      <w:tr w14:paraId="7905B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02214B4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公共图书馆图书总藏量</w:t>
            </w:r>
          </w:p>
        </w:tc>
        <w:tc>
          <w:tcPr>
            <w:tcW w:w="1280" w:type="dxa"/>
            <w:noWrap/>
            <w:vAlign w:val="center"/>
          </w:tcPr>
          <w:p w14:paraId="6F8F758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万册</w:t>
            </w:r>
          </w:p>
        </w:tc>
        <w:tc>
          <w:tcPr>
            <w:tcW w:w="1280" w:type="dxa"/>
            <w:noWrap/>
            <w:vAlign w:val="center"/>
          </w:tcPr>
          <w:p w14:paraId="762F7A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7.03</w:t>
            </w:r>
          </w:p>
        </w:tc>
      </w:tr>
      <w:tr w14:paraId="07A2B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218DEF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博物馆</w:t>
            </w:r>
          </w:p>
        </w:tc>
        <w:tc>
          <w:tcPr>
            <w:tcW w:w="1280" w:type="dxa"/>
            <w:noWrap/>
            <w:vAlign w:val="center"/>
          </w:tcPr>
          <w:p w14:paraId="7F8F64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ign w:val="center"/>
          </w:tcPr>
          <w:p w14:paraId="55CC05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r>
      <w:tr w14:paraId="6C5B1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7657035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博物馆建筑面积</w:t>
            </w:r>
          </w:p>
        </w:tc>
        <w:tc>
          <w:tcPr>
            <w:tcW w:w="1280" w:type="dxa"/>
            <w:noWrap/>
            <w:vAlign w:val="center"/>
          </w:tcPr>
          <w:p w14:paraId="16259A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平方米</w:t>
            </w:r>
          </w:p>
        </w:tc>
        <w:tc>
          <w:tcPr>
            <w:tcW w:w="1280" w:type="dxa"/>
            <w:noWrap/>
            <w:vAlign w:val="center"/>
          </w:tcPr>
          <w:p w14:paraId="30D092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2500</w:t>
            </w:r>
          </w:p>
        </w:tc>
      </w:tr>
      <w:tr w14:paraId="122B6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5158886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文物保护单位数</w:t>
            </w:r>
          </w:p>
        </w:tc>
        <w:tc>
          <w:tcPr>
            <w:tcW w:w="1280" w:type="dxa"/>
            <w:noWrap/>
            <w:vAlign w:val="center"/>
          </w:tcPr>
          <w:p w14:paraId="0DB33CC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ign w:val="center"/>
          </w:tcPr>
          <w:p w14:paraId="1A078A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53</w:t>
            </w:r>
          </w:p>
        </w:tc>
      </w:tr>
      <w:tr w14:paraId="7A5CC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40B531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#全国重点文物保护单位</w:t>
            </w:r>
          </w:p>
        </w:tc>
        <w:tc>
          <w:tcPr>
            <w:tcW w:w="1280" w:type="dxa"/>
            <w:noWrap/>
            <w:vAlign w:val="center"/>
          </w:tcPr>
          <w:p w14:paraId="6C8ACD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ign w:val="center"/>
          </w:tcPr>
          <w:p w14:paraId="780A78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w:t>
            </w:r>
          </w:p>
        </w:tc>
      </w:tr>
      <w:tr w14:paraId="52004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19ED20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省重点文物保护单位</w:t>
            </w:r>
          </w:p>
        </w:tc>
        <w:tc>
          <w:tcPr>
            <w:tcW w:w="1280" w:type="dxa"/>
            <w:noWrap/>
            <w:vAlign w:val="center"/>
          </w:tcPr>
          <w:p w14:paraId="33C2A13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ign w:val="center"/>
          </w:tcPr>
          <w:p w14:paraId="213CF1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w:t>
            </w:r>
          </w:p>
        </w:tc>
      </w:tr>
      <w:tr w14:paraId="6E449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ign w:val="center"/>
          </w:tcPr>
          <w:p w14:paraId="4803F46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有线广播电视用户</w:t>
            </w:r>
          </w:p>
        </w:tc>
        <w:tc>
          <w:tcPr>
            <w:tcW w:w="1280" w:type="dxa"/>
            <w:noWrap/>
            <w:vAlign w:val="center"/>
          </w:tcPr>
          <w:p w14:paraId="5A8C1A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户</w:t>
            </w:r>
          </w:p>
        </w:tc>
        <w:tc>
          <w:tcPr>
            <w:tcW w:w="1280" w:type="dxa"/>
            <w:noWrap/>
            <w:vAlign w:val="center"/>
          </w:tcPr>
          <w:p w14:paraId="627977A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81766</w:t>
            </w:r>
          </w:p>
        </w:tc>
      </w:tr>
      <w:tr w14:paraId="0D0B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38352B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体育场</w:t>
            </w:r>
          </w:p>
        </w:tc>
        <w:tc>
          <w:tcPr>
            <w:tcW w:w="1280" w:type="dxa"/>
            <w:noWrap w:val="0"/>
            <w:vAlign w:val="center"/>
          </w:tcPr>
          <w:p w14:paraId="7C7AC6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0"/>
            <w:vAlign w:val="center"/>
          </w:tcPr>
          <w:p w14:paraId="27A639E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15</w:t>
            </w:r>
          </w:p>
        </w:tc>
      </w:tr>
      <w:tr w14:paraId="403C5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5A7AC5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250米田径场</w:t>
            </w:r>
          </w:p>
        </w:tc>
        <w:tc>
          <w:tcPr>
            <w:tcW w:w="1280" w:type="dxa"/>
            <w:noWrap w:val="0"/>
            <w:vAlign w:val="center"/>
          </w:tcPr>
          <w:p w14:paraId="2899ED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0"/>
            <w:vAlign w:val="center"/>
          </w:tcPr>
          <w:p w14:paraId="34DAB7A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28</w:t>
            </w:r>
          </w:p>
        </w:tc>
      </w:tr>
      <w:tr w14:paraId="0B2A0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6C2EEAD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全市各单位举办运动会数</w:t>
            </w:r>
          </w:p>
        </w:tc>
        <w:tc>
          <w:tcPr>
            <w:tcW w:w="1280" w:type="dxa"/>
            <w:noWrap w:val="0"/>
            <w:vAlign w:val="center"/>
          </w:tcPr>
          <w:p w14:paraId="59DCDA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次</w:t>
            </w:r>
          </w:p>
        </w:tc>
        <w:tc>
          <w:tcPr>
            <w:tcW w:w="1280" w:type="dxa"/>
            <w:noWrap w:val="0"/>
            <w:vAlign w:val="center"/>
          </w:tcPr>
          <w:p w14:paraId="5BA557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38</w:t>
            </w:r>
          </w:p>
        </w:tc>
      </w:tr>
      <w:tr w14:paraId="69662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2BA33D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参加运动比赛人数</w:t>
            </w:r>
          </w:p>
        </w:tc>
        <w:tc>
          <w:tcPr>
            <w:tcW w:w="1280" w:type="dxa"/>
            <w:noWrap w:val="0"/>
            <w:vAlign w:val="center"/>
          </w:tcPr>
          <w:p w14:paraId="18FA1A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万人次</w:t>
            </w:r>
          </w:p>
        </w:tc>
        <w:tc>
          <w:tcPr>
            <w:tcW w:w="1280" w:type="dxa"/>
            <w:noWrap w:val="0"/>
            <w:vAlign w:val="center"/>
          </w:tcPr>
          <w:p w14:paraId="100982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6.2</w:t>
            </w:r>
          </w:p>
        </w:tc>
      </w:tr>
      <w:tr w14:paraId="44131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6AE35C7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参加地级市以上竞赛获奖牌数</w:t>
            </w:r>
          </w:p>
        </w:tc>
        <w:tc>
          <w:tcPr>
            <w:tcW w:w="1280" w:type="dxa"/>
            <w:noWrap w:val="0"/>
            <w:vAlign w:val="center"/>
          </w:tcPr>
          <w:p w14:paraId="5455CD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枚</w:t>
            </w:r>
          </w:p>
        </w:tc>
        <w:tc>
          <w:tcPr>
            <w:tcW w:w="1280" w:type="dxa"/>
            <w:noWrap w:val="0"/>
            <w:vAlign w:val="center"/>
          </w:tcPr>
          <w:p w14:paraId="6DFD49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7</w:t>
            </w:r>
          </w:p>
        </w:tc>
      </w:tr>
      <w:tr w14:paraId="4706F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6C8517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#：金牌</w:t>
            </w:r>
          </w:p>
        </w:tc>
        <w:tc>
          <w:tcPr>
            <w:tcW w:w="1280" w:type="dxa"/>
            <w:noWrap w:val="0"/>
            <w:vAlign w:val="center"/>
          </w:tcPr>
          <w:p w14:paraId="126523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枚</w:t>
            </w:r>
          </w:p>
        </w:tc>
        <w:tc>
          <w:tcPr>
            <w:tcW w:w="1280" w:type="dxa"/>
            <w:noWrap w:val="0"/>
            <w:vAlign w:val="center"/>
          </w:tcPr>
          <w:p w14:paraId="345D15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w:t>
            </w:r>
          </w:p>
        </w:tc>
      </w:tr>
      <w:tr w14:paraId="083B8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586AED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银牌</w:t>
            </w:r>
          </w:p>
        </w:tc>
        <w:tc>
          <w:tcPr>
            <w:tcW w:w="1280" w:type="dxa"/>
            <w:noWrap w:val="0"/>
            <w:vAlign w:val="center"/>
          </w:tcPr>
          <w:p w14:paraId="61E07BC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枚</w:t>
            </w:r>
          </w:p>
        </w:tc>
        <w:tc>
          <w:tcPr>
            <w:tcW w:w="1280" w:type="dxa"/>
            <w:noWrap w:val="0"/>
            <w:vAlign w:val="center"/>
          </w:tcPr>
          <w:p w14:paraId="393F66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r>
      <w:tr w14:paraId="7ED1D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57CAAF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铜牌</w:t>
            </w:r>
          </w:p>
        </w:tc>
        <w:tc>
          <w:tcPr>
            <w:tcW w:w="1280" w:type="dxa"/>
            <w:noWrap w:val="0"/>
            <w:vAlign w:val="center"/>
          </w:tcPr>
          <w:p w14:paraId="02522D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枚</w:t>
            </w:r>
          </w:p>
        </w:tc>
        <w:tc>
          <w:tcPr>
            <w:tcW w:w="1280" w:type="dxa"/>
            <w:noWrap w:val="0"/>
            <w:vAlign w:val="center"/>
          </w:tcPr>
          <w:p w14:paraId="43DEED8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3</w:t>
            </w:r>
          </w:p>
        </w:tc>
      </w:tr>
      <w:tr w14:paraId="2A048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394E3C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体育福彩投注站</w:t>
            </w:r>
          </w:p>
        </w:tc>
        <w:tc>
          <w:tcPr>
            <w:tcW w:w="1280" w:type="dxa"/>
            <w:noWrap w:val="0"/>
            <w:vAlign w:val="center"/>
          </w:tcPr>
          <w:p w14:paraId="13A3A1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个</w:t>
            </w:r>
          </w:p>
        </w:tc>
        <w:tc>
          <w:tcPr>
            <w:tcW w:w="1280" w:type="dxa"/>
            <w:noWrap w:val="0"/>
            <w:vAlign w:val="center"/>
          </w:tcPr>
          <w:p w14:paraId="40799F4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12</w:t>
            </w:r>
          </w:p>
        </w:tc>
      </w:tr>
      <w:tr w14:paraId="35EC2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268D4A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体育指导员</w:t>
            </w:r>
          </w:p>
        </w:tc>
        <w:tc>
          <w:tcPr>
            <w:tcW w:w="1280" w:type="dxa"/>
            <w:noWrap w:val="0"/>
            <w:vAlign w:val="center"/>
          </w:tcPr>
          <w:p w14:paraId="045ECB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w:t>
            </w:r>
          </w:p>
        </w:tc>
        <w:tc>
          <w:tcPr>
            <w:tcW w:w="1280" w:type="dxa"/>
            <w:noWrap w:val="0"/>
            <w:vAlign w:val="center"/>
          </w:tcPr>
          <w:p w14:paraId="211A0B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181</w:t>
            </w:r>
          </w:p>
        </w:tc>
      </w:tr>
      <w:tr w14:paraId="00461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73C2813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#一级</w:t>
            </w:r>
          </w:p>
        </w:tc>
        <w:tc>
          <w:tcPr>
            <w:tcW w:w="1280" w:type="dxa"/>
            <w:noWrap w:val="0"/>
            <w:vAlign w:val="center"/>
          </w:tcPr>
          <w:p w14:paraId="7FB34B9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w:t>
            </w:r>
          </w:p>
        </w:tc>
        <w:tc>
          <w:tcPr>
            <w:tcW w:w="1280" w:type="dxa"/>
            <w:noWrap w:val="0"/>
            <w:vAlign w:val="center"/>
          </w:tcPr>
          <w:p w14:paraId="3D0602A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0</w:t>
            </w:r>
          </w:p>
        </w:tc>
      </w:tr>
      <w:tr w14:paraId="6FBB5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28FC1CA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二级</w:t>
            </w:r>
          </w:p>
        </w:tc>
        <w:tc>
          <w:tcPr>
            <w:tcW w:w="1280" w:type="dxa"/>
            <w:noWrap w:val="0"/>
            <w:vAlign w:val="center"/>
          </w:tcPr>
          <w:p w14:paraId="4F6CDB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w:t>
            </w:r>
          </w:p>
        </w:tc>
        <w:tc>
          <w:tcPr>
            <w:tcW w:w="1280" w:type="dxa"/>
            <w:noWrap w:val="0"/>
            <w:vAlign w:val="center"/>
          </w:tcPr>
          <w:p w14:paraId="1F4A94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43</w:t>
            </w:r>
          </w:p>
        </w:tc>
      </w:tr>
      <w:tr w14:paraId="7B676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00" w:type="dxa"/>
            <w:noWrap w:val="0"/>
            <w:vAlign w:val="center"/>
          </w:tcPr>
          <w:p w14:paraId="10708D5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三级</w:t>
            </w:r>
          </w:p>
        </w:tc>
        <w:tc>
          <w:tcPr>
            <w:tcW w:w="1280" w:type="dxa"/>
            <w:noWrap w:val="0"/>
            <w:vAlign w:val="center"/>
          </w:tcPr>
          <w:p w14:paraId="0FD181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人</w:t>
            </w:r>
          </w:p>
        </w:tc>
        <w:tc>
          <w:tcPr>
            <w:tcW w:w="1280" w:type="dxa"/>
            <w:noWrap w:val="0"/>
            <w:vAlign w:val="center"/>
          </w:tcPr>
          <w:p w14:paraId="3B8B7B2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highlight w:val="none"/>
              </w:rPr>
            </w:pPr>
            <w:r>
              <w:rPr>
                <w:rFonts w:hint="eastAsia"/>
                <w:highlight w:val="none"/>
              </w:rPr>
              <w:t>138</w:t>
            </w:r>
          </w:p>
        </w:tc>
      </w:tr>
    </w:tbl>
    <w:p w14:paraId="4CEDFACE">
      <w:pPr>
        <w:bidi w:val="0"/>
        <w:rPr>
          <w:highlight w:val="none"/>
        </w:rPr>
      </w:pPr>
      <w:r>
        <w:rPr>
          <w:rFonts w:hint="eastAsia"/>
          <w:highlight w:val="none"/>
        </w:rPr>
        <w:t>注：此表数据来源于市文化广电新闻出版局、市体育局。</w:t>
      </w:r>
    </w:p>
    <w:p w14:paraId="547A966C">
      <w:pPr>
        <w:rPr>
          <w:rFonts w:hAnsi="宋体" w:cs="宋体"/>
          <w:highlight w:val="none"/>
        </w:rPr>
        <w:sectPr>
          <w:pgSz w:w="11906" w:h="16838"/>
          <w:pgMar w:top="1440" w:right="1752" w:bottom="1440" w:left="1752" w:header="851" w:footer="992" w:gutter="0"/>
          <w:cols w:space="720" w:num="1"/>
          <w:docGrid w:type="lines" w:linePitch="312" w:charSpace="0"/>
        </w:sectPr>
      </w:pPr>
    </w:p>
    <w:p w14:paraId="3F6D2428">
      <w:pPr>
        <w:pStyle w:val="2"/>
        <w:bidi w:val="0"/>
        <w:rPr>
          <w:rFonts w:hint="eastAsia"/>
          <w:highlight w:val="none"/>
        </w:rPr>
      </w:pPr>
      <w:r>
        <w:rPr>
          <w:rFonts w:hint="eastAsia"/>
          <w:highlight w:val="none"/>
        </w:rPr>
        <w:t>索 引</w:t>
      </w:r>
    </w:p>
    <w:p w14:paraId="6F065D5B">
      <w:pPr>
        <w:bidi w:val="0"/>
        <w:ind w:left="0" w:leftChars="0" w:firstLine="0" w:firstLineChars="0"/>
        <w:jc w:val="center"/>
        <w:rPr>
          <w:rFonts w:hint="eastAsia"/>
          <w:b/>
          <w:bCs/>
          <w:highlight w:val="none"/>
        </w:rPr>
      </w:pPr>
      <w:r>
        <w:rPr>
          <w:rFonts w:hint="eastAsia"/>
          <w:b/>
          <w:bCs/>
          <w:highlight w:val="none"/>
        </w:rPr>
        <w:t>说明</w:t>
      </w:r>
    </w:p>
    <w:p w14:paraId="795CA5AB">
      <w:pPr>
        <w:rPr>
          <w:rFonts w:hint="eastAsia"/>
          <w:highlight w:val="none"/>
        </w:rPr>
      </w:pPr>
      <w:r>
        <w:rPr>
          <w:rFonts w:hint="eastAsia"/>
          <w:highlight w:val="none"/>
        </w:rPr>
        <w:t>一、本索引采用主题分析方法，款目按汉语拼音字母（同音字按声调）循序排列。</w:t>
      </w:r>
    </w:p>
    <w:p w14:paraId="7F55854F">
      <w:pPr>
        <w:rPr>
          <w:rFonts w:hint="eastAsia"/>
          <w:highlight w:val="none"/>
        </w:rPr>
      </w:pPr>
      <w:r>
        <w:rPr>
          <w:rFonts w:hint="eastAsia"/>
          <w:highlight w:val="none"/>
        </w:rPr>
        <w:t>二、文中的类目题、分目题用黑体字表明，其余用宋体字排印。表格、图片在其款目后分别注明“表”或“图”。</w:t>
      </w:r>
    </w:p>
    <w:p w14:paraId="76BE263A">
      <w:pPr>
        <w:rPr>
          <w:rFonts w:hint="eastAsia"/>
          <w:highlight w:val="none"/>
        </w:rPr>
      </w:pPr>
      <w:r>
        <w:rPr>
          <w:rFonts w:hint="eastAsia"/>
          <w:highlight w:val="none"/>
        </w:rPr>
        <w:t>三、索引款目后的数字表示内容所在的页码。</w:t>
      </w:r>
    </w:p>
    <w:p w14:paraId="0703470D">
      <w:pPr>
        <w:rPr>
          <w:rFonts w:hint="eastAsia"/>
          <w:highlight w:val="none"/>
        </w:rPr>
      </w:pPr>
      <w:r>
        <w:rPr>
          <w:rFonts w:hint="eastAsia"/>
          <w:highlight w:val="none"/>
        </w:rPr>
        <w:t>四、本索引对《大事记》等篇不作内容主题分析。</w:t>
      </w:r>
    </w:p>
    <w:p w14:paraId="3FD57C44">
      <w:pPr>
        <w:pStyle w:val="3"/>
        <w:bidi w:val="0"/>
        <w:rPr>
          <w:rFonts w:hint="eastAsia"/>
          <w:highlight w:val="none"/>
        </w:rPr>
      </w:pPr>
      <w:r>
        <w:rPr>
          <w:rFonts w:hint="eastAsia"/>
          <w:highlight w:val="none"/>
        </w:rPr>
        <w:t>主题索引</w:t>
      </w:r>
    </w:p>
    <w:p w14:paraId="00320FA7">
      <w:pPr>
        <w:pStyle w:val="4"/>
        <w:bidi w:val="0"/>
        <w:rPr>
          <w:rFonts w:hint="eastAsia"/>
          <w:highlight w:val="none"/>
        </w:rPr>
      </w:pPr>
      <w:r>
        <w:rPr>
          <w:rFonts w:hint="eastAsia"/>
          <w:highlight w:val="none"/>
        </w:rPr>
        <w:t>A</w:t>
      </w:r>
    </w:p>
    <w:p w14:paraId="500184C2">
      <w:pPr>
        <w:rPr>
          <w:rFonts w:hint="eastAsia"/>
          <w:highlight w:val="none"/>
        </w:rPr>
      </w:pPr>
      <w:r>
        <w:rPr>
          <w:rFonts w:hint="eastAsia"/>
          <w:highlight w:val="none"/>
        </w:rPr>
        <w:t>爱国卫生运动288</w:t>
      </w:r>
    </w:p>
    <w:p w14:paraId="2DFE6CFB">
      <w:pPr>
        <w:rPr>
          <w:rFonts w:hint="eastAsia"/>
          <w:highlight w:val="none"/>
        </w:rPr>
      </w:pPr>
      <w:r>
        <w:rPr>
          <w:rFonts w:hint="eastAsia"/>
          <w:highlight w:val="none"/>
        </w:rPr>
        <w:t>安全保卫92</w:t>
      </w:r>
    </w:p>
    <w:p w14:paraId="11F88604">
      <w:pPr>
        <w:rPr>
          <w:rFonts w:hint="eastAsia"/>
          <w:highlight w:val="none"/>
        </w:rPr>
      </w:pPr>
      <w:r>
        <w:rPr>
          <w:rFonts w:hint="eastAsia"/>
          <w:highlight w:val="none"/>
        </w:rPr>
        <w:t>安全管理152 184 210</w:t>
      </w:r>
    </w:p>
    <w:p w14:paraId="4BC3241F">
      <w:pPr>
        <w:rPr>
          <w:rFonts w:hint="eastAsia"/>
          <w:highlight w:val="none"/>
        </w:rPr>
      </w:pPr>
      <w:r>
        <w:rPr>
          <w:rFonts w:hint="eastAsia"/>
          <w:highlight w:val="none"/>
        </w:rPr>
        <w:t>安全监管338</w:t>
      </w:r>
    </w:p>
    <w:p w14:paraId="3C924164">
      <w:pPr>
        <w:rPr>
          <w:rFonts w:hint="eastAsia"/>
          <w:highlight w:val="none"/>
        </w:rPr>
      </w:pPr>
      <w:r>
        <w:rPr>
          <w:rFonts w:hint="eastAsia"/>
          <w:highlight w:val="none"/>
        </w:rPr>
        <w:t>安全教育培训181</w:t>
      </w:r>
    </w:p>
    <w:p w14:paraId="014B862C">
      <w:pPr>
        <w:rPr>
          <w:rFonts w:hint="eastAsia"/>
          <w:highlight w:val="none"/>
        </w:rPr>
      </w:pPr>
      <w:r>
        <w:rPr>
          <w:rFonts w:hint="eastAsia"/>
          <w:highlight w:val="none"/>
        </w:rPr>
        <w:t>安全生产176 227 359 370</w:t>
      </w:r>
    </w:p>
    <w:p w14:paraId="19442602">
      <w:pPr>
        <w:rPr>
          <w:rFonts w:hint="eastAsia"/>
          <w:highlight w:val="none"/>
        </w:rPr>
      </w:pPr>
      <w:r>
        <w:rPr>
          <w:rFonts w:hint="eastAsia"/>
          <w:highlight w:val="none"/>
        </w:rPr>
        <w:t>安全生产管理226</w:t>
      </w:r>
    </w:p>
    <w:p w14:paraId="1451A554">
      <w:pPr>
        <w:rPr>
          <w:rFonts w:hint="eastAsia"/>
          <w:highlight w:val="none"/>
        </w:rPr>
      </w:pPr>
      <w:r>
        <w:rPr>
          <w:rFonts w:hint="eastAsia"/>
          <w:highlight w:val="none"/>
        </w:rPr>
        <w:t>安全生产和食品药品管理347</w:t>
      </w:r>
    </w:p>
    <w:p w14:paraId="02DCC12F">
      <w:pPr>
        <w:rPr>
          <w:rFonts w:hint="eastAsia"/>
          <w:highlight w:val="none"/>
        </w:rPr>
      </w:pPr>
      <w:r>
        <w:rPr>
          <w:rFonts w:hint="eastAsia"/>
          <w:highlight w:val="none"/>
        </w:rPr>
        <w:t>安全生产和食品药品监督工作341</w:t>
      </w:r>
    </w:p>
    <w:p w14:paraId="79871C3C">
      <w:pPr>
        <w:rPr>
          <w:rFonts w:hint="eastAsia"/>
          <w:highlight w:val="none"/>
        </w:rPr>
      </w:pPr>
      <w:r>
        <w:rPr>
          <w:rFonts w:hint="eastAsia"/>
          <w:highlight w:val="none"/>
        </w:rPr>
        <w:t>安全生产基本情况180</w:t>
      </w:r>
    </w:p>
    <w:p w14:paraId="0DD2944D">
      <w:pPr>
        <w:rPr>
          <w:rFonts w:hint="eastAsia"/>
          <w:highlight w:val="none"/>
        </w:rPr>
      </w:pPr>
      <w:r>
        <w:rPr>
          <w:rFonts w:hint="eastAsia"/>
          <w:highlight w:val="none"/>
        </w:rPr>
        <w:t>安全生产监督管理180</w:t>
      </w:r>
    </w:p>
    <w:p w14:paraId="7FF66C71">
      <w:pPr>
        <w:rPr>
          <w:rFonts w:hint="eastAsia"/>
          <w:highlight w:val="none"/>
        </w:rPr>
      </w:pPr>
      <w:r>
        <w:rPr>
          <w:rFonts w:hint="eastAsia"/>
          <w:highlight w:val="none"/>
        </w:rPr>
        <w:t>安全生产月活动181</w:t>
      </w:r>
    </w:p>
    <w:p w14:paraId="7A84C20C">
      <w:pPr>
        <w:rPr>
          <w:rFonts w:hint="eastAsia"/>
          <w:highlight w:val="none"/>
        </w:rPr>
      </w:pPr>
      <w:r>
        <w:rPr>
          <w:rFonts w:hint="eastAsia"/>
          <w:highlight w:val="none"/>
        </w:rPr>
        <w:t>安置帮教148</w:t>
      </w:r>
    </w:p>
    <w:p w14:paraId="77B73D76">
      <w:pPr>
        <w:rPr>
          <w:rFonts w:hint="eastAsia"/>
          <w:highlight w:val="none"/>
        </w:rPr>
      </w:pPr>
      <w:r>
        <w:rPr>
          <w:rFonts w:hint="eastAsia"/>
          <w:highlight w:val="none"/>
        </w:rPr>
        <w:t>案管中心142</w:t>
      </w:r>
    </w:p>
    <w:p w14:paraId="6695E1A8">
      <w:pPr>
        <w:rPr>
          <w:rFonts w:hint="eastAsia"/>
          <w:highlight w:val="none"/>
        </w:rPr>
      </w:pPr>
      <w:r>
        <w:rPr>
          <w:rFonts w:hint="eastAsia"/>
          <w:highlight w:val="none"/>
        </w:rPr>
        <w:t>案件查处110</w:t>
      </w:r>
    </w:p>
    <w:p w14:paraId="62873DA4">
      <w:pPr>
        <w:rPr>
          <w:rFonts w:hint="eastAsia"/>
          <w:highlight w:val="none"/>
        </w:rPr>
      </w:pPr>
      <w:r>
        <w:rPr>
          <w:rFonts w:hint="eastAsia"/>
          <w:highlight w:val="none"/>
        </w:rPr>
        <w:t>案件执行144</w:t>
      </w:r>
    </w:p>
    <w:p w14:paraId="4FB2D648">
      <w:pPr>
        <w:pStyle w:val="4"/>
        <w:bidi w:val="0"/>
        <w:rPr>
          <w:rFonts w:hint="eastAsia"/>
          <w:highlight w:val="none"/>
          <w:lang w:val="en-US" w:eastAsia="zh-CN"/>
        </w:rPr>
      </w:pPr>
      <w:r>
        <w:rPr>
          <w:rFonts w:hint="eastAsia"/>
          <w:highlight w:val="none"/>
          <w:lang w:val="en-US" w:eastAsia="zh-CN"/>
        </w:rPr>
        <w:t>B</w:t>
      </w:r>
    </w:p>
    <w:p w14:paraId="51AA27C5">
      <w:pPr>
        <w:rPr>
          <w:rFonts w:hint="eastAsia"/>
          <w:highlight w:val="none"/>
          <w:lang w:val="en-US" w:eastAsia="zh-CN"/>
        </w:rPr>
      </w:pPr>
      <w:r>
        <w:rPr>
          <w:rFonts w:hint="eastAsia"/>
          <w:highlight w:val="none"/>
          <w:lang w:val="en-US" w:eastAsia="zh-CN"/>
        </w:rPr>
        <w:t>白蚁防治241</w:t>
      </w:r>
    </w:p>
    <w:p w14:paraId="353BC36D">
      <w:pPr>
        <w:rPr>
          <w:rFonts w:hint="eastAsia"/>
          <w:highlight w:val="none"/>
          <w:lang w:val="en-US" w:eastAsia="zh-CN"/>
        </w:rPr>
      </w:pPr>
      <w:r>
        <w:rPr>
          <w:rFonts w:hint="eastAsia"/>
          <w:highlight w:val="none"/>
          <w:lang w:val="en-US" w:eastAsia="zh-CN"/>
        </w:rPr>
        <w:t>百顺镇362</w:t>
      </w:r>
    </w:p>
    <w:p w14:paraId="2DF1FF79">
      <w:pPr>
        <w:rPr>
          <w:rFonts w:hint="eastAsia"/>
          <w:highlight w:val="none"/>
          <w:lang w:val="en-US" w:eastAsia="zh-CN"/>
        </w:rPr>
      </w:pPr>
      <w:r>
        <w:rPr>
          <w:rFonts w:hint="eastAsia"/>
          <w:highlight w:val="none"/>
          <w:lang w:val="en-US" w:eastAsia="zh-CN"/>
        </w:rPr>
        <w:t>班线车辆开始实行自营经营228</w:t>
      </w:r>
    </w:p>
    <w:p w14:paraId="0B1ED7C5">
      <w:pPr>
        <w:rPr>
          <w:rFonts w:hint="eastAsia"/>
          <w:highlight w:val="none"/>
          <w:lang w:val="en-US" w:eastAsia="zh-CN"/>
        </w:rPr>
      </w:pPr>
      <w:r>
        <w:rPr>
          <w:rFonts w:hint="eastAsia"/>
          <w:highlight w:val="none"/>
          <w:lang w:val="en-US" w:eastAsia="zh-CN"/>
        </w:rPr>
        <w:t>办好刘氏姓氏文化节355</w:t>
      </w:r>
    </w:p>
    <w:p w14:paraId="2D746179">
      <w:pPr>
        <w:rPr>
          <w:rFonts w:hint="eastAsia"/>
          <w:highlight w:val="none"/>
          <w:lang w:val="en-US" w:eastAsia="zh-CN"/>
        </w:rPr>
      </w:pPr>
      <w:r>
        <w:rPr>
          <w:rFonts w:hint="eastAsia"/>
          <w:highlight w:val="none"/>
          <w:lang w:val="en-US" w:eastAsia="zh-CN"/>
        </w:rPr>
        <w:t>办文办会工作46</w:t>
      </w:r>
    </w:p>
    <w:p w14:paraId="3F3BAF92">
      <w:pPr>
        <w:rPr>
          <w:rFonts w:hint="eastAsia"/>
          <w:highlight w:val="none"/>
          <w:lang w:val="en-US" w:eastAsia="zh-CN"/>
        </w:rPr>
      </w:pPr>
      <w:r>
        <w:rPr>
          <w:rFonts w:hint="eastAsia"/>
          <w:highlight w:val="none"/>
          <w:lang w:val="en-US" w:eastAsia="zh-CN"/>
        </w:rPr>
        <w:t>帮扶服务117</w:t>
      </w:r>
    </w:p>
    <w:p w14:paraId="6B9670D3">
      <w:pPr>
        <w:rPr>
          <w:rFonts w:hint="eastAsia"/>
          <w:highlight w:val="none"/>
          <w:lang w:val="en-US" w:eastAsia="zh-CN"/>
        </w:rPr>
      </w:pPr>
      <w:r>
        <w:rPr>
          <w:rFonts w:hint="eastAsia"/>
          <w:highlight w:val="none"/>
          <w:lang w:val="en-US" w:eastAsia="zh-CN"/>
        </w:rPr>
        <w:t>保护点基础设施建设211</w:t>
      </w:r>
    </w:p>
    <w:p w14:paraId="2F0F3086">
      <w:pPr>
        <w:rPr>
          <w:rFonts w:hint="eastAsia"/>
          <w:highlight w:val="none"/>
          <w:lang w:val="en-US" w:eastAsia="zh-CN"/>
        </w:rPr>
      </w:pPr>
      <w:r>
        <w:rPr>
          <w:rFonts w:hint="eastAsia"/>
          <w:highlight w:val="none"/>
          <w:lang w:val="en-US" w:eastAsia="zh-CN"/>
        </w:rPr>
        <w:t>保护妇女儿童权益123</w:t>
      </w:r>
    </w:p>
    <w:p w14:paraId="24A6BCDB">
      <w:pPr>
        <w:rPr>
          <w:rFonts w:hint="eastAsia"/>
          <w:highlight w:val="none"/>
          <w:lang w:val="en-US" w:eastAsia="zh-CN"/>
        </w:rPr>
      </w:pPr>
      <w:r>
        <w:rPr>
          <w:rFonts w:hint="eastAsia"/>
          <w:highlight w:val="none"/>
          <w:lang w:val="en-US" w:eastAsia="zh-CN"/>
        </w:rPr>
        <w:t>保护野生动物资源204</w:t>
      </w:r>
    </w:p>
    <w:p w14:paraId="175D97D5">
      <w:pPr>
        <w:rPr>
          <w:rFonts w:hint="eastAsia"/>
          <w:highlight w:val="none"/>
          <w:lang w:val="en-US" w:eastAsia="zh-CN"/>
        </w:rPr>
      </w:pPr>
      <w:r>
        <w:rPr>
          <w:rFonts w:hint="eastAsia"/>
          <w:highlight w:val="none"/>
          <w:lang w:val="en-US" w:eastAsia="zh-CN"/>
        </w:rPr>
        <w:t>保密管理工作47</w:t>
      </w:r>
    </w:p>
    <w:p w14:paraId="40879486">
      <w:pPr>
        <w:rPr>
          <w:rFonts w:hint="eastAsia"/>
          <w:highlight w:val="none"/>
          <w:lang w:val="en-US" w:eastAsia="zh-CN"/>
        </w:rPr>
      </w:pPr>
      <w:r>
        <w:rPr>
          <w:rFonts w:hint="eastAsia"/>
          <w:highlight w:val="none"/>
          <w:lang w:val="en-US" w:eastAsia="zh-CN"/>
        </w:rPr>
        <w:t>保修车间结束承包经营228</w:t>
      </w:r>
    </w:p>
    <w:p w14:paraId="5205C064">
      <w:pPr>
        <w:rPr>
          <w:rFonts w:hint="eastAsia"/>
          <w:highlight w:val="none"/>
          <w:lang w:val="en-US" w:eastAsia="zh-CN"/>
        </w:rPr>
      </w:pPr>
      <w:r>
        <w:rPr>
          <w:rFonts w:hint="eastAsia"/>
          <w:highlight w:val="none"/>
          <w:lang w:val="en-US" w:eastAsia="zh-CN"/>
        </w:rPr>
        <w:t>保障性安居工程建设237</w:t>
      </w:r>
    </w:p>
    <w:p w14:paraId="5A512801">
      <w:pPr>
        <w:rPr>
          <w:rFonts w:hint="eastAsia"/>
          <w:highlight w:val="none"/>
          <w:lang w:val="en-US" w:eastAsia="zh-CN"/>
        </w:rPr>
      </w:pPr>
      <w:r>
        <w:rPr>
          <w:rFonts w:hint="eastAsia"/>
          <w:highlight w:val="none"/>
          <w:lang w:val="en-US" w:eastAsia="zh-CN"/>
        </w:rPr>
        <w:t>报表归口管理163</w:t>
      </w:r>
    </w:p>
    <w:p w14:paraId="21224A31">
      <w:pPr>
        <w:rPr>
          <w:rFonts w:hint="eastAsia"/>
          <w:highlight w:val="none"/>
          <w:lang w:val="en-US" w:eastAsia="zh-CN"/>
        </w:rPr>
      </w:pPr>
      <w:r>
        <w:rPr>
          <w:rFonts w:hint="eastAsia"/>
          <w:highlight w:val="none"/>
          <w:lang w:val="en-US" w:eastAsia="zh-CN"/>
        </w:rPr>
        <w:t>被征地农民养老保障资金分配工作322</w:t>
      </w:r>
    </w:p>
    <w:p w14:paraId="789B4019">
      <w:pPr>
        <w:rPr>
          <w:rFonts w:hint="eastAsia"/>
          <w:highlight w:val="none"/>
          <w:lang w:val="en-US" w:eastAsia="zh-CN"/>
        </w:rPr>
      </w:pPr>
      <w:r>
        <w:rPr>
          <w:rFonts w:hint="eastAsia"/>
          <w:highlight w:val="none"/>
          <w:lang w:val="en-US" w:eastAsia="zh-CN"/>
        </w:rPr>
        <w:t>本职工作114</w:t>
      </w:r>
    </w:p>
    <w:p w14:paraId="06C96916">
      <w:pPr>
        <w:rPr>
          <w:rFonts w:hint="eastAsia"/>
          <w:highlight w:val="none"/>
          <w:lang w:val="en-US" w:eastAsia="zh-CN"/>
        </w:rPr>
      </w:pPr>
      <w:r>
        <w:rPr>
          <w:rFonts w:hint="eastAsia"/>
          <w:highlight w:val="none"/>
          <w:lang w:val="en-US" w:eastAsia="zh-CN"/>
        </w:rPr>
        <w:t>编辑党史二卷64</w:t>
      </w:r>
    </w:p>
    <w:p w14:paraId="0D450C84">
      <w:pPr>
        <w:rPr>
          <w:rFonts w:hint="eastAsia"/>
          <w:highlight w:val="none"/>
          <w:lang w:val="en-US" w:eastAsia="zh-CN"/>
        </w:rPr>
      </w:pPr>
      <w:r>
        <w:rPr>
          <w:rFonts w:hint="eastAsia"/>
          <w:highlight w:val="none"/>
          <w:lang w:val="en-US" w:eastAsia="zh-CN"/>
        </w:rPr>
        <w:t>编辑南雄地方志资料年报64</w:t>
      </w:r>
    </w:p>
    <w:p w14:paraId="7A009CB7">
      <w:pPr>
        <w:rPr>
          <w:rFonts w:hint="eastAsia"/>
          <w:highlight w:val="none"/>
          <w:lang w:val="en-US" w:eastAsia="zh-CN"/>
        </w:rPr>
      </w:pPr>
      <w:r>
        <w:rPr>
          <w:rFonts w:hint="eastAsia"/>
          <w:highlight w:val="none"/>
          <w:lang w:val="en-US" w:eastAsia="zh-CN"/>
        </w:rPr>
        <w:t>编纂《广东中央苏区历史丛书》（南雄卷）64</w:t>
      </w:r>
    </w:p>
    <w:p w14:paraId="5A7EEAE8">
      <w:pPr>
        <w:rPr>
          <w:rFonts w:hint="eastAsia"/>
          <w:highlight w:val="none"/>
          <w:lang w:val="en-US" w:eastAsia="zh-CN"/>
        </w:rPr>
      </w:pPr>
      <w:r>
        <w:rPr>
          <w:rFonts w:hint="eastAsia"/>
          <w:highlight w:val="none"/>
          <w:lang w:val="en-US" w:eastAsia="zh-CN"/>
        </w:rPr>
        <w:t>编纂《南雄年鉴》64</w:t>
      </w:r>
    </w:p>
    <w:p w14:paraId="2189EB01">
      <w:pPr>
        <w:rPr>
          <w:rFonts w:hint="eastAsia"/>
          <w:highlight w:val="none"/>
          <w:lang w:val="en-US" w:eastAsia="zh-CN"/>
        </w:rPr>
      </w:pPr>
      <w:r>
        <w:rPr>
          <w:rFonts w:hint="eastAsia"/>
          <w:highlight w:val="none"/>
          <w:lang w:val="en-US" w:eastAsia="zh-CN"/>
        </w:rPr>
        <w:t>便民服务94</w:t>
      </w:r>
    </w:p>
    <w:p w14:paraId="2FD4BC27">
      <w:pPr>
        <w:rPr>
          <w:rFonts w:hint="eastAsia"/>
          <w:highlight w:val="none"/>
          <w:lang w:val="en-US" w:eastAsia="zh-CN"/>
        </w:rPr>
      </w:pPr>
      <w:r>
        <w:rPr>
          <w:rFonts w:hint="eastAsia"/>
          <w:highlight w:val="none"/>
          <w:lang w:val="en-US" w:eastAsia="zh-CN"/>
        </w:rPr>
        <w:t>殡葬改革316</w:t>
      </w:r>
    </w:p>
    <w:p w14:paraId="30288B0F">
      <w:pPr>
        <w:rPr>
          <w:rFonts w:hint="eastAsia"/>
          <w:highlight w:val="none"/>
          <w:lang w:val="en-US" w:eastAsia="zh-CN"/>
        </w:rPr>
        <w:sectPr>
          <w:pgSz w:w="11906" w:h="16838"/>
          <w:pgMar w:top="1440" w:right="1752" w:bottom="1440" w:left="1752" w:header="851" w:footer="992" w:gutter="0"/>
          <w:cols w:space="720" w:num="1"/>
          <w:docGrid w:type="lines" w:linePitch="312" w:charSpace="0"/>
        </w:sectPr>
      </w:pPr>
      <w:r>
        <w:rPr>
          <w:rFonts w:hint="eastAsia"/>
          <w:highlight w:val="none"/>
          <w:lang w:val="en-US" w:eastAsia="zh-CN"/>
        </w:rPr>
        <w:t>部门联合联动163</w:t>
      </w:r>
    </w:p>
    <w:p w14:paraId="68ACEB48">
      <w:pPr>
        <w:pStyle w:val="4"/>
        <w:bidi w:val="0"/>
        <w:rPr>
          <w:rFonts w:hint="eastAsia"/>
          <w:highlight w:val="none"/>
        </w:rPr>
      </w:pPr>
      <w:r>
        <w:rPr>
          <w:rFonts w:hint="eastAsia"/>
          <w:highlight w:val="none"/>
        </w:rPr>
        <w:t>C</w:t>
      </w:r>
    </w:p>
    <w:p w14:paraId="7E049F56">
      <w:pPr>
        <w:rPr>
          <w:rFonts w:hint="eastAsia" w:hAnsi="宋体" w:cs="宋体"/>
          <w:highlight w:val="none"/>
        </w:rPr>
      </w:pPr>
      <w:r>
        <w:rPr>
          <w:rFonts w:hint="eastAsia" w:hAnsi="宋体" w:cs="宋体"/>
          <w:highlight w:val="none"/>
        </w:rPr>
        <w:t>财政258</w:t>
      </w:r>
    </w:p>
    <w:p w14:paraId="55C6F9D9">
      <w:pPr>
        <w:rPr>
          <w:rFonts w:hint="eastAsia" w:hAnsi="宋体" w:cs="宋体"/>
          <w:highlight w:val="none"/>
        </w:rPr>
      </w:pPr>
      <w:r>
        <w:rPr>
          <w:rFonts w:hint="eastAsia" w:hAnsi="宋体" w:cs="宋体"/>
          <w:highlight w:val="none"/>
        </w:rPr>
        <w:t>参加广东省第十四届运动会300</w:t>
      </w:r>
    </w:p>
    <w:p w14:paraId="23E145BE">
      <w:pPr>
        <w:rPr>
          <w:rFonts w:hint="eastAsia" w:hAnsi="宋体" w:cs="宋体"/>
          <w:highlight w:val="none"/>
        </w:rPr>
      </w:pPr>
      <w:r>
        <w:rPr>
          <w:rFonts w:hint="eastAsia" w:hAnsi="宋体" w:cs="宋体"/>
          <w:highlight w:val="none"/>
        </w:rPr>
        <w:t>参与中心工作71</w:t>
      </w:r>
    </w:p>
    <w:p w14:paraId="7C6F2D1A">
      <w:pPr>
        <w:rPr>
          <w:rFonts w:hint="eastAsia" w:hAnsi="宋体" w:cs="宋体"/>
          <w:highlight w:val="none"/>
        </w:rPr>
      </w:pPr>
      <w:r>
        <w:rPr>
          <w:rFonts w:hint="eastAsia" w:hAnsi="宋体" w:cs="宋体"/>
          <w:highlight w:val="none"/>
        </w:rPr>
        <w:t>参政议政113 114 116 126</w:t>
      </w:r>
    </w:p>
    <w:p w14:paraId="11E07DDE">
      <w:pPr>
        <w:rPr>
          <w:rFonts w:hint="eastAsia" w:hAnsi="宋体" w:cs="宋体"/>
          <w:highlight w:val="none"/>
        </w:rPr>
      </w:pPr>
      <w:r>
        <w:rPr>
          <w:rFonts w:hint="eastAsia" w:hAnsi="宋体" w:cs="宋体"/>
          <w:highlight w:val="none"/>
        </w:rPr>
        <w:t>餐饮具集中消毒单位监督管理291</w:t>
      </w:r>
    </w:p>
    <w:p w14:paraId="077ACBE6">
      <w:pPr>
        <w:rPr>
          <w:rFonts w:hint="eastAsia" w:hAnsi="宋体" w:cs="宋体"/>
          <w:highlight w:val="none"/>
        </w:rPr>
      </w:pPr>
      <w:r>
        <w:rPr>
          <w:rFonts w:hint="eastAsia" w:hAnsi="宋体" w:cs="宋体"/>
          <w:highlight w:val="none"/>
        </w:rPr>
        <w:t>残疾人康复中心大楼125</w:t>
      </w:r>
    </w:p>
    <w:p w14:paraId="38C640DB">
      <w:pPr>
        <w:rPr>
          <w:rFonts w:hint="eastAsia" w:hAnsi="宋体" w:cs="宋体"/>
          <w:highlight w:val="none"/>
        </w:rPr>
      </w:pPr>
      <w:r>
        <w:rPr>
          <w:rFonts w:hint="eastAsia" w:hAnsi="宋体" w:cs="宋体"/>
          <w:highlight w:val="none"/>
        </w:rPr>
        <w:t>残疾人联合会124</w:t>
      </w:r>
    </w:p>
    <w:p w14:paraId="6C2DF25B">
      <w:pPr>
        <w:rPr>
          <w:rFonts w:hint="eastAsia" w:hAnsi="宋体" w:cs="宋体"/>
          <w:highlight w:val="none"/>
        </w:rPr>
      </w:pPr>
      <w:r>
        <w:rPr>
          <w:rFonts w:hint="eastAsia" w:hAnsi="宋体" w:cs="宋体"/>
          <w:highlight w:val="none"/>
        </w:rPr>
        <w:t>残疾人宣传文体125</w:t>
      </w:r>
    </w:p>
    <w:p w14:paraId="384187BA">
      <w:pPr>
        <w:rPr>
          <w:rFonts w:hint="eastAsia" w:hAnsi="宋体" w:cs="宋体"/>
          <w:highlight w:val="none"/>
        </w:rPr>
      </w:pPr>
      <w:r>
        <w:rPr>
          <w:rFonts w:hint="eastAsia" w:hAnsi="宋体" w:cs="宋体"/>
          <w:highlight w:val="none"/>
        </w:rPr>
        <w:t>车队管理92</w:t>
      </w:r>
    </w:p>
    <w:p w14:paraId="0E6ACC24">
      <w:pPr>
        <w:rPr>
          <w:rFonts w:hint="eastAsia" w:hAnsi="宋体" w:cs="宋体"/>
          <w:highlight w:val="none"/>
        </w:rPr>
      </w:pPr>
      <w:r>
        <w:rPr>
          <w:rFonts w:hint="eastAsia" w:hAnsi="宋体" w:cs="宋体"/>
          <w:highlight w:val="none"/>
        </w:rPr>
        <w:t>城市管理241</w:t>
      </w:r>
    </w:p>
    <w:p w14:paraId="7DE33D9B">
      <w:pPr>
        <w:rPr>
          <w:rFonts w:hint="eastAsia" w:hAnsi="宋体" w:cs="宋体"/>
          <w:highlight w:val="none"/>
        </w:rPr>
      </w:pPr>
      <w:r>
        <w:rPr>
          <w:rFonts w:hint="eastAsia" w:hAnsi="宋体" w:cs="宋体"/>
          <w:highlight w:val="none"/>
        </w:rPr>
        <w:t>城市规划管理237</w:t>
      </w:r>
    </w:p>
    <w:p w14:paraId="11B3AE32">
      <w:pPr>
        <w:rPr>
          <w:rFonts w:hint="eastAsia" w:hAnsi="宋体" w:cs="宋体"/>
          <w:highlight w:val="none"/>
        </w:rPr>
      </w:pPr>
      <w:r>
        <w:rPr>
          <w:rFonts w:hint="eastAsia" w:hAnsi="宋体" w:cs="宋体"/>
          <w:highlight w:val="none"/>
        </w:rPr>
        <w:t>城市建设投资有限责任公司187</w:t>
      </w:r>
    </w:p>
    <w:p w14:paraId="2FF224A0">
      <w:pPr>
        <w:rPr>
          <w:rFonts w:hint="eastAsia" w:hAnsi="宋体" w:cs="宋体"/>
          <w:highlight w:val="none"/>
        </w:rPr>
      </w:pPr>
      <w:r>
        <w:rPr>
          <w:rFonts w:hint="eastAsia" w:hAnsi="宋体" w:cs="宋体"/>
          <w:highlight w:val="none"/>
        </w:rPr>
        <w:t>城市执法242</w:t>
      </w:r>
    </w:p>
    <w:p w14:paraId="4C125556">
      <w:pPr>
        <w:rPr>
          <w:rFonts w:hint="eastAsia" w:hAnsi="宋体" w:cs="宋体"/>
          <w:highlight w:val="none"/>
        </w:rPr>
      </w:pPr>
      <w:r>
        <w:rPr>
          <w:rFonts w:hint="eastAsia" w:hAnsi="宋体" w:cs="宋体"/>
          <w:highlight w:val="none"/>
        </w:rPr>
        <w:t>城乡规划237</w:t>
      </w:r>
    </w:p>
    <w:p w14:paraId="3EB63450">
      <w:pPr>
        <w:rPr>
          <w:rFonts w:hint="eastAsia" w:hAnsi="宋体" w:cs="宋体"/>
          <w:highlight w:val="none"/>
        </w:rPr>
      </w:pPr>
      <w:r>
        <w:rPr>
          <w:rFonts w:hint="eastAsia" w:hAnsi="宋体" w:cs="宋体"/>
          <w:highlight w:val="none"/>
        </w:rPr>
        <w:t>城乡规划编制237</w:t>
      </w:r>
    </w:p>
    <w:p w14:paraId="56A8E50F">
      <w:pPr>
        <w:rPr>
          <w:rFonts w:hint="eastAsia" w:hAnsi="宋体" w:cs="宋体"/>
          <w:highlight w:val="none"/>
        </w:rPr>
      </w:pPr>
      <w:r>
        <w:rPr>
          <w:rFonts w:hint="eastAsia" w:hAnsi="宋体" w:cs="宋体"/>
          <w:highlight w:val="none"/>
        </w:rPr>
        <w:t>城乡环卫设施239</w:t>
      </w:r>
    </w:p>
    <w:p w14:paraId="1C3EB1D0">
      <w:pPr>
        <w:rPr>
          <w:rFonts w:hint="eastAsia" w:hAnsi="宋体" w:cs="宋体"/>
          <w:highlight w:val="none"/>
        </w:rPr>
      </w:pPr>
      <w:r>
        <w:rPr>
          <w:rFonts w:hint="eastAsia" w:hAnsi="宋体" w:cs="宋体"/>
          <w:highlight w:val="none"/>
        </w:rPr>
        <w:t>城乡环卫设施建设239</w:t>
      </w:r>
    </w:p>
    <w:p w14:paraId="54FF1067">
      <w:pPr>
        <w:rPr>
          <w:rFonts w:hint="eastAsia" w:hAnsi="宋体" w:cs="宋体"/>
          <w:highlight w:val="none"/>
        </w:rPr>
      </w:pPr>
      <w:r>
        <w:rPr>
          <w:rFonts w:hint="eastAsia" w:hAnsi="宋体" w:cs="宋体"/>
          <w:highlight w:val="none"/>
        </w:rPr>
        <w:t>城乡建设237</w:t>
      </w:r>
    </w:p>
    <w:p w14:paraId="1D9212F2">
      <w:pPr>
        <w:rPr>
          <w:rFonts w:hint="eastAsia" w:hAnsi="宋体" w:cs="宋体"/>
          <w:highlight w:val="none"/>
        </w:rPr>
      </w:pPr>
      <w:r>
        <w:rPr>
          <w:rFonts w:hint="eastAsia" w:hAnsi="宋体" w:cs="宋体"/>
          <w:highlight w:val="none"/>
        </w:rPr>
        <w:t>城乡建设用地增减挂钩174</w:t>
      </w:r>
    </w:p>
    <w:p w14:paraId="2C3079BD">
      <w:pPr>
        <w:rPr>
          <w:rFonts w:hint="eastAsia" w:hAnsi="宋体" w:cs="宋体"/>
          <w:highlight w:val="none"/>
        </w:rPr>
      </w:pPr>
      <w:r>
        <w:rPr>
          <w:rFonts w:hint="eastAsia" w:hAnsi="宋体" w:cs="宋体"/>
          <w:highlight w:val="none"/>
        </w:rPr>
        <w:t>城乡居民养老保险314</w:t>
      </w:r>
    </w:p>
    <w:p w14:paraId="750E9E2B">
      <w:pPr>
        <w:rPr>
          <w:rFonts w:hint="eastAsia" w:hAnsi="宋体" w:cs="宋体"/>
          <w:highlight w:val="none"/>
        </w:rPr>
      </w:pPr>
      <w:r>
        <w:rPr>
          <w:rFonts w:hint="eastAsia" w:hAnsi="宋体" w:cs="宋体"/>
          <w:highlight w:val="none"/>
        </w:rPr>
        <w:t>城乡居民养老、医疗保险313</w:t>
      </w:r>
    </w:p>
    <w:p w14:paraId="5DF3C590">
      <w:pPr>
        <w:rPr>
          <w:rFonts w:hint="eastAsia" w:hAnsi="宋体" w:cs="宋体"/>
          <w:highlight w:val="none"/>
        </w:rPr>
      </w:pPr>
      <w:r>
        <w:rPr>
          <w:rFonts w:hint="eastAsia" w:hAnsi="宋体" w:cs="宋体"/>
          <w:highlight w:val="none"/>
        </w:rPr>
        <w:t>城乡居民医疗保险314</w:t>
      </w:r>
    </w:p>
    <w:p w14:paraId="5B728575">
      <w:pPr>
        <w:rPr>
          <w:rFonts w:hint="eastAsia" w:hAnsi="宋体" w:cs="宋体"/>
          <w:highlight w:val="none"/>
        </w:rPr>
      </w:pPr>
      <w:r>
        <w:rPr>
          <w:rFonts w:hint="eastAsia" w:hAnsi="宋体" w:cs="宋体"/>
          <w:highlight w:val="none"/>
        </w:rPr>
        <w:t>城乡客运225</w:t>
      </w:r>
    </w:p>
    <w:p w14:paraId="7D0DC29E">
      <w:pPr>
        <w:rPr>
          <w:rFonts w:hint="eastAsia" w:hAnsi="宋体" w:cs="宋体"/>
          <w:highlight w:val="none"/>
        </w:rPr>
      </w:pPr>
      <w:r>
        <w:rPr>
          <w:rFonts w:hint="eastAsia" w:hAnsi="宋体" w:cs="宋体"/>
          <w:highlight w:val="none"/>
        </w:rPr>
        <w:t>城乡统筹就业311</w:t>
      </w:r>
    </w:p>
    <w:p w14:paraId="107BB0CA">
      <w:pPr>
        <w:rPr>
          <w:rFonts w:hint="eastAsia" w:hAnsi="宋体" w:cs="宋体"/>
          <w:highlight w:val="none"/>
        </w:rPr>
      </w:pPr>
      <w:r>
        <w:rPr>
          <w:rFonts w:hint="eastAsia" w:hAnsi="宋体" w:cs="宋体"/>
          <w:highlight w:val="none"/>
        </w:rPr>
        <w:t>城镇化建设85 324</w:t>
      </w:r>
    </w:p>
    <w:p w14:paraId="00B6BDCE">
      <w:pPr>
        <w:rPr>
          <w:rFonts w:hint="eastAsia" w:hAnsi="宋体" w:cs="宋体"/>
          <w:highlight w:val="none"/>
        </w:rPr>
      </w:pPr>
      <w:r>
        <w:rPr>
          <w:rFonts w:hint="eastAsia" w:hAnsi="宋体" w:cs="宋体"/>
          <w:highlight w:val="none"/>
        </w:rPr>
        <w:t>充实干部队伍163</w:t>
      </w:r>
    </w:p>
    <w:p w14:paraId="2DADEE5F">
      <w:pPr>
        <w:rPr>
          <w:rFonts w:hint="eastAsia" w:hAnsi="宋体" w:cs="宋体"/>
          <w:highlight w:val="none"/>
        </w:rPr>
      </w:pPr>
      <w:r>
        <w:rPr>
          <w:rFonts w:hint="eastAsia" w:hAnsi="宋体" w:cs="宋体"/>
          <w:highlight w:val="none"/>
        </w:rPr>
        <w:t>出租车实行“公车公营”模式228</w:t>
      </w:r>
    </w:p>
    <w:p w14:paraId="18F3E440">
      <w:pPr>
        <w:rPr>
          <w:rFonts w:hint="eastAsia" w:hAnsi="宋体" w:cs="宋体"/>
          <w:highlight w:val="none"/>
        </w:rPr>
      </w:pPr>
      <w:r>
        <w:rPr>
          <w:rFonts w:hint="eastAsia" w:hAnsi="宋体" w:cs="宋体"/>
          <w:highlight w:val="none"/>
        </w:rPr>
        <w:t>除“四害”防病289</w:t>
      </w:r>
    </w:p>
    <w:p w14:paraId="7CF4C978">
      <w:pPr>
        <w:rPr>
          <w:rFonts w:hint="eastAsia" w:hAnsi="宋体" w:cs="宋体"/>
          <w:highlight w:val="none"/>
        </w:rPr>
      </w:pPr>
      <w:r>
        <w:rPr>
          <w:rFonts w:hint="eastAsia" w:hAnsi="宋体" w:cs="宋体"/>
          <w:highlight w:val="none"/>
        </w:rPr>
        <w:t>储备粮油轮换250</w:t>
      </w:r>
    </w:p>
    <w:p w14:paraId="6510AF1D">
      <w:pPr>
        <w:rPr>
          <w:rFonts w:hint="eastAsia" w:hAnsi="宋体" w:cs="宋体"/>
          <w:highlight w:val="none"/>
        </w:rPr>
      </w:pPr>
      <w:r>
        <w:rPr>
          <w:rFonts w:hint="eastAsia" w:hAnsi="宋体" w:cs="宋体"/>
          <w:highlight w:val="none"/>
        </w:rPr>
        <w:t>传染病防治卫生监督291</w:t>
      </w:r>
    </w:p>
    <w:p w14:paraId="2DF44D47">
      <w:pPr>
        <w:rPr>
          <w:rFonts w:hint="eastAsia" w:hAnsi="宋体" w:cs="宋体"/>
          <w:highlight w:val="none"/>
        </w:rPr>
      </w:pPr>
      <w:r>
        <w:rPr>
          <w:rFonts w:hint="eastAsia" w:hAnsi="宋体" w:cs="宋体"/>
          <w:highlight w:val="none"/>
        </w:rPr>
        <w:t>窗口服务235</w:t>
      </w:r>
    </w:p>
    <w:p w14:paraId="7A761055">
      <w:pPr>
        <w:rPr>
          <w:rFonts w:hint="eastAsia" w:hAnsi="宋体" w:cs="宋体"/>
          <w:highlight w:val="none"/>
        </w:rPr>
      </w:pPr>
      <w:r>
        <w:rPr>
          <w:rFonts w:hint="eastAsia" w:hAnsi="宋体" w:cs="宋体"/>
          <w:highlight w:val="none"/>
        </w:rPr>
        <w:t>窗口管理94</w:t>
      </w:r>
    </w:p>
    <w:p w14:paraId="53A4FBFF">
      <w:pPr>
        <w:rPr>
          <w:rFonts w:hint="eastAsia" w:hAnsi="宋体" w:cs="宋体"/>
          <w:highlight w:val="none"/>
        </w:rPr>
      </w:pPr>
      <w:r>
        <w:rPr>
          <w:rFonts w:hint="eastAsia" w:hAnsi="宋体" w:cs="宋体"/>
          <w:highlight w:val="none"/>
        </w:rPr>
        <w:t>创建和谐劳动关系H7</w:t>
      </w:r>
    </w:p>
    <w:p w14:paraId="117B3F9D">
      <w:pPr>
        <w:rPr>
          <w:rFonts w:hint="eastAsia" w:hAnsi="宋体" w:cs="宋体"/>
          <w:highlight w:val="none"/>
        </w:rPr>
      </w:pPr>
      <w:r>
        <w:rPr>
          <w:rFonts w:hint="eastAsia" w:hAnsi="宋体" w:cs="宋体"/>
          <w:highlight w:val="none"/>
        </w:rPr>
        <w:t>创建全国绿化模范县202</w:t>
      </w:r>
    </w:p>
    <w:p w14:paraId="004C8CF7">
      <w:pPr>
        <w:rPr>
          <w:rFonts w:hint="eastAsia" w:hAnsi="宋体" w:cs="宋体"/>
          <w:highlight w:val="none"/>
        </w:rPr>
      </w:pPr>
      <w:r>
        <w:rPr>
          <w:rFonts w:hint="eastAsia" w:hAnsi="宋体" w:cs="宋体"/>
          <w:highlight w:val="none"/>
        </w:rPr>
        <w:t>创建卫生村331</w:t>
      </w:r>
    </w:p>
    <w:p w14:paraId="5E781948">
      <w:pPr>
        <w:rPr>
          <w:rFonts w:hint="eastAsia" w:hAnsi="宋体" w:cs="宋体"/>
          <w:highlight w:val="none"/>
        </w:rPr>
      </w:pPr>
      <w:r>
        <w:rPr>
          <w:rFonts w:hint="eastAsia" w:hAnsi="宋体" w:cs="宋体"/>
          <w:highlight w:val="none"/>
        </w:rPr>
        <w:t>创新关爱内容形式316</w:t>
      </w:r>
    </w:p>
    <w:p w14:paraId="1F704AC2">
      <w:pPr>
        <w:rPr>
          <w:rFonts w:hint="eastAsia" w:hAnsi="宋体" w:cs="宋体"/>
          <w:highlight w:val="none"/>
        </w:rPr>
      </w:pPr>
      <w:r>
        <w:rPr>
          <w:rFonts w:hint="eastAsia" w:hAnsi="宋体" w:cs="宋体"/>
          <w:highlight w:val="none"/>
        </w:rPr>
        <w:t>创新活动载体119</w:t>
      </w:r>
    </w:p>
    <w:p w14:paraId="39C3D566">
      <w:pPr>
        <w:rPr>
          <w:rFonts w:hint="eastAsia" w:hAnsi="宋体" w:cs="宋体"/>
          <w:highlight w:val="none"/>
        </w:rPr>
      </w:pPr>
      <w:r>
        <w:rPr>
          <w:rFonts w:hint="eastAsia" w:hAnsi="宋体" w:cs="宋体"/>
          <w:highlight w:val="none"/>
        </w:rPr>
        <w:t>创新培训形式317</w:t>
      </w:r>
    </w:p>
    <w:p w14:paraId="3A58B3D9">
      <w:pPr>
        <w:rPr>
          <w:rFonts w:hint="eastAsia" w:hAnsi="宋体" w:cs="宋体"/>
          <w:highlight w:val="none"/>
        </w:rPr>
      </w:pPr>
      <w:r>
        <w:rPr>
          <w:rFonts w:hint="eastAsia" w:hAnsi="宋体" w:cs="宋体"/>
          <w:highlight w:val="none"/>
        </w:rPr>
        <w:t>创新网络宣传方式97</w:t>
      </w:r>
    </w:p>
    <w:p w14:paraId="4701F4EA">
      <w:pPr>
        <w:rPr>
          <w:rFonts w:hint="eastAsia" w:hAnsi="宋体" w:cs="宋体"/>
          <w:highlight w:val="none"/>
        </w:rPr>
      </w:pPr>
      <w:r>
        <w:rPr>
          <w:rFonts w:hint="eastAsia" w:hAnsi="宋体" w:cs="宋体"/>
          <w:highlight w:val="none"/>
        </w:rPr>
        <w:t>创新招商方式253</w:t>
      </w:r>
    </w:p>
    <w:p w14:paraId="180542AA">
      <w:pPr>
        <w:rPr>
          <w:rFonts w:hint="eastAsia" w:hAnsi="宋体" w:cs="宋体"/>
          <w:highlight w:val="none"/>
        </w:rPr>
      </w:pPr>
      <w:r>
        <w:rPr>
          <w:rFonts w:hint="eastAsia" w:hAnsi="宋体" w:cs="宋体"/>
          <w:highlight w:val="none"/>
        </w:rPr>
        <w:t>促进非公经济发展126</w:t>
      </w:r>
    </w:p>
    <w:p w14:paraId="71AEBAE7">
      <w:pPr>
        <w:rPr>
          <w:rFonts w:hint="eastAsia" w:hAnsi="宋体" w:cs="宋体"/>
          <w:highlight w:val="none"/>
        </w:rPr>
      </w:pPr>
      <w:r>
        <w:rPr>
          <w:rFonts w:hint="eastAsia" w:hAnsi="宋体" w:cs="宋体"/>
          <w:highlight w:val="none"/>
        </w:rPr>
        <w:t>翠屏公司205</w:t>
      </w:r>
    </w:p>
    <w:p w14:paraId="3A34B398">
      <w:pPr>
        <w:rPr>
          <w:rFonts w:hint="eastAsia" w:hAnsi="宋体" w:cs="宋体"/>
          <w:highlight w:val="none"/>
        </w:rPr>
      </w:pPr>
      <w:r>
        <w:rPr>
          <w:rFonts w:hint="eastAsia" w:hAnsi="宋体" w:cs="宋体"/>
          <w:highlight w:val="none"/>
        </w:rPr>
        <w:t>存贷业务268</w:t>
      </w:r>
    </w:p>
    <w:p w14:paraId="11257956">
      <w:pPr>
        <w:pStyle w:val="4"/>
        <w:bidi w:val="0"/>
        <w:rPr>
          <w:rFonts w:hint="eastAsia"/>
          <w:highlight w:val="none"/>
        </w:rPr>
      </w:pPr>
      <w:r>
        <w:rPr>
          <w:rFonts w:hint="eastAsia"/>
          <w:highlight w:val="none"/>
        </w:rPr>
        <w:t>D</w:t>
      </w:r>
    </w:p>
    <w:p w14:paraId="2C899EFA">
      <w:pPr>
        <w:rPr>
          <w:rFonts w:hint="eastAsia" w:hAnsi="宋体" w:cs="宋体"/>
          <w:highlight w:val="none"/>
        </w:rPr>
      </w:pPr>
      <w:r>
        <w:rPr>
          <w:rFonts w:hint="eastAsia" w:hAnsi="宋体" w:cs="宋体"/>
          <w:highlight w:val="none"/>
        </w:rPr>
        <w:t>打击违法犯罪138</w:t>
      </w:r>
    </w:p>
    <w:p w14:paraId="738A4B7A">
      <w:pPr>
        <w:rPr>
          <w:rFonts w:hint="eastAsia" w:hAnsi="宋体" w:cs="宋体"/>
          <w:highlight w:val="none"/>
        </w:rPr>
      </w:pPr>
      <w:r>
        <w:rPr>
          <w:rFonts w:hint="eastAsia" w:hAnsi="宋体" w:cs="宋体"/>
          <w:highlight w:val="none"/>
        </w:rPr>
        <w:t>打击违法用地违章建筑专项行动322</w:t>
      </w:r>
    </w:p>
    <w:p w14:paraId="317588B8">
      <w:pPr>
        <w:rPr>
          <w:rFonts w:hint="eastAsia" w:hAnsi="宋体" w:cs="宋体"/>
          <w:highlight w:val="none"/>
        </w:rPr>
      </w:pPr>
      <w:r>
        <w:rPr>
          <w:rFonts w:hint="eastAsia" w:hAnsi="宋体" w:cs="宋体"/>
          <w:highlight w:val="none"/>
        </w:rPr>
        <w:t>打造品牌，实施省级恐龙地质公园建设211</w:t>
      </w:r>
    </w:p>
    <w:p w14:paraId="786D9AE4">
      <w:pPr>
        <w:rPr>
          <w:rFonts w:hint="eastAsia" w:hAnsi="宋体" w:cs="宋体"/>
          <w:highlight w:val="none"/>
        </w:rPr>
      </w:pPr>
      <w:r>
        <w:rPr>
          <w:rFonts w:hint="eastAsia" w:hAnsi="宋体" w:cs="宋体"/>
          <w:highlight w:val="none"/>
        </w:rPr>
        <w:t>大气环境质量245</w:t>
      </w:r>
    </w:p>
    <w:p w14:paraId="206A7F05">
      <w:pPr>
        <w:rPr>
          <w:rFonts w:hint="eastAsia" w:hAnsi="宋体" w:cs="宋体"/>
          <w:highlight w:val="none"/>
        </w:rPr>
      </w:pPr>
      <w:r>
        <w:rPr>
          <w:rFonts w:hint="eastAsia" w:hAnsi="宋体" w:cs="宋体"/>
          <w:highlight w:val="none"/>
        </w:rPr>
        <w:t>代表工作72</w:t>
      </w:r>
    </w:p>
    <w:p w14:paraId="1D5819DB">
      <w:pPr>
        <w:rPr>
          <w:rFonts w:hint="eastAsia" w:hAnsi="宋体" w:cs="宋体"/>
          <w:highlight w:val="none"/>
        </w:rPr>
      </w:pPr>
      <w:r>
        <w:rPr>
          <w:rFonts w:hint="eastAsia" w:hAnsi="宋体" w:cs="宋体"/>
          <w:highlight w:val="none"/>
        </w:rPr>
        <w:t>党风廉政263 328</w:t>
      </w:r>
    </w:p>
    <w:p w14:paraId="1D9C792E">
      <w:pPr>
        <w:rPr>
          <w:rFonts w:hint="eastAsia" w:hAnsi="宋体" w:cs="宋体"/>
          <w:highlight w:val="none"/>
        </w:rPr>
      </w:pPr>
      <w:r>
        <w:rPr>
          <w:rFonts w:hint="eastAsia" w:hAnsi="宋体" w:cs="宋体"/>
          <w:highlight w:val="none"/>
        </w:rPr>
        <w:t>党风廉政建设350 363</w:t>
      </w:r>
    </w:p>
    <w:p w14:paraId="44E704B0">
      <w:pPr>
        <w:rPr>
          <w:rFonts w:hint="eastAsia" w:hAnsi="宋体" w:cs="宋体"/>
          <w:highlight w:val="none"/>
        </w:rPr>
      </w:pPr>
      <w:r>
        <w:rPr>
          <w:rFonts w:hint="eastAsia" w:hAnsi="宋体" w:cs="宋体"/>
          <w:highlight w:val="none"/>
        </w:rPr>
        <w:t>党建维稳工作274</w:t>
      </w:r>
    </w:p>
    <w:p w14:paraId="14592331">
      <w:pPr>
        <w:rPr>
          <w:rFonts w:hint="eastAsia" w:hAnsi="宋体" w:cs="宋体"/>
          <w:highlight w:val="none"/>
        </w:rPr>
      </w:pPr>
      <w:r>
        <w:rPr>
          <w:rFonts w:hint="eastAsia" w:hAnsi="宋体" w:cs="宋体"/>
          <w:highlight w:val="none"/>
        </w:rPr>
        <w:t>党内激励、关怀、帮扶工作66</w:t>
      </w:r>
    </w:p>
    <w:p w14:paraId="2C438378">
      <w:pPr>
        <w:rPr>
          <w:rFonts w:hint="eastAsia" w:hAnsi="宋体" w:cs="宋体"/>
          <w:highlight w:val="none"/>
        </w:rPr>
      </w:pPr>
      <w:r>
        <w:rPr>
          <w:rFonts w:hint="eastAsia" w:hAnsi="宋体" w:cs="宋体"/>
          <w:highlight w:val="none"/>
        </w:rPr>
        <w:t>党校工作61</w:t>
      </w:r>
    </w:p>
    <w:p w14:paraId="2A05045A">
      <w:pPr>
        <w:rPr>
          <w:rFonts w:hint="eastAsia" w:hAnsi="宋体" w:cs="宋体"/>
          <w:highlight w:val="none"/>
        </w:rPr>
      </w:pPr>
      <w:r>
        <w:rPr>
          <w:rFonts w:hint="eastAsia" w:hAnsi="宋体" w:cs="宋体"/>
          <w:highlight w:val="none"/>
        </w:rPr>
        <w:t>党员干部现代远程教育50</w:t>
      </w:r>
    </w:p>
    <w:p w14:paraId="1B9E302B">
      <w:pPr>
        <w:rPr>
          <w:rFonts w:hint="eastAsia" w:hAnsi="宋体" w:cs="宋体"/>
          <w:highlight w:val="none"/>
        </w:rPr>
      </w:pPr>
      <w:r>
        <w:rPr>
          <w:rFonts w:hint="eastAsia" w:hAnsi="宋体" w:cs="宋体"/>
          <w:highlight w:val="none"/>
        </w:rPr>
        <w:t>党支部班子建设154</w:t>
      </w:r>
    </w:p>
    <w:p w14:paraId="70A00D77">
      <w:pPr>
        <w:rPr>
          <w:rFonts w:hint="eastAsia" w:hAnsi="宋体" w:cs="宋体"/>
          <w:highlight w:val="none"/>
        </w:rPr>
      </w:pPr>
      <w:r>
        <w:rPr>
          <w:rFonts w:hint="eastAsia" w:hAnsi="宋体" w:cs="宋体"/>
          <w:highlight w:val="none"/>
        </w:rPr>
        <w:t>党组织建设251</w:t>
      </w:r>
    </w:p>
    <w:p w14:paraId="4952708C">
      <w:pPr>
        <w:rPr>
          <w:rFonts w:hint="eastAsia" w:hAnsi="宋体" w:cs="宋体"/>
          <w:highlight w:val="none"/>
        </w:rPr>
      </w:pPr>
      <w:r>
        <w:rPr>
          <w:rFonts w:hint="eastAsia" w:hAnsi="宋体" w:cs="宋体"/>
          <w:highlight w:val="none"/>
        </w:rPr>
        <w:t>档案服务利用94</w:t>
      </w:r>
    </w:p>
    <w:p w14:paraId="14AD0724">
      <w:pPr>
        <w:rPr>
          <w:rFonts w:hint="eastAsia" w:hAnsi="宋体" w:cs="宋体"/>
          <w:highlight w:val="none"/>
        </w:rPr>
      </w:pPr>
      <w:r>
        <w:rPr>
          <w:rFonts w:hint="eastAsia" w:hAnsi="宋体" w:cs="宋体"/>
          <w:highlight w:val="none"/>
        </w:rPr>
        <w:t>档案工作93</w:t>
      </w:r>
    </w:p>
    <w:p w14:paraId="4536E17E">
      <w:pPr>
        <w:rPr>
          <w:rFonts w:hint="eastAsia" w:hAnsi="宋体" w:cs="宋体"/>
          <w:highlight w:val="none"/>
        </w:rPr>
      </w:pPr>
      <w:r>
        <w:rPr>
          <w:rFonts w:hint="eastAsia" w:hAnsi="宋体" w:cs="宋体"/>
          <w:highlight w:val="none"/>
        </w:rPr>
        <w:t>档案资源建设93</w:t>
      </w:r>
    </w:p>
    <w:p w14:paraId="0A93FD01">
      <w:pPr>
        <w:rPr>
          <w:rFonts w:hint="eastAsia" w:hAnsi="宋体" w:cs="宋体"/>
          <w:highlight w:val="none"/>
        </w:rPr>
      </w:pPr>
      <w:r>
        <w:rPr>
          <w:rFonts w:hint="eastAsia" w:hAnsi="宋体" w:cs="宋体"/>
          <w:highlight w:val="none"/>
        </w:rPr>
        <w:t>德体卫艺与安全工作273</w:t>
      </w:r>
    </w:p>
    <w:p w14:paraId="58DE538D">
      <w:pPr>
        <w:rPr>
          <w:rFonts w:hint="eastAsia" w:hAnsi="宋体" w:cs="宋体"/>
          <w:highlight w:val="none"/>
        </w:rPr>
      </w:pPr>
      <w:r>
        <w:rPr>
          <w:rFonts w:hint="eastAsia" w:hAnsi="宋体" w:cs="宋体"/>
          <w:highlight w:val="none"/>
        </w:rPr>
        <w:t>邓坊镇330</w:t>
      </w:r>
    </w:p>
    <w:p w14:paraId="43CA6737">
      <w:pPr>
        <w:rPr>
          <w:rFonts w:hint="eastAsia" w:hAnsi="宋体" w:cs="宋体"/>
          <w:highlight w:val="none"/>
        </w:rPr>
      </w:pPr>
      <w:r>
        <w:rPr>
          <w:rFonts w:hint="eastAsia" w:hAnsi="宋体" w:cs="宋体"/>
          <w:highlight w:val="none"/>
        </w:rPr>
        <w:t>低保315</w:t>
      </w:r>
    </w:p>
    <w:p w14:paraId="512A1BAE">
      <w:pPr>
        <w:rPr>
          <w:rFonts w:hint="eastAsia" w:hAnsi="宋体" w:cs="宋体"/>
          <w:highlight w:val="none"/>
        </w:rPr>
      </w:pPr>
      <w:r>
        <w:rPr>
          <w:rFonts w:hint="eastAsia" w:hAnsi="宋体" w:cs="宋体"/>
          <w:highlight w:val="none"/>
        </w:rPr>
        <w:t>地方税务263</w:t>
      </w:r>
    </w:p>
    <w:p w14:paraId="755C4D32">
      <w:pPr>
        <w:rPr>
          <w:rFonts w:hint="eastAsia" w:hAnsi="宋体" w:cs="宋体"/>
          <w:highlight w:val="none"/>
        </w:rPr>
      </w:pPr>
      <w:r>
        <w:rPr>
          <w:rFonts w:hint="eastAsia" w:hAnsi="宋体" w:cs="宋体"/>
          <w:highlight w:val="none"/>
        </w:rPr>
        <w:t>地籍和测绘信息管理175</w:t>
      </w:r>
    </w:p>
    <w:p w14:paraId="0D8EC01E">
      <w:pPr>
        <w:rPr>
          <w:rFonts w:hint="eastAsia" w:hAnsi="宋体" w:cs="宋体"/>
          <w:highlight w:val="none"/>
        </w:rPr>
      </w:pPr>
      <w:r>
        <w:rPr>
          <w:rFonts w:hint="eastAsia" w:hAnsi="宋体" w:cs="宋体"/>
          <w:highlight w:val="none"/>
        </w:rPr>
        <w:t>地理位置与面积209</w:t>
      </w:r>
    </w:p>
    <w:p w14:paraId="05351968">
      <w:pPr>
        <w:rPr>
          <w:rFonts w:hint="eastAsia" w:hAnsi="宋体" w:cs="宋体"/>
          <w:highlight w:val="none"/>
        </w:rPr>
      </w:pPr>
      <w:r>
        <w:rPr>
          <w:rFonts w:hint="eastAsia" w:hAnsi="宋体" w:cs="宋体"/>
          <w:highlight w:val="none"/>
        </w:rPr>
        <w:t>地情网建设65</w:t>
      </w:r>
    </w:p>
    <w:p w14:paraId="5C166325">
      <w:pPr>
        <w:rPr>
          <w:rFonts w:hint="eastAsia" w:hAnsi="宋体" w:cs="宋体"/>
          <w:highlight w:val="none"/>
        </w:rPr>
      </w:pPr>
      <w:r>
        <w:rPr>
          <w:rFonts w:hint="eastAsia" w:hAnsi="宋体" w:cs="宋体"/>
          <w:highlight w:val="none"/>
        </w:rPr>
        <w:t>地形地貌34</w:t>
      </w:r>
    </w:p>
    <w:p w14:paraId="5C1DA34F">
      <w:pPr>
        <w:rPr>
          <w:rFonts w:hint="eastAsia" w:hAnsi="宋体" w:cs="宋体"/>
          <w:highlight w:val="none"/>
        </w:rPr>
      </w:pPr>
      <w:r>
        <w:rPr>
          <w:rFonts w:hint="eastAsia" w:hAnsi="宋体" w:cs="宋体"/>
          <w:highlight w:val="none"/>
        </w:rPr>
        <w:t>第三产业持续兴旺85</w:t>
      </w:r>
    </w:p>
    <w:p w14:paraId="2BB5E01C">
      <w:pPr>
        <w:rPr>
          <w:rFonts w:hint="eastAsia" w:hAnsi="宋体" w:cs="宋体"/>
          <w:highlight w:val="none"/>
        </w:rPr>
      </w:pPr>
      <w:r>
        <w:rPr>
          <w:rFonts w:hint="eastAsia" w:hAnsi="宋体" w:cs="宋体"/>
          <w:highlight w:val="none"/>
        </w:rPr>
        <w:t>第十四届人大常委会主任、副主任、委员</w:t>
      </w:r>
    </w:p>
    <w:p w14:paraId="27A1C9F5">
      <w:pPr>
        <w:rPr>
          <w:rFonts w:hint="eastAsia" w:hAnsi="宋体" w:cs="宋体"/>
          <w:highlight w:val="none"/>
        </w:rPr>
      </w:pPr>
      <w:r>
        <w:rPr>
          <w:rFonts w:hint="eastAsia" w:hAnsi="宋体" w:cs="宋体"/>
          <w:highlight w:val="none"/>
        </w:rPr>
        <w:t>名单77</w:t>
      </w:r>
    </w:p>
    <w:p w14:paraId="5B8127C2">
      <w:pPr>
        <w:rPr>
          <w:rFonts w:hint="eastAsia" w:hAnsi="宋体" w:cs="宋体"/>
          <w:highlight w:val="none"/>
        </w:rPr>
      </w:pPr>
      <w:r>
        <w:rPr>
          <w:rFonts w:hint="eastAsia" w:hAnsi="宋体" w:cs="宋体"/>
          <w:highlight w:val="none"/>
        </w:rPr>
        <w:t>电力工业184</w:t>
      </w:r>
    </w:p>
    <w:p w14:paraId="6A60FE01">
      <w:pPr>
        <w:rPr>
          <w:rFonts w:hint="eastAsia" w:hAnsi="宋体" w:cs="宋体"/>
          <w:highlight w:val="none"/>
        </w:rPr>
      </w:pPr>
      <w:r>
        <w:rPr>
          <w:rFonts w:hint="eastAsia" w:hAnsi="宋体" w:cs="宋体"/>
          <w:highlight w:val="none"/>
        </w:rPr>
        <w:t>电网建设185</w:t>
      </w:r>
    </w:p>
    <w:p w14:paraId="4F743AC9">
      <w:pPr>
        <w:rPr>
          <w:rFonts w:hint="eastAsia" w:hAnsi="宋体" w:cs="宋体"/>
          <w:highlight w:val="none"/>
        </w:rPr>
      </w:pPr>
      <w:r>
        <w:rPr>
          <w:rFonts w:hint="eastAsia" w:hAnsi="宋体" w:cs="宋体"/>
          <w:highlight w:val="none"/>
        </w:rPr>
        <w:t>电信233</w:t>
      </w:r>
    </w:p>
    <w:p w14:paraId="40C83BD7">
      <w:pPr>
        <w:rPr>
          <w:rFonts w:hint="eastAsia" w:hAnsi="宋体" w:cs="宋体"/>
          <w:highlight w:val="none"/>
        </w:rPr>
      </w:pPr>
      <w:r>
        <w:rPr>
          <w:rFonts w:hint="eastAsia" w:hAnsi="宋体" w:cs="宋体"/>
          <w:highlight w:val="none"/>
        </w:rPr>
        <w:t>电子商务工作进农村工作全面推进183</w:t>
      </w:r>
    </w:p>
    <w:p w14:paraId="78FC7FB9">
      <w:pPr>
        <w:rPr>
          <w:rFonts w:hint="eastAsia" w:hAnsi="宋体" w:cs="宋体"/>
          <w:highlight w:val="none"/>
        </w:rPr>
      </w:pPr>
      <w:r>
        <w:rPr>
          <w:rFonts w:hint="eastAsia" w:hAnsi="宋体" w:cs="宋体"/>
          <w:highlight w:val="none"/>
        </w:rPr>
        <w:t>调研报告164</w:t>
      </w:r>
    </w:p>
    <w:p w14:paraId="14507963">
      <w:pPr>
        <w:rPr>
          <w:rFonts w:hint="eastAsia" w:hAnsi="宋体" w:cs="宋体"/>
          <w:highlight w:val="none"/>
        </w:rPr>
      </w:pPr>
      <w:r>
        <w:rPr>
          <w:rFonts w:hint="eastAsia" w:hAnsi="宋体" w:cs="宋体"/>
          <w:highlight w:val="none"/>
        </w:rPr>
        <w:t>调研与视察80</w:t>
      </w:r>
    </w:p>
    <w:p w14:paraId="5151C296">
      <w:pPr>
        <w:rPr>
          <w:rFonts w:hint="eastAsia" w:hAnsi="宋体" w:cs="宋体"/>
          <w:highlight w:val="none"/>
        </w:rPr>
      </w:pPr>
      <w:r>
        <w:rPr>
          <w:rFonts w:hint="eastAsia" w:hAnsi="宋体" w:cs="宋体"/>
          <w:highlight w:val="none"/>
        </w:rPr>
        <w:t>东莞大岭山（南雄）产业转移工业园186</w:t>
      </w:r>
    </w:p>
    <w:p w14:paraId="356B2E28">
      <w:pPr>
        <w:rPr>
          <w:rFonts w:hint="eastAsia" w:hAnsi="宋体" w:cs="宋体"/>
          <w:highlight w:val="none"/>
        </w:rPr>
      </w:pPr>
      <w:r>
        <w:rPr>
          <w:rFonts w:hint="eastAsia" w:hAnsi="宋体" w:cs="宋体"/>
          <w:highlight w:val="none"/>
        </w:rPr>
        <w:t>动物防疫201</w:t>
      </w:r>
    </w:p>
    <w:p w14:paraId="738171B1">
      <w:pPr>
        <w:rPr>
          <w:rFonts w:hint="eastAsia" w:hAnsi="宋体" w:cs="宋体"/>
          <w:highlight w:val="none"/>
        </w:rPr>
      </w:pPr>
      <w:r>
        <w:rPr>
          <w:rFonts w:hint="eastAsia" w:hAnsi="宋体" w:cs="宋体"/>
          <w:highlight w:val="none"/>
        </w:rPr>
        <w:t>动物食品安全监管201</w:t>
      </w:r>
    </w:p>
    <w:p w14:paraId="01178258">
      <w:pPr>
        <w:rPr>
          <w:rFonts w:hint="eastAsia" w:hAnsi="宋体" w:cs="宋体"/>
          <w:highlight w:val="none"/>
        </w:rPr>
      </w:pPr>
      <w:r>
        <w:rPr>
          <w:rFonts w:hint="eastAsia" w:hAnsi="宋体" w:cs="宋体"/>
          <w:highlight w:val="none"/>
        </w:rPr>
        <w:t>督办政务90</w:t>
      </w:r>
    </w:p>
    <w:p w14:paraId="28396448">
      <w:pPr>
        <w:rPr>
          <w:rFonts w:hint="eastAsia" w:hAnsi="宋体" w:cs="宋体"/>
          <w:highlight w:val="none"/>
        </w:rPr>
      </w:pPr>
      <w:r>
        <w:rPr>
          <w:rFonts w:hint="eastAsia" w:hAnsi="宋体" w:cs="宋体"/>
          <w:highlight w:val="none"/>
        </w:rPr>
        <w:t>督查督办46</w:t>
      </w:r>
    </w:p>
    <w:p w14:paraId="5209DBC1">
      <w:pPr>
        <w:rPr>
          <w:rFonts w:hint="eastAsia" w:hAnsi="宋体" w:cs="宋体"/>
          <w:highlight w:val="none"/>
        </w:rPr>
      </w:pPr>
      <w:r>
        <w:rPr>
          <w:rFonts w:hint="eastAsia" w:hAnsi="宋体" w:cs="宋体"/>
          <w:highlight w:val="none"/>
        </w:rPr>
        <w:t>对口帮扶工作164</w:t>
      </w:r>
    </w:p>
    <w:p w14:paraId="4B7670C0">
      <w:pPr>
        <w:rPr>
          <w:rFonts w:hint="eastAsia" w:hAnsi="宋体" w:cs="宋体"/>
          <w:highlight w:val="none"/>
        </w:rPr>
      </w:pPr>
      <w:r>
        <w:rPr>
          <w:rFonts w:hint="eastAsia" w:hAnsi="宋体" w:cs="宋体"/>
          <w:highlight w:val="none"/>
        </w:rPr>
        <w:t>对外合作86</w:t>
      </w:r>
    </w:p>
    <w:p w14:paraId="7500B61D">
      <w:pPr>
        <w:rPr>
          <w:rFonts w:hint="eastAsia" w:hAnsi="宋体" w:cs="宋体"/>
          <w:highlight w:val="none"/>
        </w:rPr>
      </w:pPr>
      <w:r>
        <w:rPr>
          <w:rFonts w:hint="eastAsia" w:hAnsi="宋体" w:cs="宋体"/>
          <w:highlight w:val="none"/>
        </w:rPr>
        <w:t>对外联谊131</w:t>
      </w:r>
    </w:p>
    <w:p w14:paraId="3858401C">
      <w:pPr>
        <w:rPr>
          <w:rFonts w:hint="eastAsia" w:hAnsi="宋体" w:cs="宋体"/>
          <w:highlight w:val="none"/>
        </w:rPr>
      </w:pPr>
      <w:r>
        <w:rPr>
          <w:rFonts w:hint="eastAsia" w:hAnsi="宋体" w:cs="宋体"/>
          <w:highlight w:val="none"/>
        </w:rPr>
        <w:t>对外贸易252</w:t>
      </w:r>
    </w:p>
    <w:p w14:paraId="169240AE">
      <w:pPr>
        <w:pStyle w:val="4"/>
        <w:bidi w:val="0"/>
        <w:rPr>
          <w:rFonts w:hint="eastAsia"/>
          <w:highlight w:val="none"/>
        </w:rPr>
      </w:pPr>
      <w:r>
        <w:rPr>
          <w:rFonts w:hint="eastAsia"/>
          <w:highlight w:val="none"/>
        </w:rPr>
        <w:t>F</w:t>
      </w:r>
    </w:p>
    <w:p w14:paraId="1D4C1919">
      <w:pPr>
        <w:rPr>
          <w:rFonts w:hint="eastAsia" w:hAnsi="宋体" w:cs="宋体"/>
          <w:highlight w:val="none"/>
        </w:rPr>
      </w:pPr>
      <w:r>
        <w:rPr>
          <w:rFonts w:hint="eastAsia" w:hAnsi="宋体" w:cs="宋体"/>
          <w:highlight w:val="none"/>
        </w:rPr>
        <w:t>发放革命烈士后裔在校就读助学金318</w:t>
      </w:r>
    </w:p>
    <w:p w14:paraId="552E43C9">
      <w:pPr>
        <w:rPr>
          <w:rFonts w:hint="eastAsia" w:hAnsi="宋体" w:cs="宋体"/>
          <w:highlight w:val="none"/>
        </w:rPr>
      </w:pPr>
      <w:r>
        <w:rPr>
          <w:rFonts w:hint="eastAsia" w:hAnsi="宋体" w:cs="宋体"/>
          <w:highlight w:val="none"/>
        </w:rPr>
        <w:t>发挥侨联组织新作用131</w:t>
      </w:r>
    </w:p>
    <w:p w14:paraId="0C860B53">
      <w:pPr>
        <w:rPr>
          <w:rFonts w:hint="eastAsia" w:hAnsi="宋体" w:cs="宋体"/>
          <w:highlight w:val="none"/>
        </w:rPr>
      </w:pPr>
      <w:r>
        <w:rPr>
          <w:rFonts w:hint="eastAsia" w:hAnsi="宋体" w:cs="宋体"/>
          <w:highlight w:val="none"/>
        </w:rPr>
        <w:t>发挥自身优势115</w:t>
      </w:r>
    </w:p>
    <w:p w14:paraId="0BF5DCA1">
      <w:pPr>
        <w:rPr>
          <w:rFonts w:hint="eastAsia" w:hAnsi="宋体" w:cs="宋体"/>
          <w:highlight w:val="none"/>
        </w:rPr>
      </w:pPr>
      <w:r>
        <w:rPr>
          <w:rFonts w:hint="eastAsia" w:hAnsi="宋体" w:cs="宋体"/>
          <w:highlight w:val="none"/>
        </w:rPr>
        <w:t>发展地方经济264</w:t>
      </w:r>
    </w:p>
    <w:p w14:paraId="1342A62B">
      <w:pPr>
        <w:rPr>
          <w:rFonts w:hint="eastAsia" w:hAnsi="宋体" w:cs="宋体"/>
          <w:highlight w:val="none"/>
        </w:rPr>
      </w:pPr>
      <w:r>
        <w:rPr>
          <w:rFonts w:hint="eastAsia" w:hAnsi="宋体" w:cs="宋体"/>
          <w:highlight w:val="none"/>
        </w:rPr>
        <w:t>发展和改革160</w:t>
      </w:r>
    </w:p>
    <w:p w14:paraId="1B20418C">
      <w:pPr>
        <w:rPr>
          <w:rFonts w:hint="eastAsia" w:hAnsi="宋体" w:cs="宋体"/>
          <w:highlight w:val="none"/>
        </w:rPr>
      </w:pPr>
      <w:r>
        <w:rPr>
          <w:rFonts w:hint="eastAsia" w:hAnsi="宋体" w:cs="宋体"/>
          <w:highlight w:val="none"/>
        </w:rPr>
        <w:t>发展旅游业325</w:t>
      </w:r>
    </w:p>
    <w:p w14:paraId="2615E9DB">
      <w:pPr>
        <w:rPr>
          <w:rFonts w:hint="eastAsia" w:hAnsi="宋体" w:cs="宋体"/>
          <w:highlight w:val="none"/>
        </w:rPr>
      </w:pPr>
      <w:r>
        <w:rPr>
          <w:rFonts w:hint="eastAsia" w:hAnsi="宋体" w:cs="宋体"/>
          <w:highlight w:val="none"/>
        </w:rPr>
        <w:t>发展特种水产养殖201</w:t>
      </w:r>
    </w:p>
    <w:p w14:paraId="65438969">
      <w:pPr>
        <w:rPr>
          <w:rFonts w:hint="eastAsia" w:hAnsi="宋体" w:cs="宋体"/>
          <w:highlight w:val="none"/>
        </w:rPr>
      </w:pPr>
      <w:r>
        <w:rPr>
          <w:rFonts w:hint="eastAsia" w:hAnsi="宋体" w:cs="宋体"/>
          <w:highlight w:val="none"/>
        </w:rPr>
        <w:t>法律顾问专栏68</w:t>
      </w:r>
    </w:p>
    <w:p w14:paraId="31FB064F">
      <w:pPr>
        <w:rPr>
          <w:rFonts w:hint="eastAsia" w:hAnsi="宋体" w:cs="宋体"/>
          <w:highlight w:val="none"/>
        </w:rPr>
      </w:pPr>
      <w:r>
        <w:rPr>
          <w:rFonts w:hint="eastAsia" w:hAnsi="宋体" w:cs="宋体"/>
          <w:highlight w:val="none"/>
        </w:rPr>
        <w:t>法律宣传220</w:t>
      </w:r>
    </w:p>
    <w:p w14:paraId="2872C86A">
      <w:pPr>
        <w:rPr>
          <w:rFonts w:hint="eastAsia" w:hAnsi="宋体" w:cs="宋体"/>
          <w:highlight w:val="none"/>
        </w:rPr>
      </w:pPr>
      <w:r>
        <w:rPr>
          <w:rFonts w:hint="eastAsia" w:hAnsi="宋体" w:cs="宋体"/>
          <w:highlight w:val="none"/>
        </w:rPr>
        <w:t>法律援助148</w:t>
      </w:r>
    </w:p>
    <w:p w14:paraId="0593C1A3">
      <w:pPr>
        <w:rPr>
          <w:rFonts w:hint="eastAsia" w:hAnsi="宋体" w:cs="宋体"/>
          <w:highlight w:val="none"/>
        </w:rPr>
      </w:pPr>
      <w:r>
        <w:rPr>
          <w:rFonts w:hint="eastAsia" w:hAnsi="宋体" w:cs="宋体"/>
          <w:highlight w:val="none"/>
        </w:rPr>
        <w:t>法制工作95</w:t>
      </w:r>
    </w:p>
    <w:p w14:paraId="1AD5B15B">
      <w:pPr>
        <w:rPr>
          <w:rFonts w:hint="eastAsia" w:hAnsi="宋体" w:cs="宋体"/>
          <w:highlight w:val="none"/>
        </w:rPr>
      </w:pPr>
      <w:r>
        <w:rPr>
          <w:rFonts w:hint="eastAsia" w:hAnsi="宋体" w:cs="宋体"/>
          <w:highlight w:val="none"/>
        </w:rPr>
        <w:t>法治南雄宣传69</w:t>
      </w:r>
    </w:p>
    <w:p w14:paraId="1CE8C8DB">
      <w:pPr>
        <w:rPr>
          <w:rFonts w:hint="eastAsia" w:hAnsi="宋体" w:cs="宋体"/>
          <w:highlight w:val="none"/>
        </w:rPr>
      </w:pPr>
      <w:r>
        <w:rPr>
          <w:rFonts w:hint="eastAsia" w:hAnsi="宋体" w:cs="宋体"/>
          <w:highlight w:val="none"/>
        </w:rPr>
        <w:t>法治南雄宣传教育周68</w:t>
      </w:r>
    </w:p>
    <w:p w14:paraId="7EB5E6EC">
      <w:pPr>
        <w:rPr>
          <w:rFonts w:hint="eastAsia" w:hAnsi="宋体" w:cs="宋体"/>
          <w:highlight w:val="none"/>
        </w:rPr>
      </w:pPr>
      <w:r>
        <w:rPr>
          <w:rFonts w:hint="eastAsia" w:hAnsi="宋体" w:cs="宋体"/>
          <w:highlight w:val="none"/>
        </w:rPr>
        <w:t>法治文化进校园68</w:t>
      </w:r>
    </w:p>
    <w:p w14:paraId="53024E9D">
      <w:pPr>
        <w:rPr>
          <w:rFonts w:hint="eastAsia" w:hAnsi="宋体" w:cs="宋体"/>
          <w:highlight w:val="none"/>
        </w:rPr>
      </w:pPr>
      <w:r>
        <w:rPr>
          <w:rFonts w:hint="eastAsia" w:hAnsi="宋体" w:cs="宋体"/>
          <w:highlight w:val="none"/>
        </w:rPr>
        <w:t>法治宣传行动124</w:t>
      </w:r>
    </w:p>
    <w:p w14:paraId="0907C054">
      <w:pPr>
        <w:rPr>
          <w:rFonts w:hint="eastAsia" w:hAnsi="宋体" w:cs="宋体"/>
          <w:highlight w:val="none"/>
        </w:rPr>
      </w:pPr>
      <w:r>
        <w:rPr>
          <w:rFonts w:hint="eastAsia" w:hAnsi="宋体" w:cs="宋体"/>
          <w:highlight w:val="none"/>
        </w:rPr>
        <w:t>法治镇创建69</w:t>
      </w:r>
    </w:p>
    <w:p w14:paraId="74C96256">
      <w:pPr>
        <w:rPr>
          <w:rFonts w:hint="eastAsia" w:hAnsi="宋体" w:cs="宋体"/>
          <w:highlight w:val="none"/>
        </w:rPr>
      </w:pPr>
      <w:r>
        <w:rPr>
          <w:rFonts w:hint="eastAsia" w:hAnsi="宋体" w:cs="宋体"/>
          <w:highlight w:val="none"/>
        </w:rPr>
        <w:t>防空警报管理、维护159</w:t>
      </w:r>
    </w:p>
    <w:p w14:paraId="1580138D">
      <w:pPr>
        <w:rPr>
          <w:rFonts w:hint="eastAsia" w:hAnsi="宋体" w:cs="宋体"/>
          <w:highlight w:val="none"/>
        </w:rPr>
      </w:pPr>
      <w:r>
        <w:rPr>
          <w:rFonts w:hint="eastAsia" w:hAnsi="宋体" w:cs="宋体"/>
          <w:highlight w:val="none"/>
        </w:rPr>
        <w:t>防邪工作137</w:t>
      </w:r>
    </w:p>
    <w:p w14:paraId="658DBA88">
      <w:pPr>
        <w:rPr>
          <w:rFonts w:hint="eastAsia" w:hAnsi="宋体" w:cs="宋体"/>
          <w:highlight w:val="none"/>
        </w:rPr>
      </w:pPr>
      <w:r>
        <w:rPr>
          <w:rFonts w:hint="eastAsia" w:hAnsi="宋体" w:cs="宋体"/>
          <w:highlight w:val="none"/>
        </w:rPr>
        <w:t>防汛抗旱213</w:t>
      </w:r>
    </w:p>
    <w:p w14:paraId="520FD7C7">
      <w:pPr>
        <w:rPr>
          <w:rFonts w:hint="eastAsia" w:hAnsi="宋体" w:cs="宋体"/>
          <w:highlight w:val="none"/>
        </w:rPr>
      </w:pPr>
      <w:r>
        <w:rPr>
          <w:rFonts w:hint="eastAsia" w:hAnsi="宋体" w:cs="宋体"/>
          <w:highlight w:val="none"/>
        </w:rPr>
        <w:t>房地产业管理240</w:t>
      </w:r>
    </w:p>
    <w:p w14:paraId="05FD06CB">
      <w:pPr>
        <w:rPr>
          <w:rFonts w:hint="eastAsia" w:hAnsi="宋体" w:cs="宋体"/>
          <w:highlight w:val="none"/>
        </w:rPr>
      </w:pPr>
      <w:r>
        <w:rPr>
          <w:rFonts w:hint="eastAsia" w:hAnsi="宋体" w:cs="宋体"/>
          <w:highlight w:val="none"/>
        </w:rPr>
        <w:t>房屋登记240</w:t>
      </w:r>
    </w:p>
    <w:p w14:paraId="7AE33FBC">
      <w:pPr>
        <w:rPr>
          <w:rFonts w:hint="eastAsia" w:hAnsi="宋体" w:cs="宋体"/>
          <w:highlight w:val="none"/>
        </w:rPr>
      </w:pPr>
      <w:r>
        <w:rPr>
          <w:rFonts w:hint="eastAsia" w:hAnsi="宋体" w:cs="宋体"/>
          <w:highlight w:val="none"/>
        </w:rPr>
        <w:t>房屋征收243</w:t>
      </w:r>
    </w:p>
    <w:p w14:paraId="58766BB1">
      <w:pPr>
        <w:rPr>
          <w:rFonts w:hint="eastAsia" w:hAnsi="宋体" w:cs="宋体"/>
          <w:highlight w:val="none"/>
        </w:rPr>
      </w:pPr>
      <w:r>
        <w:rPr>
          <w:rFonts w:hint="eastAsia" w:hAnsi="宋体" w:cs="宋体"/>
          <w:highlight w:val="none"/>
        </w:rPr>
        <w:t>放射卫生监督管理290</w:t>
      </w:r>
    </w:p>
    <w:p w14:paraId="01D453DB">
      <w:pPr>
        <w:rPr>
          <w:rFonts w:hint="eastAsia" w:hAnsi="宋体" w:cs="宋体"/>
          <w:highlight w:val="none"/>
        </w:rPr>
      </w:pPr>
      <w:r>
        <w:rPr>
          <w:rFonts w:hint="eastAsia" w:hAnsi="宋体" w:cs="宋体"/>
          <w:highlight w:val="none"/>
        </w:rPr>
        <w:t>非公有制企业关工工作126</w:t>
      </w:r>
    </w:p>
    <w:p w14:paraId="7661ECC1">
      <w:pPr>
        <w:rPr>
          <w:rFonts w:hint="eastAsia" w:hAnsi="宋体" w:cs="宋体"/>
          <w:highlight w:val="none"/>
        </w:rPr>
      </w:pPr>
      <w:r>
        <w:rPr>
          <w:rFonts w:hint="eastAsia" w:hAnsi="宋体" w:cs="宋体"/>
          <w:highlight w:val="none"/>
        </w:rPr>
        <w:t>非物质文化遗产保护308</w:t>
      </w:r>
    </w:p>
    <w:p w14:paraId="734B131C">
      <w:pPr>
        <w:rPr>
          <w:rFonts w:hint="eastAsia" w:hAnsi="宋体" w:cs="宋体"/>
          <w:highlight w:val="none"/>
        </w:rPr>
      </w:pPr>
      <w:r>
        <w:rPr>
          <w:rFonts w:hint="eastAsia" w:hAnsi="宋体" w:cs="宋体"/>
          <w:highlight w:val="none"/>
        </w:rPr>
        <w:t>废品经营250</w:t>
      </w:r>
    </w:p>
    <w:p w14:paraId="477E4322">
      <w:pPr>
        <w:rPr>
          <w:rFonts w:hint="eastAsia" w:hAnsi="宋体" w:cs="宋体"/>
          <w:highlight w:val="none"/>
        </w:rPr>
      </w:pPr>
      <w:r>
        <w:rPr>
          <w:rFonts w:hint="eastAsia" w:hAnsi="宋体" w:cs="宋体"/>
          <w:highlight w:val="none"/>
        </w:rPr>
        <w:t>风险管控268</w:t>
      </w:r>
    </w:p>
    <w:p w14:paraId="4A8C37D8">
      <w:pPr>
        <w:rPr>
          <w:rFonts w:hint="eastAsia" w:hAnsi="宋体" w:cs="宋体"/>
          <w:highlight w:val="none"/>
        </w:rPr>
      </w:pPr>
      <w:r>
        <w:rPr>
          <w:rFonts w:hint="eastAsia" w:hAnsi="宋体" w:cs="宋体"/>
          <w:highlight w:val="none"/>
        </w:rPr>
        <w:t>扶贫工作91 93 344 366</w:t>
      </w:r>
    </w:p>
    <w:p w14:paraId="1FCF2764">
      <w:pPr>
        <w:rPr>
          <w:rFonts w:hint="eastAsia" w:hAnsi="宋体" w:cs="宋体"/>
          <w:highlight w:val="none"/>
        </w:rPr>
      </w:pPr>
      <w:r>
        <w:rPr>
          <w:rFonts w:hint="eastAsia" w:hAnsi="宋体" w:cs="宋体"/>
          <w:highlight w:val="none"/>
        </w:rPr>
        <w:t>扶贫开发和宣传报道56</w:t>
      </w:r>
    </w:p>
    <w:p w14:paraId="48F3A5A7">
      <w:pPr>
        <w:rPr>
          <w:rFonts w:hint="eastAsia" w:hAnsi="宋体" w:cs="宋体"/>
          <w:highlight w:val="none"/>
        </w:rPr>
      </w:pPr>
      <w:r>
        <w:rPr>
          <w:rFonts w:hint="eastAsia" w:hAnsi="宋体" w:cs="宋体"/>
          <w:highlight w:val="none"/>
        </w:rPr>
        <w:t>扶贫开发“双到”工作197</w:t>
      </w:r>
    </w:p>
    <w:p w14:paraId="0938F6A4">
      <w:pPr>
        <w:rPr>
          <w:rFonts w:hint="default" w:hAnsi="宋体" w:eastAsia="宋体" w:cs="宋体"/>
          <w:highlight w:val="none"/>
          <w:lang w:val="en-US" w:eastAsia="zh-CN"/>
        </w:rPr>
      </w:pPr>
      <w:r>
        <w:rPr>
          <w:rFonts w:hint="eastAsia" w:hAnsi="宋体" w:cs="宋体"/>
          <w:highlight w:val="none"/>
        </w:rPr>
        <w:t>扶贫“双到”工作67 341 346</w:t>
      </w:r>
      <w:r>
        <w:rPr>
          <w:rFonts w:hint="eastAsia" w:hAnsi="宋体" w:cs="宋体"/>
          <w:highlight w:val="none"/>
          <w:lang w:val="en-US" w:eastAsia="zh-CN"/>
        </w:rPr>
        <w:t xml:space="preserve"> 350</w:t>
      </w:r>
    </w:p>
    <w:p w14:paraId="25253D94">
      <w:pPr>
        <w:rPr>
          <w:rFonts w:hint="eastAsia" w:hAnsi="宋体" w:cs="宋体"/>
          <w:highlight w:val="none"/>
        </w:rPr>
      </w:pPr>
      <w:r>
        <w:rPr>
          <w:rFonts w:hint="eastAsia" w:hAnsi="宋体" w:cs="宋体"/>
          <w:highlight w:val="none"/>
        </w:rPr>
        <w:t>扶贫助残125</w:t>
      </w:r>
    </w:p>
    <w:p w14:paraId="27497111">
      <w:pPr>
        <w:rPr>
          <w:rFonts w:hint="eastAsia" w:hAnsi="宋体" w:cs="宋体"/>
          <w:highlight w:val="none"/>
        </w:rPr>
      </w:pPr>
      <w:r>
        <w:rPr>
          <w:rFonts w:hint="eastAsia" w:hAnsi="宋体" w:cs="宋体"/>
          <w:highlight w:val="none"/>
        </w:rPr>
        <w:t>扶贫助困服务123</w:t>
      </w:r>
    </w:p>
    <w:p w14:paraId="7873118B">
      <w:pPr>
        <w:rPr>
          <w:rFonts w:hint="eastAsia" w:hAnsi="宋体" w:cs="宋体"/>
          <w:highlight w:val="none"/>
        </w:rPr>
      </w:pPr>
      <w:r>
        <w:rPr>
          <w:rFonts w:hint="eastAsia" w:hAnsi="宋体" w:cs="宋体"/>
          <w:highlight w:val="none"/>
        </w:rPr>
        <w:t>扶贫助学317</w:t>
      </w:r>
    </w:p>
    <w:p w14:paraId="0DD41E7A">
      <w:pPr>
        <w:rPr>
          <w:rFonts w:hint="eastAsia" w:hAnsi="宋体" w:cs="宋体"/>
          <w:highlight w:val="none"/>
        </w:rPr>
      </w:pPr>
      <w:r>
        <w:rPr>
          <w:rFonts w:hint="eastAsia" w:hAnsi="宋体" w:cs="宋体"/>
          <w:highlight w:val="none"/>
        </w:rPr>
        <w:t>服务和维系234</w:t>
      </w:r>
    </w:p>
    <w:p w14:paraId="5F9FC1E8">
      <w:pPr>
        <w:rPr>
          <w:rFonts w:hint="eastAsia" w:hAnsi="宋体" w:cs="宋体"/>
          <w:highlight w:val="none"/>
        </w:rPr>
      </w:pPr>
      <w:r>
        <w:rPr>
          <w:rFonts w:hint="eastAsia" w:hAnsi="宋体" w:cs="宋体"/>
          <w:highlight w:val="none"/>
        </w:rPr>
        <w:t>服务社会115</w:t>
      </w:r>
    </w:p>
    <w:p w14:paraId="2C521794">
      <w:pPr>
        <w:rPr>
          <w:rFonts w:hint="eastAsia" w:hAnsi="宋体" w:cs="宋体"/>
          <w:highlight w:val="none"/>
        </w:rPr>
      </w:pPr>
      <w:r>
        <w:rPr>
          <w:rFonts w:hint="eastAsia" w:hAnsi="宋体" w:cs="宋体"/>
          <w:highlight w:val="none"/>
        </w:rPr>
        <w:t>服务水平233</w:t>
      </w:r>
    </w:p>
    <w:p w14:paraId="2D6F5384">
      <w:pPr>
        <w:rPr>
          <w:rFonts w:hint="eastAsia" w:hAnsi="宋体" w:cs="宋体"/>
          <w:highlight w:val="none"/>
        </w:rPr>
      </w:pPr>
      <w:r>
        <w:rPr>
          <w:rFonts w:hint="eastAsia" w:hAnsi="宋体" w:cs="宋体"/>
          <w:highlight w:val="none"/>
        </w:rPr>
        <w:t>妇联工作370</w:t>
      </w:r>
    </w:p>
    <w:p w14:paraId="555F4751">
      <w:pPr>
        <w:rPr>
          <w:rFonts w:hint="eastAsia" w:hAnsi="宋体" w:cs="宋体"/>
          <w:highlight w:val="none"/>
        </w:rPr>
      </w:pPr>
      <w:r>
        <w:rPr>
          <w:rFonts w:hint="eastAsia" w:hAnsi="宋体" w:cs="宋体"/>
          <w:highlight w:val="none"/>
        </w:rPr>
        <w:t>妇女健康服务122</w:t>
      </w:r>
    </w:p>
    <w:p w14:paraId="0C07E868">
      <w:pPr>
        <w:rPr>
          <w:rFonts w:hint="eastAsia" w:hAnsi="宋体" w:cs="宋体"/>
          <w:highlight w:val="none"/>
        </w:rPr>
      </w:pPr>
      <w:r>
        <w:rPr>
          <w:rFonts w:hint="eastAsia" w:hAnsi="宋体" w:cs="宋体"/>
          <w:highlight w:val="none"/>
        </w:rPr>
        <w:t>妇女联合会122</w:t>
      </w:r>
    </w:p>
    <w:p w14:paraId="7753206C">
      <w:pPr>
        <w:rPr>
          <w:rFonts w:hint="eastAsia" w:hAnsi="宋体" w:cs="宋体"/>
          <w:highlight w:val="none"/>
        </w:rPr>
      </w:pPr>
      <w:r>
        <w:rPr>
          <w:rFonts w:hint="eastAsia" w:hAnsi="宋体" w:cs="宋体"/>
          <w:highlight w:val="none"/>
        </w:rPr>
        <w:t>妇女之家124</w:t>
      </w:r>
    </w:p>
    <w:p w14:paraId="2B0AA043">
      <w:pPr>
        <w:rPr>
          <w:rFonts w:hint="eastAsia" w:hAnsi="宋体" w:cs="宋体"/>
          <w:highlight w:val="none"/>
        </w:rPr>
      </w:pPr>
      <w:r>
        <w:rPr>
          <w:rFonts w:hint="eastAsia" w:hAnsi="宋体" w:cs="宋体"/>
          <w:highlight w:val="none"/>
        </w:rPr>
        <w:t>妇幼保健286</w:t>
      </w:r>
    </w:p>
    <w:p w14:paraId="4FBDC9E9">
      <w:pPr>
        <w:pStyle w:val="4"/>
        <w:bidi w:val="0"/>
        <w:rPr>
          <w:rFonts w:hint="eastAsia"/>
          <w:highlight w:val="none"/>
          <w:lang w:val="en-US" w:eastAsia="zh-CN"/>
        </w:rPr>
      </w:pPr>
      <w:r>
        <w:rPr>
          <w:rFonts w:hint="eastAsia"/>
          <w:highlight w:val="none"/>
          <w:lang w:val="en-US" w:eastAsia="zh-CN"/>
        </w:rPr>
        <w:t>G</w:t>
      </w:r>
    </w:p>
    <w:p w14:paraId="42E285C6">
      <w:pPr>
        <w:rPr>
          <w:rFonts w:hint="eastAsia"/>
          <w:highlight w:val="none"/>
          <w:lang w:val="en-US" w:eastAsia="zh-CN"/>
        </w:rPr>
      </w:pPr>
      <w:r>
        <w:rPr>
          <w:rFonts w:hint="eastAsia"/>
          <w:highlight w:val="none"/>
          <w:lang w:val="en-US" w:eastAsia="zh-CN"/>
        </w:rPr>
        <w:t>干部队伍建设61</w:t>
      </w:r>
    </w:p>
    <w:p w14:paraId="6744ACFF">
      <w:pPr>
        <w:rPr>
          <w:rFonts w:hint="eastAsia"/>
          <w:highlight w:val="none"/>
          <w:lang w:val="en-US" w:eastAsia="zh-CN"/>
        </w:rPr>
      </w:pPr>
      <w:r>
        <w:rPr>
          <w:rFonts w:hint="eastAsia"/>
          <w:highlight w:val="none"/>
          <w:lang w:val="en-US" w:eastAsia="zh-CN"/>
        </w:rPr>
        <w:t>干部队伍自身建设127</w:t>
      </w:r>
    </w:p>
    <w:p w14:paraId="1B1CDE8D">
      <w:pPr>
        <w:rPr>
          <w:rFonts w:hint="eastAsia"/>
          <w:highlight w:val="none"/>
          <w:lang w:val="en-US" w:eastAsia="zh-CN"/>
        </w:rPr>
      </w:pPr>
      <w:r>
        <w:rPr>
          <w:rFonts w:hint="eastAsia"/>
          <w:highlight w:val="none"/>
          <w:lang w:val="en-US" w:eastAsia="zh-CN"/>
        </w:rPr>
        <w:t>干部管理312</w:t>
      </w:r>
    </w:p>
    <w:p w14:paraId="329530C2">
      <w:pPr>
        <w:rPr>
          <w:rFonts w:hint="eastAsia"/>
          <w:highlight w:val="none"/>
          <w:lang w:val="en-US" w:eastAsia="zh-CN"/>
        </w:rPr>
      </w:pPr>
      <w:r>
        <w:rPr>
          <w:rFonts w:hint="eastAsia"/>
          <w:highlight w:val="none"/>
          <w:lang w:val="en-US" w:eastAsia="zh-CN"/>
        </w:rPr>
        <w:t>干部监督48</w:t>
      </w:r>
    </w:p>
    <w:p w14:paraId="638E40BE">
      <w:pPr>
        <w:rPr>
          <w:rFonts w:hint="eastAsia"/>
          <w:highlight w:val="none"/>
          <w:lang w:val="en-US" w:eastAsia="zh-CN"/>
        </w:rPr>
      </w:pPr>
      <w:r>
        <w:rPr>
          <w:rFonts w:hint="eastAsia"/>
          <w:highlight w:val="none"/>
          <w:lang w:val="en-US" w:eastAsia="zh-CN"/>
        </w:rPr>
        <w:t>干部培训情况62</w:t>
      </w:r>
    </w:p>
    <w:p w14:paraId="42948A8F">
      <w:pPr>
        <w:rPr>
          <w:rFonts w:hint="eastAsia"/>
          <w:highlight w:val="none"/>
          <w:lang w:val="en-US" w:eastAsia="zh-CN"/>
        </w:rPr>
      </w:pPr>
      <w:r>
        <w:rPr>
          <w:rFonts w:hint="eastAsia"/>
          <w:highlight w:val="none"/>
          <w:lang w:val="en-US" w:eastAsia="zh-CN"/>
        </w:rPr>
        <w:t>干部任用48</w:t>
      </w:r>
    </w:p>
    <w:p w14:paraId="34B5E6EA">
      <w:pPr>
        <w:rPr>
          <w:rFonts w:hint="eastAsia"/>
          <w:highlight w:val="none"/>
          <w:lang w:val="en-US" w:eastAsia="zh-CN"/>
        </w:rPr>
      </w:pPr>
      <w:r>
        <w:rPr>
          <w:rFonts w:hint="eastAsia"/>
          <w:highlight w:val="none"/>
          <w:lang w:val="en-US" w:eastAsia="zh-CN"/>
        </w:rPr>
        <w:t>高中（中职）教育273</w:t>
      </w:r>
    </w:p>
    <w:p w14:paraId="07489223">
      <w:pPr>
        <w:rPr>
          <w:rFonts w:hint="eastAsia"/>
          <w:highlight w:val="none"/>
          <w:lang w:val="en-US" w:eastAsia="zh-CN"/>
        </w:rPr>
      </w:pPr>
      <w:r>
        <w:rPr>
          <w:rFonts w:hint="eastAsia"/>
          <w:highlight w:val="none"/>
          <w:lang w:val="en-US" w:eastAsia="zh-CN"/>
        </w:rPr>
        <w:t>革命遗址调查64</w:t>
      </w:r>
    </w:p>
    <w:p w14:paraId="1A1BE11F">
      <w:pPr>
        <w:rPr>
          <w:rFonts w:hint="eastAsia"/>
          <w:highlight w:val="none"/>
          <w:lang w:val="en-US" w:eastAsia="zh-CN"/>
        </w:rPr>
      </w:pPr>
      <w:r>
        <w:rPr>
          <w:rFonts w:hint="eastAsia"/>
          <w:highlight w:val="none"/>
          <w:lang w:val="en-US" w:eastAsia="zh-CN"/>
        </w:rPr>
        <w:t>各村委会基本情况361 370</w:t>
      </w:r>
    </w:p>
    <w:p w14:paraId="4590E586">
      <w:pPr>
        <w:rPr>
          <w:rFonts w:hint="eastAsia"/>
          <w:highlight w:val="none"/>
          <w:lang w:val="en-US" w:eastAsia="zh-CN"/>
        </w:rPr>
      </w:pPr>
      <w:r>
        <w:rPr>
          <w:rFonts w:hint="eastAsia"/>
          <w:highlight w:val="none"/>
          <w:lang w:val="en-US" w:eastAsia="zh-CN"/>
        </w:rPr>
        <w:t>各烟站简介222</w:t>
      </w:r>
    </w:p>
    <w:p w14:paraId="7911B120">
      <w:pPr>
        <w:rPr>
          <w:rFonts w:hint="eastAsia"/>
          <w:highlight w:val="none"/>
          <w:lang w:val="en-US" w:eastAsia="zh-CN"/>
        </w:rPr>
      </w:pPr>
      <w:r>
        <w:rPr>
          <w:rFonts w:hint="eastAsia"/>
          <w:highlight w:val="none"/>
          <w:lang w:val="en-US" w:eastAsia="zh-CN"/>
        </w:rPr>
        <w:t>耕地保护和土地开发175</w:t>
      </w:r>
    </w:p>
    <w:p w14:paraId="4DEDEE7C">
      <w:pPr>
        <w:rPr>
          <w:rFonts w:hint="eastAsia"/>
          <w:highlight w:val="none"/>
          <w:lang w:val="en-US" w:eastAsia="zh-CN"/>
        </w:rPr>
      </w:pPr>
      <w:r>
        <w:rPr>
          <w:rFonts w:hint="eastAsia"/>
          <w:highlight w:val="none"/>
          <w:lang w:val="en-US" w:eastAsia="zh-CN"/>
        </w:rPr>
        <w:t>工程建设243</w:t>
      </w:r>
    </w:p>
    <w:p w14:paraId="526D4CAC">
      <w:pPr>
        <w:rPr>
          <w:rFonts w:hint="eastAsia"/>
          <w:highlight w:val="none"/>
          <w:lang w:val="en-US" w:eastAsia="zh-CN"/>
        </w:rPr>
      </w:pPr>
      <w:r>
        <w:rPr>
          <w:rFonts w:hint="eastAsia"/>
          <w:highlight w:val="none"/>
          <w:lang w:val="en-US" w:eastAsia="zh-CN"/>
        </w:rPr>
        <w:t>工伤保险314</w:t>
      </w:r>
    </w:p>
    <w:p w14:paraId="3AAA392F">
      <w:pPr>
        <w:rPr>
          <w:rFonts w:hint="eastAsia"/>
          <w:highlight w:val="none"/>
          <w:lang w:val="en-US" w:eastAsia="zh-CN"/>
        </w:rPr>
      </w:pPr>
      <w:r>
        <w:rPr>
          <w:rFonts w:hint="eastAsia"/>
          <w:highlight w:val="none"/>
          <w:lang w:val="en-US" w:eastAsia="zh-CN"/>
        </w:rPr>
        <w:t>工商登记与服务169</w:t>
      </w:r>
    </w:p>
    <w:p w14:paraId="55625255">
      <w:pPr>
        <w:rPr>
          <w:rFonts w:hint="eastAsia"/>
          <w:highlight w:val="none"/>
          <w:lang w:val="en-US" w:eastAsia="zh-CN"/>
        </w:rPr>
      </w:pPr>
      <w:r>
        <w:rPr>
          <w:rFonts w:hint="eastAsia"/>
          <w:highlight w:val="none"/>
          <w:lang w:val="en-US" w:eastAsia="zh-CN"/>
        </w:rPr>
        <w:t>工商业联合会126</w:t>
      </w:r>
    </w:p>
    <w:p w14:paraId="1B4D093A">
      <w:pPr>
        <w:rPr>
          <w:rFonts w:hint="eastAsia"/>
          <w:highlight w:val="none"/>
          <w:lang w:val="en-US" w:eastAsia="zh-CN"/>
        </w:rPr>
      </w:pPr>
      <w:r>
        <w:rPr>
          <w:rFonts w:hint="eastAsia"/>
          <w:highlight w:val="none"/>
          <w:lang w:val="en-US" w:eastAsia="zh-CN"/>
        </w:rPr>
        <w:t>工业强市效应提升85</w:t>
      </w:r>
    </w:p>
    <w:p w14:paraId="513C844A">
      <w:pPr>
        <w:rPr>
          <w:rFonts w:hint="eastAsia"/>
          <w:highlight w:val="none"/>
          <w:lang w:val="en-US" w:eastAsia="zh-CN"/>
        </w:rPr>
      </w:pPr>
      <w:r>
        <w:rPr>
          <w:rFonts w:hint="eastAsia"/>
          <w:highlight w:val="none"/>
          <w:lang w:val="en-US" w:eastAsia="zh-CN"/>
        </w:rPr>
        <w:t>工资与福利313</w:t>
      </w:r>
    </w:p>
    <w:p w14:paraId="5ECCE27F">
      <w:pPr>
        <w:rPr>
          <w:rFonts w:hint="eastAsia"/>
          <w:highlight w:val="none"/>
          <w:lang w:val="en-US" w:eastAsia="zh-CN"/>
        </w:rPr>
      </w:pPr>
      <w:r>
        <w:rPr>
          <w:rFonts w:hint="eastAsia"/>
          <w:highlight w:val="none"/>
          <w:lang w:val="en-US" w:eastAsia="zh-CN"/>
        </w:rPr>
        <w:t>工作记事102</w:t>
      </w:r>
    </w:p>
    <w:p w14:paraId="346F3D44">
      <w:pPr>
        <w:rPr>
          <w:rFonts w:hint="eastAsia"/>
          <w:highlight w:val="none"/>
          <w:lang w:val="en-US" w:eastAsia="zh-CN"/>
        </w:rPr>
      </w:pPr>
      <w:r>
        <w:rPr>
          <w:rFonts w:hint="eastAsia"/>
          <w:highlight w:val="none"/>
          <w:lang w:val="en-US" w:eastAsia="zh-CN"/>
        </w:rPr>
        <w:t>工作纪事149</w:t>
      </w:r>
    </w:p>
    <w:p w14:paraId="1DFD333B">
      <w:pPr>
        <w:rPr>
          <w:rFonts w:hint="eastAsia"/>
          <w:highlight w:val="none"/>
          <w:lang w:val="en-US" w:eastAsia="zh-CN"/>
        </w:rPr>
      </w:pPr>
      <w:r>
        <w:rPr>
          <w:rFonts w:hint="eastAsia"/>
          <w:highlight w:val="none"/>
          <w:lang w:val="en-US" w:eastAsia="zh-CN"/>
        </w:rPr>
        <w:t>公安137</w:t>
      </w:r>
    </w:p>
    <w:p w14:paraId="6803043B">
      <w:pPr>
        <w:rPr>
          <w:rFonts w:hint="eastAsia"/>
          <w:highlight w:val="none"/>
          <w:lang w:val="en-US" w:eastAsia="zh-CN"/>
        </w:rPr>
      </w:pPr>
      <w:r>
        <w:rPr>
          <w:rFonts w:hint="eastAsia"/>
          <w:highlight w:val="none"/>
          <w:lang w:val="en-US" w:eastAsia="zh-CN"/>
        </w:rPr>
        <w:t>公车改革161</w:t>
      </w:r>
    </w:p>
    <w:p w14:paraId="584F1D3D">
      <w:pPr>
        <w:rPr>
          <w:rFonts w:hint="eastAsia"/>
          <w:highlight w:val="none"/>
          <w:lang w:val="en-US" w:eastAsia="zh-CN"/>
        </w:rPr>
      </w:pPr>
      <w:r>
        <w:rPr>
          <w:rFonts w:hint="eastAsia"/>
          <w:highlight w:val="none"/>
          <w:lang w:val="en-US" w:eastAsia="zh-CN"/>
        </w:rPr>
        <w:t>公房管理240</w:t>
      </w:r>
    </w:p>
    <w:p w14:paraId="19005866">
      <w:pPr>
        <w:rPr>
          <w:rFonts w:hint="eastAsia"/>
          <w:highlight w:val="none"/>
          <w:lang w:val="en-US" w:eastAsia="zh-CN"/>
        </w:rPr>
      </w:pPr>
      <w:r>
        <w:rPr>
          <w:rFonts w:hint="eastAsia"/>
          <w:highlight w:val="none"/>
          <w:lang w:val="en-US" w:eastAsia="zh-CN"/>
        </w:rPr>
        <w:t>公共安全管理138</w:t>
      </w:r>
    </w:p>
    <w:p w14:paraId="6E714F4D">
      <w:pPr>
        <w:rPr>
          <w:rFonts w:hint="eastAsia"/>
          <w:highlight w:val="none"/>
          <w:lang w:val="en-US" w:eastAsia="zh-CN"/>
        </w:rPr>
      </w:pPr>
      <w:r>
        <w:rPr>
          <w:rFonts w:hint="eastAsia"/>
          <w:highlight w:val="none"/>
          <w:lang w:val="en-US" w:eastAsia="zh-CN"/>
        </w:rPr>
        <w:t>公共场所卫生监管289</w:t>
      </w:r>
    </w:p>
    <w:p w14:paraId="5D57A843">
      <w:pPr>
        <w:rPr>
          <w:rFonts w:hint="eastAsia"/>
          <w:highlight w:val="none"/>
          <w:lang w:val="en-US" w:eastAsia="zh-CN"/>
        </w:rPr>
      </w:pPr>
      <w:r>
        <w:rPr>
          <w:rFonts w:hint="eastAsia"/>
          <w:highlight w:val="none"/>
          <w:lang w:val="en-US" w:eastAsia="zh-CN"/>
        </w:rPr>
        <w:t>公共服务管理139</w:t>
      </w:r>
    </w:p>
    <w:p w14:paraId="503A39FC">
      <w:pPr>
        <w:rPr>
          <w:rFonts w:hint="eastAsia"/>
          <w:highlight w:val="none"/>
          <w:lang w:val="en-US" w:eastAsia="zh-CN"/>
        </w:rPr>
      </w:pPr>
      <w:r>
        <w:rPr>
          <w:rFonts w:hint="eastAsia"/>
          <w:highlight w:val="none"/>
          <w:lang w:val="en-US" w:eastAsia="zh-CN"/>
        </w:rPr>
        <w:t>公共卫生应急体系建设284</w:t>
      </w:r>
    </w:p>
    <w:p w14:paraId="735609EE">
      <w:pPr>
        <w:rPr>
          <w:rFonts w:hint="eastAsia"/>
          <w:highlight w:val="none"/>
          <w:lang w:val="en-US" w:eastAsia="zh-CN"/>
        </w:rPr>
      </w:pPr>
      <w:r>
        <w:rPr>
          <w:rFonts w:hint="eastAsia"/>
          <w:highlight w:val="none"/>
          <w:lang w:val="en-US" w:eastAsia="zh-CN"/>
        </w:rPr>
        <w:t>公共文化基础设施建设52</w:t>
      </w:r>
    </w:p>
    <w:p w14:paraId="1F4ED96C">
      <w:pPr>
        <w:rPr>
          <w:rFonts w:hint="eastAsia"/>
          <w:highlight w:val="none"/>
          <w:lang w:val="en-US" w:eastAsia="zh-CN"/>
        </w:rPr>
      </w:pPr>
      <w:r>
        <w:rPr>
          <w:rFonts w:hint="eastAsia"/>
          <w:highlight w:val="none"/>
          <w:lang w:val="en-US" w:eastAsia="zh-CN"/>
        </w:rPr>
        <w:t>公共资源95</w:t>
      </w:r>
    </w:p>
    <w:p w14:paraId="2C967B82">
      <w:pPr>
        <w:rPr>
          <w:rFonts w:hint="eastAsia"/>
          <w:highlight w:val="none"/>
          <w:lang w:val="en-US" w:eastAsia="zh-CN"/>
        </w:rPr>
      </w:pPr>
      <w:r>
        <w:rPr>
          <w:rFonts w:hint="eastAsia"/>
          <w:highlight w:val="none"/>
          <w:lang w:val="en-US" w:eastAsia="zh-CN"/>
        </w:rPr>
        <w:t>公路货运225</w:t>
      </w:r>
    </w:p>
    <w:p w14:paraId="7A92D41A">
      <w:pPr>
        <w:rPr>
          <w:rFonts w:hint="eastAsia"/>
          <w:highlight w:val="none"/>
          <w:lang w:val="en-US" w:eastAsia="zh-CN"/>
        </w:rPr>
      </w:pPr>
      <w:r>
        <w:rPr>
          <w:rFonts w:hint="eastAsia"/>
          <w:highlight w:val="none"/>
          <w:lang w:val="en-US" w:eastAsia="zh-CN"/>
        </w:rPr>
        <w:t>公路建设224公路养护225</w:t>
      </w:r>
    </w:p>
    <w:p w14:paraId="13199271">
      <w:pPr>
        <w:rPr>
          <w:rFonts w:hint="eastAsia"/>
          <w:highlight w:val="none"/>
          <w:lang w:val="en-US" w:eastAsia="zh-CN"/>
        </w:rPr>
      </w:pPr>
      <w:r>
        <w:rPr>
          <w:rFonts w:hint="eastAsia"/>
          <w:highlight w:val="none"/>
          <w:lang w:val="en-US" w:eastAsia="zh-CN"/>
        </w:rPr>
        <w:t>公益活动125 235</w:t>
      </w:r>
    </w:p>
    <w:p w14:paraId="219C3F0D">
      <w:pPr>
        <w:rPr>
          <w:rFonts w:hint="eastAsia"/>
          <w:highlight w:val="none"/>
          <w:lang w:val="en-US" w:eastAsia="zh-CN"/>
        </w:rPr>
      </w:pPr>
      <w:r>
        <w:rPr>
          <w:rFonts w:hint="eastAsia"/>
          <w:highlight w:val="none"/>
          <w:lang w:val="en-US" w:eastAsia="zh-CN"/>
        </w:rPr>
        <w:t>公益基金会331</w:t>
      </w:r>
    </w:p>
    <w:p w14:paraId="28705FB2">
      <w:pPr>
        <w:rPr>
          <w:rFonts w:hint="eastAsia"/>
          <w:highlight w:val="none"/>
          <w:lang w:val="en-US" w:eastAsia="zh-CN"/>
        </w:rPr>
      </w:pPr>
      <w:r>
        <w:rPr>
          <w:rFonts w:hint="eastAsia"/>
          <w:highlight w:val="none"/>
          <w:lang w:val="en-US" w:eastAsia="zh-CN"/>
        </w:rPr>
        <w:t>公证工作148</w:t>
      </w:r>
    </w:p>
    <w:p w14:paraId="6080896D">
      <w:pPr>
        <w:rPr>
          <w:rFonts w:hint="eastAsia"/>
          <w:highlight w:val="none"/>
          <w:lang w:val="en-US" w:eastAsia="zh-CN"/>
        </w:rPr>
      </w:pPr>
      <w:r>
        <w:rPr>
          <w:rFonts w:hint="eastAsia"/>
          <w:highlight w:val="none"/>
          <w:lang w:val="en-US" w:eastAsia="zh-CN"/>
        </w:rPr>
        <w:t>供销249</w:t>
      </w:r>
    </w:p>
    <w:p w14:paraId="74934903">
      <w:pPr>
        <w:rPr>
          <w:rFonts w:hint="eastAsia"/>
          <w:highlight w:val="none"/>
          <w:lang w:val="en-US" w:eastAsia="zh-CN"/>
        </w:rPr>
      </w:pPr>
      <w:r>
        <w:rPr>
          <w:rFonts w:hint="eastAsia"/>
          <w:highlight w:val="none"/>
          <w:lang w:val="en-US" w:eastAsia="zh-CN"/>
        </w:rPr>
        <w:t>巩固地方病、慢性非传染性疾病防治效果285</w:t>
      </w:r>
    </w:p>
    <w:p w14:paraId="33B493FE">
      <w:pPr>
        <w:rPr>
          <w:rFonts w:hint="eastAsia"/>
          <w:highlight w:val="none"/>
          <w:lang w:val="en-US" w:eastAsia="zh-CN"/>
        </w:rPr>
      </w:pPr>
      <w:r>
        <w:rPr>
          <w:rFonts w:hint="eastAsia"/>
          <w:highlight w:val="none"/>
          <w:lang w:val="en-US" w:eastAsia="zh-CN"/>
        </w:rPr>
        <w:t>巩固省卫生城市288巩固卫生创建成果和卫生村创建288</w:t>
      </w:r>
    </w:p>
    <w:p w14:paraId="7EB9D502">
      <w:pPr>
        <w:rPr>
          <w:rFonts w:hint="eastAsia"/>
          <w:highlight w:val="none"/>
          <w:lang w:val="en-US" w:eastAsia="zh-CN"/>
        </w:rPr>
      </w:pPr>
      <w:r>
        <w:rPr>
          <w:rFonts w:hint="eastAsia"/>
          <w:highlight w:val="none"/>
          <w:lang w:val="en-US" w:eastAsia="zh-CN"/>
        </w:rPr>
        <w:t>共青团南雄市委员会119</w:t>
      </w:r>
    </w:p>
    <w:p w14:paraId="294FFC14">
      <w:pPr>
        <w:rPr>
          <w:rFonts w:hint="eastAsia"/>
          <w:highlight w:val="none"/>
          <w:lang w:val="en-US" w:eastAsia="zh-CN"/>
        </w:rPr>
      </w:pPr>
      <w:r>
        <w:rPr>
          <w:rFonts w:hint="eastAsia"/>
          <w:highlight w:val="none"/>
          <w:lang w:val="en-US" w:eastAsia="zh-CN"/>
        </w:rPr>
        <w:t>构建食品药品安全齐抓共管社会共治格局178</w:t>
      </w:r>
    </w:p>
    <w:p w14:paraId="2066B797">
      <w:pPr>
        <w:rPr>
          <w:rFonts w:hint="eastAsia"/>
          <w:highlight w:val="none"/>
          <w:lang w:val="en-US" w:eastAsia="zh-CN"/>
        </w:rPr>
      </w:pPr>
      <w:r>
        <w:rPr>
          <w:rFonts w:hint="eastAsia"/>
          <w:highlight w:val="none"/>
          <w:lang w:val="en-US" w:eastAsia="zh-CN"/>
        </w:rPr>
        <w:t>古村落134</w:t>
      </w:r>
    </w:p>
    <w:p w14:paraId="126DD3A3">
      <w:pPr>
        <w:rPr>
          <w:rFonts w:hint="eastAsia"/>
          <w:highlight w:val="none"/>
          <w:lang w:val="en-US" w:eastAsia="zh-CN"/>
        </w:rPr>
      </w:pPr>
      <w:r>
        <w:rPr>
          <w:rFonts w:hint="eastAsia"/>
          <w:highlight w:val="none"/>
          <w:lang w:val="en-US" w:eastAsia="zh-CN"/>
        </w:rPr>
        <w:t>古市镇360</w:t>
      </w:r>
    </w:p>
    <w:p w14:paraId="11FE21B1">
      <w:pPr>
        <w:rPr>
          <w:rFonts w:hint="eastAsia"/>
          <w:highlight w:val="none"/>
          <w:lang w:val="en-US" w:eastAsia="zh-CN"/>
        </w:rPr>
      </w:pPr>
      <w:r>
        <w:rPr>
          <w:rFonts w:hint="eastAsia"/>
          <w:highlight w:val="none"/>
          <w:lang w:val="en-US" w:eastAsia="zh-CN"/>
        </w:rPr>
        <w:t>固定投资331</w:t>
      </w:r>
    </w:p>
    <w:p w14:paraId="2CF64DA9">
      <w:pPr>
        <w:rPr>
          <w:rFonts w:hint="eastAsia"/>
          <w:highlight w:val="none"/>
          <w:lang w:val="en-US" w:eastAsia="zh-CN"/>
        </w:rPr>
      </w:pPr>
      <w:r>
        <w:rPr>
          <w:rFonts w:hint="eastAsia"/>
          <w:highlight w:val="none"/>
          <w:lang w:val="en-US" w:eastAsia="zh-CN"/>
        </w:rPr>
        <w:t>挂点联系企业67</w:t>
      </w:r>
    </w:p>
    <w:p w14:paraId="2857A8FE">
      <w:pPr>
        <w:rPr>
          <w:rFonts w:hint="eastAsia"/>
          <w:highlight w:val="none"/>
          <w:lang w:val="en-US" w:eastAsia="zh-CN"/>
        </w:rPr>
      </w:pPr>
      <w:r>
        <w:rPr>
          <w:rFonts w:hint="eastAsia"/>
          <w:highlight w:val="none"/>
          <w:lang w:val="en-US" w:eastAsia="zh-CN"/>
        </w:rPr>
        <w:t>挂点贫困村慰问活动107</w:t>
      </w:r>
    </w:p>
    <w:p w14:paraId="121EC073">
      <w:pPr>
        <w:rPr>
          <w:rFonts w:hint="eastAsia"/>
          <w:highlight w:val="none"/>
          <w:lang w:val="en-US" w:eastAsia="zh-CN"/>
        </w:rPr>
      </w:pPr>
      <w:r>
        <w:rPr>
          <w:rFonts w:hint="eastAsia"/>
          <w:highlight w:val="none"/>
          <w:lang w:val="en-US" w:eastAsia="zh-CN"/>
        </w:rPr>
        <w:t>关工组织建设316</w:t>
      </w:r>
    </w:p>
    <w:p w14:paraId="17A40ABB">
      <w:pPr>
        <w:rPr>
          <w:rFonts w:hint="eastAsia"/>
          <w:highlight w:val="none"/>
          <w:lang w:val="en-US" w:eastAsia="zh-CN"/>
        </w:rPr>
      </w:pPr>
      <w:r>
        <w:rPr>
          <w:rFonts w:hint="eastAsia"/>
          <w:highlight w:val="none"/>
          <w:lang w:val="en-US" w:eastAsia="zh-CN"/>
        </w:rPr>
        <w:t>关心下一代工作316</w:t>
      </w:r>
    </w:p>
    <w:p w14:paraId="40CDEAEC">
      <w:pPr>
        <w:rPr>
          <w:rFonts w:hint="eastAsia"/>
          <w:highlight w:val="none"/>
          <w:lang w:val="en-US" w:eastAsia="zh-CN"/>
        </w:rPr>
      </w:pPr>
      <w:r>
        <w:rPr>
          <w:rFonts w:hint="eastAsia"/>
          <w:highlight w:val="none"/>
          <w:lang w:val="en-US" w:eastAsia="zh-CN"/>
        </w:rPr>
        <w:t>馆办活动丰富多彩307</w:t>
      </w:r>
    </w:p>
    <w:p w14:paraId="6F03E7ED">
      <w:pPr>
        <w:rPr>
          <w:rFonts w:hint="eastAsia"/>
          <w:highlight w:val="none"/>
          <w:lang w:val="en-US" w:eastAsia="zh-CN"/>
        </w:rPr>
      </w:pPr>
      <w:r>
        <w:rPr>
          <w:rFonts w:hint="eastAsia"/>
          <w:highlight w:val="none"/>
          <w:lang w:val="en-US" w:eastAsia="zh-CN"/>
        </w:rPr>
        <w:t>馆办活动形式多样，群众文娱生活丰富305</w:t>
      </w:r>
    </w:p>
    <w:p w14:paraId="78AC0D05">
      <w:pPr>
        <w:rPr>
          <w:rFonts w:hint="eastAsia"/>
          <w:highlight w:val="none"/>
          <w:lang w:val="en-US" w:eastAsia="zh-CN"/>
        </w:rPr>
      </w:pPr>
      <w:r>
        <w:rPr>
          <w:rFonts w:hint="eastAsia"/>
          <w:highlight w:val="none"/>
          <w:lang w:val="en-US" w:eastAsia="zh-CN"/>
        </w:rPr>
        <w:t>管控发展232</w:t>
      </w:r>
    </w:p>
    <w:p w14:paraId="29487B22">
      <w:pPr>
        <w:rPr>
          <w:rFonts w:hint="eastAsia"/>
          <w:highlight w:val="none"/>
          <w:lang w:val="en-US" w:eastAsia="zh-CN"/>
        </w:rPr>
      </w:pPr>
      <w:r>
        <w:rPr>
          <w:rFonts w:hint="eastAsia"/>
          <w:highlight w:val="none"/>
          <w:lang w:val="en-US" w:eastAsia="zh-CN"/>
        </w:rPr>
        <w:t>广播电视310</w:t>
      </w:r>
    </w:p>
    <w:p w14:paraId="0FB87218">
      <w:pPr>
        <w:rPr>
          <w:rFonts w:hint="eastAsia"/>
          <w:highlight w:val="none"/>
          <w:lang w:val="en-US" w:eastAsia="zh-CN"/>
        </w:rPr>
      </w:pPr>
      <w:r>
        <w:rPr>
          <w:rFonts w:hint="eastAsia"/>
          <w:highlight w:val="none"/>
          <w:lang w:val="en-US" w:eastAsia="zh-CN"/>
        </w:rPr>
        <w:t>广播电视安全播出311</w:t>
      </w:r>
    </w:p>
    <w:p w14:paraId="61DA24CB">
      <w:pPr>
        <w:rPr>
          <w:rFonts w:hint="eastAsia"/>
          <w:highlight w:val="none"/>
          <w:lang w:val="en-US" w:eastAsia="zh-CN"/>
        </w:rPr>
      </w:pPr>
      <w:r>
        <w:rPr>
          <w:rFonts w:hint="eastAsia"/>
          <w:highlight w:val="none"/>
          <w:lang w:val="en-US" w:eastAsia="zh-CN"/>
        </w:rPr>
        <w:t>广播电视队伍建设310</w:t>
      </w:r>
    </w:p>
    <w:p w14:paraId="70D342AB">
      <w:pPr>
        <w:rPr>
          <w:rFonts w:hint="eastAsia"/>
          <w:highlight w:val="none"/>
          <w:lang w:val="en-US" w:eastAsia="zh-CN"/>
        </w:rPr>
      </w:pPr>
      <w:r>
        <w:rPr>
          <w:rFonts w:hint="eastAsia"/>
          <w:highlight w:val="none"/>
          <w:lang w:val="en-US" w:eastAsia="zh-CN"/>
        </w:rPr>
        <w:t>广播电视事业发展310</w:t>
      </w:r>
    </w:p>
    <w:p w14:paraId="5F43D168">
      <w:pPr>
        <w:rPr>
          <w:rFonts w:hint="eastAsia"/>
          <w:highlight w:val="none"/>
          <w:lang w:val="en-US" w:eastAsia="zh-CN"/>
        </w:rPr>
      </w:pPr>
      <w:r>
        <w:rPr>
          <w:rFonts w:hint="eastAsia"/>
          <w:highlight w:val="none"/>
          <w:lang w:val="en-US" w:eastAsia="zh-CN"/>
        </w:rPr>
        <w:t>广播电视宣传310</w:t>
      </w:r>
    </w:p>
    <w:p w14:paraId="40170304">
      <w:pPr>
        <w:rPr>
          <w:rFonts w:hint="eastAsia"/>
          <w:highlight w:val="none"/>
          <w:lang w:val="en-US" w:eastAsia="zh-CN"/>
        </w:rPr>
      </w:pPr>
      <w:r>
        <w:rPr>
          <w:rFonts w:hint="eastAsia"/>
          <w:highlight w:val="none"/>
          <w:lang w:val="en-US" w:eastAsia="zh-CN"/>
        </w:rPr>
        <w:t>广电网络重组改革310</w:t>
      </w:r>
    </w:p>
    <w:p w14:paraId="035A0410">
      <w:pPr>
        <w:rPr>
          <w:rFonts w:hint="eastAsia"/>
          <w:highlight w:val="none"/>
          <w:lang w:val="en-US" w:eastAsia="zh-CN"/>
        </w:rPr>
      </w:pPr>
      <w:r>
        <w:rPr>
          <w:rFonts w:hint="eastAsia"/>
          <w:highlight w:val="none"/>
          <w:lang w:val="en-US" w:eastAsia="zh-CN"/>
        </w:rPr>
        <w:t>广东金友集团有限公司192</w:t>
      </w:r>
    </w:p>
    <w:p w14:paraId="427FE8EE">
      <w:pPr>
        <w:rPr>
          <w:rFonts w:hint="eastAsia"/>
          <w:highlight w:val="none"/>
          <w:lang w:val="en-US" w:eastAsia="zh-CN"/>
        </w:rPr>
      </w:pPr>
      <w:r>
        <w:rPr>
          <w:rFonts w:hint="eastAsia"/>
          <w:highlight w:val="none"/>
          <w:lang w:val="en-US" w:eastAsia="zh-CN"/>
        </w:rPr>
        <w:t>广东南雄珠巩书画院135</w:t>
      </w:r>
    </w:p>
    <w:p w14:paraId="584BE7CD">
      <w:pPr>
        <w:rPr>
          <w:rFonts w:hint="eastAsia"/>
          <w:highlight w:val="none"/>
          <w:lang w:val="en-US" w:eastAsia="zh-CN"/>
        </w:rPr>
      </w:pPr>
      <w:r>
        <w:rPr>
          <w:rFonts w:hint="eastAsia"/>
          <w:highlight w:val="none"/>
          <w:lang w:val="en-US" w:eastAsia="zh-CN"/>
        </w:rPr>
        <w:t>规范性文件管理95</w:t>
      </w:r>
    </w:p>
    <w:p w14:paraId="440A97FC">
      <w:pPr>
        <w:rPr>
          <w:rFonts w:hint="eastAsia"/>
          <w:highlight w:val="none"/>
          <w:lang w:val="en-US" w:eastAsia="zh-CN"/>
        </w:rPr>
      </w:pPr>
      <w:r>
        <w:rPr>
          <w:rFonts w:hint="eastAsia"/>
          <w:highlight w:val="none"/>
          <w:lang w:val="en-US" w:eastAsia="zh-CN"/>
        </w:rPr>
        <w:t>规划统计292</w:t>
      </w:r>
    </w:p>
    <w:p w14:paraId="1C3D1524">
      <w:pPr>
        <w:rPr>
          <w:rFonts w:hint="eastAsia"/>
          <w:highlight w:val="none"/>
          <w:lang w:val="en-US" w:eastAsia="zh-CN"/>
        </w:rPr>
      </w:pPr>
      <w:r>
        <w:rPr>
          <w:rFonts w:hint="eastAsia"/>
          <w:highlight w:val="none"/>
          <w:lang w:val="en-US" w:eastAsia="zh-CN"/>
        </w:rPr>
        <w:t>规划修编174</w:t>
      </w:r>
    </w:p>
    <w:p w14:paraId="569F3C77">
      <w:pPr>
        <w:rPr>
          <w:rFonts w:hint="eastAsia"/>
          <w:highlight w:val="none"/>
          <w:lang w:val="en-US" w:eastAsia="zh-CN"/>
        </w:rPr>
      </w:pPr>
      <w:r>
        <w:rPr>
          <w:rFonts w:hint="eastAsia"/>
          <w:highlight w:val="none"/>
          <w:lang w:val="en-US" w:eastAsia="zh-CN"/>
        </w:rPr>
        <w:t>国防动员152</w:t>
      </w:r>
    </w:p>
    <w:p w14:paraId="1FD23612">
      <w:pPr>
        <w:rPr>
          <w:rFonts w:hint="eastAsia"/>
          <w:highlight w:val="none"/>
          <w:lang w:val="en-US" w:eastAsia="zh-CN"/>
        </w:rPr>
      </w:pPr>
      <w:r>
        <w:rPr>
          <w:rFonts w:hint="eastAsia"/>
          <w:highlight w:val="none"/>
          <w:lang w:val="en-US" w:eastAsia="zh-CN"/>
        </w:rPr>
        <w:t>国家税务261</w:t>
      </w:r>
    </w:p>
    <w:p w14:paraId="09883738">
      <w:pPr>
        <w:rPr>
          <w:rFonts w:hint="eastAsia"/>
          <w:highlight w:val="none"/>
          <w:lang w:val="en-US" w:eastAsia="zh-CN"/>
        </w:rPr>
      </w:pPr>
      <w:r>
        <w:rPr>
          <w:rFonts w:hint="eastAsia"/>
          <w:highlight w:val="none"/>
          <w:lang w:val="en-US" w:eastAsia="zh-CN"/>
        </w:rPr>
        <w:t>国企改革发展176</w:t>
      </w:r>
    </w:p>
    <w:p w14:paraId="1BF7731F">
      <w:pPr>
        <w:rPr>
          <w:rFonts w:hint="eastAsia"/>
          <w:highlight w:val="none"/>
          <w:lang w:val="en-US" w:eastAsia="zh-CN"/>
        </w:rPr>
      </w:pPr>
      <w:r>
        <w:rPr>
          <w:rFonts w:hint="eastAsia"/>
          <w:highlight w:val="none"/>
          <w:lang w:val="en-US" w:eastAsia="zh-CN"/>
        </w:rPr>
        <w:t>国省道路建设与管理226</w:t>
      </w:r>
    </w:p>
    <w:p w14:paraId="233E6E24">
      <w:pPr>
        <w:rPr>
          <w:rFonts w:hint="eastAsia"/>
          <w:highlight w:val="none"/>
          <w:lang w:val="en-US" w:eastAsia="zh-CN"/>
        </w:rPr>
      </w:pPr>
      <w:r>
        <w:rPr>
          <w:rFonts w:hint="eastAsia"/>
          <w:highlight w:val="none"/>
          <w:lang w:val="en-US" w:eastAsia="zh-CN"/>
        </w:rPr>
        <w:t>国土资源361</w:t>
      </w:r>
    </w:p>
    <w:p w14:paraId="0DE10B44">
      <w:pPr>
        <w:rPr>
          <w:rFonts w:hint="eastAsia"/>
          <w:highlight w:val="none"/>
          <w:lang w:val="en-US" w:eastAsia="zh-CN"/>
        </w:rPr>
      </w:pPr>
      <w:r>
        <w:rPr>
          <w:rFonts w:hint="eastAsia"/>
          <w:highlight w:val="none"/>
          <w:lang w:val="en-US" w:eastAsia="zh-CN"/>
        </w:rPr>
        <w:t>国土资源管理174</w:t>
      </w:r>
    </w:p>
    <w:p w14:paraId="6947DBF5">
      <w:pPr>
        <w:rPr>
          <w:rFonts w:hint="eastAsia"/>
          <w:highlight w:val="none"/>
          <w:lang w:val="en-US" w:eastAsia="zh-CN"/>
        </w:rPr>
      </w:pPr>
      <w:r>
        <w:rPr>
          <w:rFonts w:hint="eastAsia"/>
          <w:highlight w:val="none"/>
          <w:lang w:val="en-US" w:eastAsia="zh-CN"/>
        </w:rPr>
        <w:t>国有资产321</w:t>
      </w:r>
    </w:p>
    <w:p w14:paraId="3A26A3BF">
      <w:pPr>
        <w:rPr>
          <w:rFonts w:hint="eastAsia"/>
          <w:highlight w:val="none"/>
          <w:lang w:val="en-US" w:eastAsia="zh-CN"/>
        </w:rPr>
      </w:pPr>
      <w:r>
        <w:rPr>
          <w:rFonts w:hint="eastAsia"/>
          <w:highlight w:val="none"/>
          <w:lang w:val="en-US" w:eastAsia="zh-CN"/>
        </w:rPr>
        <w:t>国有资产管理176</w:t>
      </w:r>
    </w:p>
    <w:p w14:paraId="6BF79C8F">
      <w:pPr>
        <w:rPr>
          <w:rFonts w:hint="eastAsia"/>
          <w:highlight w:val="none"/>
          <w:lang w:val="en-US" w:eastAsia="zh-CN"/>
        </w:rPr>
      </w:pPr>
      <w:r>
        <w:rPr>
          <w:rFonts w:hint="eastAsia"/>
          <w:highlight w:val="none"/>
          <w:lang w:val="en-US" w:eastAsia="zh-CN"/>
        </w:rPr>
        <w:t>国有资产增值发展176</w:t>
      </w:r>
    </w:p>
    <w:p w14:paraId="4F206D73">
      <w:pPr>
        <w:pStyle w:val="4"/>
        <w:bidi w:val="0"/>
        <w:rPr>
          <w:rFonts w:hint="eastAsia"/>
          <w:highlight w:val="none"/>
          <w:lang w:val="en-US" w:eastAsia="zh-CN"/>
        </w:rPr>
      </w:pPr>
      <w:r>
        <w:rPr>
          <w:rFonts w:hint="eastAsia"/>
          <w:highlight w:val="none"/>
          <w:lang w:val="en-US" w:eastAsia="zh-CN"/>
        </w:rPr>
        <w:t>H</w:t>
      </w:r>
    </w:p>
    <w:p w14:paraId="29CCB243">
      <w:pPr>
        <w:rPr>
          <w:rFonts w:hint="eastAsia"/>
          <w:highlight w:val="none"/>
          <w:lang w:val="en-US" w:eastAsia="zh-CN"/>
        </w:rPr>
      </w:pPr>
      <w:r>
        <w:rPr>
          <w:rFonts w:hint="eastAsia"/>
          <w:highlight w:val="none"/>
          <w:lang w:val="en-US" w:eastAsia="zh-CN"/>
        </w:rPr>
        <w:t>合同审核96</w:t>
      </w:r>
    </w:p>
    <w:p w14:paraId="4A44D620">
      <w:pPr>
        <w:rPr>
          <w:rFonts w:hint="eastAsia"/>
          <w:highlight w:val="none"/>
          <w:lang w:val="en-US" w:eastAsia="zh-CN"/>
        </w:rPr>
      </w:pPr>
      <w:r>
        <w:rPr>
          <w:rFonts w:hint="eastAsia"/>
          <w:highlight w:val="none"/>
          <w:lang w:val="en-US" w:eastAsia="zh-CN"/>
        </w:rPr>
        <w:t>核心业务267</w:t>
      </w:r>
    </w:p>
    <w:p w14:paraId="7FF0CD4F">
      <w:pPr>
        <w:rPr>
          <w:rFonts w:hint="eastAsia"/>
          <w:highlight w:val="none"/>
          <w:lang w:val="en-US" w:eastAsia="zh-CN"/>
        </w:rPr>
      </w:pPr>
      <w:r>
        <w:rPr>
          <w:rFonts w:hint="eastAsia"/>
          <w:highlight w:val="none"/>
          <w:lang w:val="en-US" w:eastAsia="zh-CN"/>
        </w:rPr>
        <w:t>红砂岭治理220</w:t>
      </w:r>
    </w:p>
    <w:p w14:paraId="084C88D8">
      <w:pPr>
        <w:rPr>
          <w:rFonts w:hint="eastAsia"/>
          <w:highlight w:val="none"/>
          <w:lang w:val="en-US" w:eastAsia="zh-CN"/>
        </w:rPr>
      </w:pPr>
      <w:r>
        <w:rPr>
          <w:rFonts w:hint="eastAsia"/>
          <w:highlight w:val="none"/>
          <w:lang w:val="en-US" w:eastAsia="zh-CN"/>
        </w:rPr>
        <w:t>红十字会工作299</w:t>
      </w:r>
    </w:p>
    <w:p w14:paraId="4B1C8E2B">
      <w:pPr>
        <w:rPr>
          <w:rFonts w:hint="eastAsia"/>
          <w:highlight w:val="none"/>
          <w:lang w:val="en-US" w:eastAsia="zh-CN"/>
        </w:rPr>
      </w:pPr>
      <w:r>
        <w:rPr>
          <w:rFonts w:hint="eastAsia"/>
          <w:highlight w:val="none"/>
          <w:lang w:val="en-US" w:eastAsia="zh-CN"/>
        </w:rPr>
        <w:t>后备力量组织整顿153</w:t>
      </w:r>
    </w:p>
    <w:p w14:paraId="302AF4C3">
      <w:pPr>
        <w:rPr>
          <w:rFonts w:hint="eastAsia"/>
          <w:highlight w:val="none"/>
          <w:lang w:val="en-US" w:eastAsia="zh-CN"/>
        </w:rPr>
      </w:pPr>
      <w:r>
        <w:rPr>
          <w:rFonts w:hint="eastAsia"/>
          <w:highlight w:val="none"/>
          <w:lang w:val="en-US" w:eastAsia="zh-CN"/>
        </w:rPr>
        <w:t>后勤保障157 153</w:t>
      </w:r>
    </w:p>
    <w:p w14:paraId="44A50AF0">
      <w:pPr>
        <w:rPr>
          <w:rFonts w:hint="eastAsia"/>
          <w:highlight w:val="none"/>
          <w:lang w:val="en-US" w:eastAsia="zh-CN"/>
        </w:rPr>
      </w:pPr>
      <w:r>
        <w:rPr>
          <w:rFonts w:hint="eastAsia"/>
          <w:highlight w:val="none"/>
          <w:lang w:val="en-US" w:eastAsia="zh-CN"/>
        </w:rPr>
        <w:t>后勤管理155</w:t>
      </w:r>
    </w:p>
    <w:p w14:paraId="1940FB6B">
      <w:pPr>
        <w:rPr>
          <w:rFonts w:hint="eastAsia"/>
          <w:highlight w:val="none"/>
          <w:lang w:val="en-US" w:eastAsia="zh-CN"/>
        </w:rPr>
      </w:pPr>
      <w:r>
        <w:rPr>
          <w:rFonts w:hint="eastAsia"/>
          <w:highlight w:val="none"/>
          <w:lang w:val="en-US" w:eastAsia="zh-CN"/>
        </w:rPr>
        <w:t>湖口镇353</w:t>
      </w:r>
    </w:p>
    <w:p w14:paraId="21E528B3">
      <w:pPr>
        <w:rPr>
          <w:rFonts w:hint="eastAsia"/>
          <w:highlight w:val="none"/>
          <w:lang w:val="en-US" w:eastAsia="zh-CN"/>
        </w:rPr>
      </w:pPr>
      <w:r>
        <w:rPr>
          <w:rFonts w:hint="eastAsia"/>
          <w:highlight w:val="none"/>
          <w:lang w:val="en-US" w:eastAsia="zh-CN"/>
        </w:rPr>
        <w:t>华电集团热电冷联供项目160</w:t>
      </w:r>
    </w:p>
    <w:p w14:paraId="061D6CA7">
      <w:pPr>
        <w:rPr>
          <w:rFonts w:hint="eastAsia"/>
          <w:highlight w:val="none"/>
          <w:lang w:val="en-US" w:eastAsia="zh-CN"/>
        </w:rPr>
      </w:pPr>
      <w:r>
        <w:rPr>
          <w:rFonts w:hint="eastAsia"/>
          <w:highlight w:val="none"/>
          <w:lang w:val="en-US" w:eastAsia="zh-CN"/>
        </w:rPr>
        <w:t>华电南雄热电联产工程奠基40</w:t>
      </w:r>
    </w:p>
    <w:p w14:paraId="4B0CDEB6">
      <w:pPr>
        <w:rPr>
          <w:rFonts w:hint="eastAsia"/>
          <w:highlight w:val="none"/>
          <w:lang w:val="en-US" w:eastAsia="zh-CN"/>
        </w:rPr>
      </w:pPr>
      <w:r>
        <w:rPr>
          <w:rFonts w:hint="eastAsia"/>
          <w:highlight w:val="none"/>
          <w:lang w:val="en-US" w:eastAsia="zh-CN"/>
        </w:rPr>
        <w:t>华侨联合会130</w:t>
      </w:r>
    </w:p>
    <w:p w14:paraId="4A461F1E">
      <w:pPr>
        <w:rPr>
          <w:rFonts w:hint="eastAsia"/>
          <w:highlight w:val="none"/>
          <w:lang w:val="en-US" w:eastAsia="zh-CN"/>
        </w:rPr>
      </w:pPr>
      <w:r>
        <w:rPr>
          <w:rFonts w:hint="eastAsia"/>
          <w:highlight w:val="none"/>
          <w:lang w:val="en-US" w:eastAsia="zh-CN"/>
        </w:rPr>
        <w:t>环保宣传245</w:t>
      </w:r>
    </w:p>
    <w:p w14:paraId="4ADE69F1">
      <w:pPr>
        <w:rPr>
          <w:rFonts w:hint="eastAsia"/>
          <w:highlight w:val="none"/>
          <w:lang w:val="en-US" w:eastAsia="zh-CN"/>
        </w:rPr>
      </w:pPr>
      <w:r>
        <w:rPr>
          <w:rFonts w:hint="eastAsia"/>
          <w:highlight w:val="none"/>
          <w:lang w:val="en-US" w:eastAsia="zh-CN"/>
        </w:rPr>
        <w:t>环境保护244</w:t>
      </w:r>
    </w:p>
    <w:p w14:paraId="163B7F79">
      <w:pPr>
        <w:rPr>
          <w:rFonts w:hint="eastAsia"/>
          <w:highlight w:val="none"/>
          <w:lang w:val="en-US" w:eastAsia="zh-CN"/>
        </w:rPr>
      </w:pPr>
      <w:r>
        <w:rPr>
          <w:rFonts w:hint="eastAsia"/>
          <w:highlight w:val="none"/>
          <w:lang w:val="en-US" w:eastAsia="zh-CN"/>
        </w:rPr>
        <w:t>环境管理244</w:t>
      </w:r>
    </w:p>
    <w:p w14:paraId="535521A4">
      <w:pPr>
        <w:rPr>
          <w:rFonts w:hint="eastAsia"/>
          <w:highlight w:val="none"/>
          <w:lang w:val="en-US" w:eastAsia="zh-CN"/>
        </w:rPr>
      </w:pPr>
      <w:r>
        <w:rPr>
          <w:rFonts w:hint="eastAsia"/>
          <w:highlight w:val="none"/>
          <w:lang w:val="en-US" w:eastAsia="zh-CN"/>
        </w:rPr>
        <w:t>环境监测245</w:t>
      </w:r>
    </w:p>
    <w:p w14:paraId="2226159F">
      <w:pPr>
        <w:rPr>
          <w:rFonts w:hint="eastAsia"/>
          <w:highlight w:val="none"/>
          <w:lang w:val="en-US" w:eastAsia="zh-CN"/>
        </w:rPr>
      </w:pPr>
      <w:r>
        <w:rPr>
          <w:rFonts w:hint="eastAsia"/>
          <w:highlight w:val="none"/>
          <w:lang w:val="en-US" w:eastAsia="zh-CN"/>
        </w:rPr>
        <w:t>环境卫生92 242 375</w:t>
      </w:r>
    </w:p>
    <w:p w14:paraId="13AEE92D">
      <w:pPr>
        <w:rPr>
          <w:rFonts w:hint="eastAsia"/>
          <w:highlight w:val="none"/>
          <w:lang w:val="en-US" w:eastAsia="zh-CN"/>
        </w:rPr>
      </w:pPr>
      <w:r>
        <w:rPr>
          <w:rFonts w:hint="eastAsia"/>
          <w:highlight w:val="none"/>
          <w:lang w:val="en-US" w:eastAsia="zh-CN"/>
        </w:rPr>
        <w:t>环境卫生整治340</w:t>
      </w:r>
    </w:p>
    <w:p w14:paraId="5C83CD85">
      <w:pPr>
        <w:rPr>
          <w:rFonts w:hint="eastAsia"/>
          <w:highlight w:val="none"/>
          <w:lang w:val="en-US" w:eastAsia="zh-CN"/>
        </w:rPr>
      </w:pPr>
      <w:r>
        <w:rPr>
          <w:rFonts w:hint="eastAsia"/>
          <w:highlight w:val="none"/>
          <w:lang w:val="en-US" w:eastAsia="zh-CN"/>
        </w:rPr>
        <w:t>环境信访维稳245</w:t>
      </w:r>
    </w:p>
    <w:p w14:paraId="646F0516">
      <w:pPr>
        <w:rPr>
          <w:rFonts w:hint="eastAsia"/>
          <w:highlight w:val="none"/>
          <w:lang w:val="en-US" w:eastAsia="zh-CN"/>
        </w:rPr>
      </w:pPr>
      <w:r>
        <w:rPr>
          <w:rFonts w:hint="eastAsia"/>
          <w:highlight w:val="none"/>
          <w:lang w:val="en-US" w:eastAsia="zh-CN"/>
        </w:rPr>
        <w:t>环境质量245</w:t>
      </w:r>
    </w:p>
    <w:p w14:paraId="2AF7634C">
      <w:pPr>
        <w:rPr>
          <w:rFonts w:hint="eastAsia"/>
          <w:highlight w:val="none"/>
          <w:lang w:val="en-US" w:eastAsia="zh-CN"/>
        </w:rPr>
      </w:pPr>
      <w:r>
        <w:rPr>
          <w:rFonts w:hint="eastAsia"/>
          <w:highlight w:val="none"/>
          <w:lang w:val="en-US" w:eastAsia="zh-CN"/>
        </w:rPr>
        <w:t>环境治理力度不断加大41</w:t>
      </w:r>
    </w:p>
    <w:p w14:paraId="1BA90620">
      <w:pPr>
        <w:rPr>
          <w:rFonts w:hint="eastAsia"/>
          <w:highlight w:val="none"/>
          <w:lang w:val="en-US" w:eastAsia="zh-CN"/>
        </w:rPr>
      </w:pPr>
      <w:r>
        <w:rPr>
          <w:rFonts w:hint="eastAsia"/>
          <w:highlight w:val="none"/>
          <w:lang w:val="en-US" w:eastAsia="zh-CN"/>
        </w:rPr>
        <w:t>黄坑镇368</w:t>
      </w:r>
    </w:p>
    <w:p w14:paraId="3DAB66B1">
      <w:pPr>
        <w:rPr>
          <w:rFonts w:hint="eastAsia"/>
          <w:highlight w:val="none"/>
          <w:lang w:val="en-US" w:eastAsia="zh-CN"/>
        </w:rPr>
      </w:pPr>
      <w:r>
        <w:rPr>
          <w:rFonts w:hint="eastAsia"/>
          <w:highlight w:val="none"/>
          <w:lang w:val="en-US" w:eastAsia="zh-CN"/>
        </w:rPr>
        <w:t>黄坑中学278</w:t>
      </w:r>
    </w:p>
    <w:p w14:paraId="2D225CEA">
      <w:pPr>
        <w:rPr>
          <w:rFonts w:hint="eastAsia"/>
          <w:highlight w:val="none"/>
          <w:lang w:val="en-US" w:eastAsia="zh-CN"/>
        </w:rPr>
      </w:pPr>
      <w:r>
        <w:rPr>
          <w:rFonts w:hint="eastAsia"/>
          <w:highlight w:val="none"/>
          <w:lang w:val="en-US" w:eastAsia="zh-CN"/>
        </w:rPr>
        <w:t>黄烟生产360 368</w:t>
      </w:r>
    </w:p>
    <w:p w14:paraId="7161CC25">
      <w:pPr>
        <w:rPr>
          <w:rFonts w:hint="eastAsia"/>
          <w:highlight w:val="none"/>
          <w:lang w:val="en-US" w:eastAsia="zh-CN"/>
        </w:rPr>
      </w:pPr>
      <w:r>
        <w:rPr>
          <w:rFonts w:hint="eastAsia"/>
          <w:highlight w:val="none"/>
          <w:lang w:val="en-US" w:eastAsia="zh-CN"/>
        </w:rPr>
        <w:t>黄烟生产收购221</w:t>
      </w:r>
    </w:p>
    <w:p w14:paraId="23ED431E">
      <w:pPr>
        <w:rPr>
          <w:rFonts w:hint="eastAsia"/>
          <w:highlight w:val="none"/>
          <w:lang w:val="en-US" w:eastAsia="zh-CN"/>
        </w:rPr>
      </w:pPr>
      <w:r>
        <w:rPr>
          <w:rFonts w:hint="eastAsia"/>
          <w:highlight w:val="none"/>
          <w:lang w:val="en-US" w:eastAsia="zh-CN"/>
        </w:rPr>
        <w:t>会议服务91</w:t>
      </w:r>
    </w:p>
    <w:p w14:paraId="03ABCB40">
      <w:pPr>
        <w:rPr>
          <w:rFonts w:hint="eastAsia"/>
          <w:highlight w:val="none"/>
          <w:lang w:val="en-US" w:eastAsia="zh-CN"/>
        </w:rPr>
      </w:pPr>
      <w:r>
        <w:rPr>
          <w:rFonts w:hint="eastAsia"/>
          <w:highlight w:val="none"/>
          <w:lang w:val="en-US" w:eastAsia="zh-CN"/>
        </w:rPr>
        <w:t>惠民政策落实331</w:t>
      </w:r>
    </w:p>
    <w:p w14:paraId="5F571B10">
      <w:pPr>
        <w:rPr>
          <w:rFonts w:hint="eastAsia"/>
          <w:highlight w:val="none"/>
          <w:lang w:val="en-US" w:eastAsia="zh-CN"/>
        </w:rPr>
      </w:pPr>
      <w:r>
        <w:rPr>
          <w:rFonts w:hint="eastAsia"/>
          <w:highlight w:val="none"/>
          <w:lang w:val="en-US" w:eastAsia="zh-CN"/>
        </w:rPr>
        <w:t>获得荣誉233 263</w:t>
      </w:r>
    </w:p>
    <w:p w14:paraId="683AF6B4">
      <w:pPr>
        <w:rPr>
          <w:rFonts w:hint="eastAsia"/>
          <w:highlight w:val="none"/>
          <w:lang w:val="en-US" w:eastAsia="zh-CN"/>
        </w:rPr>
      </w:pPr>
      <w:r>
        <w:rPr>
          <w:rFonts w:hint="eastAsia"/>
          <w:highlight w:val="none"/>
          <w:lang w:val="en-US" w:eastAsia="zh-CN"/>
        </w:rPr>
        <w:t>获得“粤北女职工文明岗”称号205</w:t>
      </w:r>
    </w:p>
    <w:p w14:paraId="6A21CB94">
      <w:pPr>
        <w:bidi w:val="0"/>
        <w:rPr>
          <w:rFonts w:hint="eastAsia"/>
          <w:highlight w:val="none"/>
          <w:lang w:val="en-US" w:eastAsia="zh-CN"/>
        </w:rPr>
      </w:pPr>
      <w:r>
        <w:rPr>
          <w:rFonts w:hint="eastAsia"/>
          <w:highlight w:val="none"/>
          <w:lang w:val="en-US" w:eastAsia="zh-CN"/>
        </w:rPr>
        <w:t>行业管理平衡有序184</w:t>
      </w:r>
    </w:p>
    <w:p w14:paraId="5761E423">
      <w:pPr>
        <w:bidi w:val="0"/>
        <w:rPr>
          <w:rFonts w:hint="eastAsia"/>
          <w:highlight w:val="none"/>
          <w:lang w:val="en-US" w:eastAsia="zh-CN"/>
        </w:rPr>
      </w:pPr>
      <w:r>
        <w:rPr>
          <w:rFonts w:hint="eastAsia"/>
          <w:highlight w:val="none"/>
          <w:lang w:val="en-US" w:eastAsia="zh-CN"/>
        </w:rPr>
        <w:t>行业文明创建227</w:t>
      </w:r>
    </w:p>
    <w:p w14:paraId="51850A24">
      <w:pPr>
        <w:pStyle w:val="4"/>
        <w:bidi w:val="0"/>
        <w:rPr>
          <w:rFonts w:hint="eastAsia"/>
          <w:highlight w:val="none"/>
          <w:lang w:val="en-US" w:eastAsia="zh-CN"/>
        </w:rPr>
      </w:pPr>
      <w:r>
        <w:rPr>
          <w:rFonts w:hint="eastAsia"/>
          <w:highlight w:val="none"/>
          <w:lang w:val="en-US" w:eastAsia="zh-CN"/>
        </w:rPr>
        <w:t>J</w:t>
      </w:r>
    </w:p>
    <w:p w14:paraId="257A7E6E">
      <w:pPr>
        <w:bidi w:val="0"/>
        <w:rPr>
          <w:rFonts w:hint="eastAsia"/>
          <w:highlight w:val="none"/>
          <w:lang w:val="en-US" w:eastAsia="zh-CN"/>
        </w:rPr>
      </w:pPr>
      <w:r>
        <w:rPr>
          <w:rFonts w:hint="eastAsia"/>
          <w:highlight w:val="none"/>
          <w:lang w:val="en-US" w:eastAsia="zh-CN"/>
        </w:rPr>
        <w:t>机动车维修与检测225</w:t>
      </w:r>
    </w:p>
    <w:p w14:paraId="4D032BA5">
      <w:pPr>
        <w:bidi w:val="0"/>
        <w:rPr>
          <w:rFonts w:hint="eastAsia"/>
          <w:highlight w:val="none"/>
          <w:lang w:val="en-US" w:eastAsia="zh-CN"/>
        </w:rPr>
      </w:pPr>
      <w:r>
        <w:rPr>
          <w:rFonts w:hint="eastAsia"/>
          <w:highlight w:val="none"/>
          <w:lang w:val="en-US" w:eastAsia="zh-CN"/>
        </w:rPr>
        <w:t>机构编制59</w:t>
      </w:r>
    </w:p>
    <w:p w14:paraId="7C3C2A1C">
      <w:pPr>
        <w:bidi w:val="0"/>
        <w:rPr>
          <w:rFonts w:hint="eastAsia"/>
          <w:highlight w:val="none"/>
          <w:lang w:val="en-US" w:eastAsia="zh-CN"/>
        </w:rPr>
      </w:pPr>
      <w:r>
        <w:rPr>
          <w:rFonts w:hint="eastAsia"/>
          <w:highlight w:val="none"/>
          <w:lang w:val="en-US" w:eastAsia="zh-CN"/>
        </w:rPr>
        <w:t>机构编制实名制管理59</w:t>
      </w:r>
    </w:p>
    <w:p w14:paraId="14B711FF">
      <w:pPr>
        <w:bidi w:val="0"/>
        <w:rPr>
          <w:rFonts w:hint="eastAsia"/>
          <w:highlight w:val="none"/>
          <w:lang w:val="en-US" w:eastAsia="zh-CN"/>
        </w:rPr>
      </w:pPr>
      <w:r>
        <w:rPr>
          <w:rFonts w:hint="eastAsia"/>
          <w:highlight w:val="none"/>
          <w:lang w:val="en-US" w:eastAsia="zh-CN"/>
        </w:rPr>
        <w:t>机构改革86</w:t>
      </w:r>
    </w:p>
    <w:p w14:paraId="0BD63156">
      <w:pPr>
        <w:bidi w:val="0"/>
        <w:rPr>
          <w:rFonts w:hint="eastAsia"/>
          <w:highlight w:val="none"/>
          <w:lang w:val="en-US" w:eastAsia="zh-CN"/>
        </w:rPr>
      </w:pPr>
      <w:r>
        <w:rPr>
          <w:rFonts w:hint="eastAsia"/>
          <w:highlight w:val="none"/>
          <w:lang w:val="en-US" w:eastAsia="zh-CN"/>
        </w:rPr>
        <w:t>机构概况269</w:t>
      </w:r>
    </w:p>
    <w:p w14:paraId="5167D7BF">
      <w:pPr>
        <w:bidi w:val="0"/>
        <w:rPr>
          <w:rFonts w:hint="eastAsia"/>
          <w:highlight w:val="none"/>
          <w:lang w:val="en-US" w:eastAsia="zh-CN"/>
        </w:rPr>
      </w:pPr>
      <w:r>
        <w:rPr>
          <w:rFonts w:hint="eastAsia"/>
          <w:highlight w:val="none"/>
          <w:lang w:val="en-US" w:eastAsia="zh-CN"/>
        </w:rPr>
        <w:t>机构职能优化262</w:t>
      </w:r>
    </w:p>
    <w:p w14:paraId="3A58EF84">
      <w:pPr>
        <w:bidi w:val="0"/>
        <w:rPr>
          <w:rFonts w:hint="eastAsia"/>
          <w:highlight w:val="none"/>
          <w:lang w:val="en-US" w:eastAsia="zh-CN"/>
        </w:rPr>
      </w:pPr>
      <w:r>
        <w:rPr>
          <w:rFonts w:hint="eastAsia"/>
          <w:highlight w:val="none"/>
          <w:lang w:val="en-US" w:eastAsia="zh-CN"/>
        </w:rPr>
        <w:t>机关党建65</w:t>
      </w:r>
    </w:p>
    <w:p w14:paraId="03F40B76">
      <w:pPr>
        <w:bidi w:val="0"/>
        <w:rPr>
          <w:rFonts w:hint="eastAsia"/>
          <w:highlight w:val="none"/>
          <w:lang w:val="en-US" w:eastAsia="zh-CN"/>
        </w:rPr>
      </w:pPr>
      <w:r>
        <w:rPr>
          <w:rFonts w:hint="eastAsia"/>
          <w:highlight w:val="none"/>
          <w:lang w:val="en-US" w:eastAsia="zh-CN"/>
        </w:rPr>
        <w:t>机关事务91</w:t>
      </w:r>
    </w:p>
    <w:p w14:paraId="42708A0E">
      <w:pPr>
        <w:bidi w:val="0"/>
        <w:rPr>
          <w:rFonts w:hint="eastAsia"/>
          <w:highlight w:val="none"/>
          <w:lang w:val="en-US" w:eastAsia="zh-CN"/>
        </w:rPr>
      </w:pPr>
      <w:r>
        <w:rPr>
          <w:rFonts w:hint="eastAsia"/>
          <w:highlight w:val="none"/>
          <w:lang w:val="en-US" w:eastAsia="zh-CN"/>
        </w:rPr>
        <w:t>基本情况233</w:t>
      </w:r>
    </w:p>
    <w:p w14:paraId="0EB3B144">
      <w:pPr>
        <w:bidi w:val="0"/>
        <w:rPr>
          <w:rFonts w:hint="eastAsia"/>
          <w:highlight w:val="none"/>
          <w:lang w:val="en-US" w:eastAsia="zh-CN"/>
        </w:rPr>
      </w:pPr>
      <w:r>
        <w:rPr>
          <w:rFonts w:hint="eastAsia"/>
          <w:highlight w:val="none"/>
          <w:lang w:val="en-US" w:eastAsia="zh-CN"/>
        </w:rPr>
        <w:t>基层法律服务148</w:t>
      </w:r>
    </w:p>
    <w:p w14:paraId="36F2D76E">
      <w:pPr>
        <w:bidi w:val="0"/>
        <w:rPr>
          <w:rFonts w:hint="eastAsia"/>
          <w:highlight w:val="none"/>
          <w:lang w:val="en-US" w:eastAsia="zh-CN"/>
        </w:rPr>
      </w:pPr>
      <w:r>
        <w:rPr>
          <w:rFonts w:hint="eastAsia"/>
          <w:highlight w:val="none"/>
          <w:lang w:val="en-US" w:eastAsia="zh-CN"/>
        </w:rPr>
        <w:t>基层防火157</w:t>
      </w:r>
    </w:p>
    <w:p w14:paraId="318BB80B">
      <w:pPr>
        <w:bidi w:val="0"/>
        <w:rPr>
          <w:rFonts w:hint="eastAsia"/>
          <w:highlight w:val="none"/>
          <w:lang w:val="en-US" w:eastAsia="zh-CN"/>
        </w:rPr>
      </w:pPr>
      <w:r>
        <w:rPr>
          <w:rFonts w:hint="eastAsia"/>
          <w:highlight w:val="none"/>
          <w:lang w:val="en-US" w:eastAsia="zh-CN"/>
        </w:rPr>
        <w:t>基层医疗卫生设施建设284</w:t>
      </w:r>
    </w:p>
    <w:p w14:paraId="323085D0">
      <w:pPr>
        <w:bidi w:val="0"/>
        <w:rPr>
          <w:rFonts w:hint="eastAsia"/>
          <w:highlight w:val="none"/>
          <w:lang w:val="en-US" w:eastAsia="zh-CN"/>
        </w:rPr>
      </w:pPr>
      <w:r>
        <w:rPr>
          <w:rFonts w:hint="eastAsia"/>
          <w:highlight w:val="none"/>
          <w:lang w:val="en-US" w:eastAsia="zh-CN"/>
        </w:rPr>
        <w:t>基层政权建设和地名管理315</w:t>
      </w:r>
    </w:p>
    <w:p w14:paraId="14F445D3">
      <w:pPr>
        <w:bidi w:val="0"/>
        <w:rPr>
          <w:rFonts w:hint="eastAsia"/>
          <w:highlight w:val="none"/>
          <w:lang w:val="en-US" w:eastAsia="zh-CN"/>
        </w:rPr>
      </w:pPr>
      <w:r>
        <w:rPr>
          <w:rFonts w:hint="eastAsia"/>
          <w:highlight w:val="none"/>
          <w:lang w:val="en-US" w:eastAsia="zh-CN"/>
        </w:rPr>
        <w:t>基层组织建设48 350 369</w:t>
      </w:r>
    </w:p>
    <w:p w14:paraId="516A2C8C">
      <w:pPr>
        <w:bidi w:val="0"/>
        <w:rPr>
          <w:rFonts w:hint="eastAsia"/>
          <w:highlight w:val="none"/>
          <w:lang w:val="en-US" w:eastAsia="zh-CN"/>
        </w:rPr>
      </w:pPr>
      <w:r>
        <w:rPr>
          <w:rFonts w:hint="eastAsia"/>
          <w:highlight w:val="none"/>
          <w:lang w:val="en-US" w:eastAsia="zh-CN"/>
        </w:rPr>
        <w:t>基础管理235</w:t>
      </w:r>
    </w:p>
    <w:p w14:paraId="5694C6AC">
      <w:pPr>
        <w:bidi w:val="0"/>
        <w:rPr>
          <w:rFonts w:hint="eastAsia"/>
          <w:highlight w:val="none"/>
          <w:lang w:val="en-US" w:eastAsia="zh-CN"/>
        </w:rPr>
      </w:pPr>
      <w:r>
        <w:rPr>
          <w:rFonts w:hint="eastAsia"/>
          <w:highlight w:val="none"/>
          <w:lang w:val="en-US" w:eastAsia="zh-CN"/>
        </w:rPr>
        <w:t>基础建设208 262</w:t>
      </w:r>
    </w:p>
    <w:p w14:paraId="0E44CA2A">
      <w:pPr>
        <w:bidi w:val="0"/>
        <w:rPr>
          <w:rFonts w:hint="eastAsia"/>
          <w:highlight w:val="none"/>
          <w:lang w:val="en-US" w:eastAsia="zh-CN"/>
        </w:rPr>
      </w:pPr>
      <w:r>
        <w:rPr>
          <w:rFonts w:hint="eastAsia"/>
          <w:highlight w:val="none"/>
          <w:lang w:val="en-US" w:eastAsia="zh-CN"/>
        </w:rPr>
        <w:t>基础设施85 243 337 369</w:t>
      </w:r>
    </w:p>
    <w:p w14:paraId="7BE47232">
      <w:pPr>
        <w:bidi w:val="0"/>
        <w:rPr>
          <w:rFonts w:hint="eastAsia"/>
          <w:highlight w:val="none"/>
          <w:lang w:val="en-US" w:eastAsia="zh-CN"/>
        </w:rPr>
      </w:pPr>
      <w:r>
        <w:rPr>
          <w:rFonts w:hint="eastAsia"/>
          <w:highlight w:val="none"/>
          <w:lang w:val="en-US" w:eastAsia="zh-CN"/>
        </w:rPr>
        <w:t>基础设施不断完善41</w:t>
      </w:r>
    </w:p>
    <w:p w14:paraId="60CC4C9E">
      <w:pPr>
        <w:bidi w:val="0"/>
        <w:rPr>
          <w:rFonts w:hint="eastAsia"/>
          <w:highlight w:val="none"/>
          <w:lang w:val="en-US" w:eastAsia="zh-CN"/>
        </w:rPr>
      </w:pPr>
      <w:r>
        <w:rPr>
          <w:rFonts w:hint="eastAsia"/>
          <w:highlight w:val="none"/>
          <w:lang w:val="en-US" w:eastAsia="zh-CN"/>
        </w:rPr>
        <w:t>基建维修92</w:t>
      </w:r>
    </w:p>
    <w:p w14:paraId="17BC48C8">
      <w:pPr>
        <w:bidi w:val="0"/>
        <w:rPr>
          <w:rFonts w:hint="eastAsia"/>
          <w:highlight w:val="none"/>
          <w:lang w:val="en-US" w:eastAsia="zh-CN"/>
        </w:rPr>
      </w:pPr>
      <w:r>
        <w:rPr>
          <w:rFonts w:hint="eastAsia"/>
          <w:highlight w:val="none"/>
          <w:lang w:val="en-US" w:eastAsia="zh-CN"/>
        </w:rPr>
        <w:t>绩效考核261</w:t>
      </w:r>
    </w:p>
    <w:p w14:paraId="4D4D961B">
      <w:pPr>
        <w:bidi w:val="0"/>
        <w:rPr>
          <w:rFonts w:hint="eastAsia"/>
          <w:highlight w:val="none"/>
          <w:lang w:val="en-US" w:eastAsia="zh-CN"/>
        </w:rPr>
      </w:pPr>
      <w:r>
        <w:rPr>
          <w:rFonts w:hint="eastAsia"/>
          <w:highlight w:val="none"/>
          <w:lang w:val="en-US" w:eastAsia="zh-CN"/>
        </w:rPr>
        <w:t>疾病预防控制285</w:t>
      </w:r>
    </w:p>
    <w:p w14:paraId="42649B23">
      <w:pPr>
        <w:bidi w:val="0"/>
        <w:rPr>
          <w:rFonts w:hint="eastAsia"/>
          <w:highlight w:val="none"/>
          <w:lang w:val="en-US" w:eastAsia="zh-CN"/>
        </w:rPr>
      </w:pPr>
      <w:r>
        <w:rPr>
          <w:rFonts w:hint="eastAsia"/>
          <w:highlight w:val="none"/>
          <w:lang w:val="en-US" w:eastAsia="zh-CN"/>
        </w:rPr>
        <w:t>疾病预防控制和卫生保健285</w:t>
      </w:r>
    </w:p>
    <w:p w14:paraId="06A284CB">
      <w:pPr>
        <w:bidi w:val="0"/>
        <w:rPr>
          <w:rFonts w:hint="eastAsia"/>
          <w:highlight w:val="none"/>
          <w:lang w:val="en-US" w:eastAsia="zh-CN"/>
        </w:rPr>
      </w:pPr>
      <w:r>
        <w:rPr>
          <w:rFonts w:hint="eastAsia"/>
          <w:highlight w:val="none"/>
          <w:lang w:val="en-US" w:eastAsia="zh-CN"/>
        </w:rPr>
        <w:t>计划生育工作291</w:t>
      </w:r>
    </w:p>
    <w:p w14:paraId="1DE0346E">
      <w:pPr>
        <w:bidi w:val="0"/>
        <w:rPr>
          <w:rFonts w:hint="eastAsia"/>
          <w:highlight w:val="none"/>
          <w:lang w:val="en-US" w:eastAsia="zh-CN"/>
        </w:rPr>
      </w:pPr>
      <w:r>
        <w:rPr>
          <w:rFonts w:hint="eastAsia"/>
          <w:highlight w:val="none"/>
          <w:lang w:val="en-US" w:eastAsia="zh-CN"/>
        </w:rPr>
        <w:t>纪检监察66 370</w:t>
      </w:r>
    </w:p>
    <w:p w14:paraId="74471237">
      <w:pPr>
        <w:bidi w:val="0"/>
        <w:rPr>
          <w:rFonts w:hint="eastAsia"/>
          <w:highlight w:val="none"/>
          <w:lang w:val="en-US" w:eastAsia="zh-CN"/>
        </w:rPr>
      </w:pPr>
      <w:r>
        <w:rPr>
          <w:rFonts w:hint="eastAsia"/>
          <w:highlight w:val="none"/>
          <w:lang w:val="en-US" w:eastAsia="zh-CN"/>
        </w:rPr>
        <w:t>纪检监察务虚会议107</w:t>
      </w:r>
    </w:p>
    <w:p w14:paraId="136C87DE">
      <w:pPr>
        <w:bidi w:val="0"/>
        <w:rPr>
          <w:rFonts w:hint="eastAsia"/>
          <w:highlight w:val="none"/>
          <w:lang w:val="en-US" w:eastAsia="zh-CN"/>
        </w:rPr>
      </w:pPr>
      <w:r>
        <w:rPr>
          <w:rFonts w:hint="eastAsia"/>
          <w:highlight w:val="none"/>
          <w:lang w:val="en-US" w:eastAsia="zh-CN"/>
        </w:rPr>
        <w:t>纪律教育165</w:t>
      </w:r>
    </w:p>
    <w:p w14:paraId="18E287B8">
      <w:pPr>
        <w:bidi w:val="0"/>
        <w:rPr>
          <w:rFonts w:hint="eastAsia"/>
          <w:highlight w:val="none"/>
          <w:lang w:val="en-US" w:eastAsia="zh-CN"/>
        </w:rPr>
      </w:pPr>
      <w:r>
        <w:rPr>
          <w:rFonts w:hint="eastAsia"/>
          <w:highlight w:val="none"/>
          <w:lang w:val="en-US" w:eastAsia="zh-CN"/>
        </w:rPr>
        <w:t>技术培训287</w:t>
      </w:r>
    </w:p>
    <w:p w14:paraId="4816FE9C">
      <w:pPr>
        <w:bidi w:val="0"/>
        <w:rPr>
          <w:rFonts w:hint="eastAsia"/>
          <w:highlight w:val="none"/>
          <w:lang w:val="en-US" w:eastAsia="zh-CN"/>
        </w:rPr>
      </w:pPr>
      <w:r>
        <w:rPr>
          <w:rFonts w:hint="eastAsia"/>
          <w:highlight w:val="none"/>
          <w:lang w:val="en-US" w:eastAsia="zh-CN"/>
        </w:rPr>
        <w:t>加大与港澳台侨人士联络56</w:t>
      </w:r>
    </w:p>
    <w:p w14:paraId="179D82E5">
      <w:pPr>
        <w:bidi w:val="0"/>
        <w:rPr>
          <w:rFonts w:hint="eastAsia"/>
          <w:highlight w:val="none"/>
          <w:lang w:val="en-US" w:eastAsia="zh-CN"/>
        </w:rPr>
      </w:pPr>
      <w:r>
        <w:rPr>
          <w:rFonts w:hint="eastAsia"/>
          <w:highlight w:val="none"/>
          <w:lang w:val="en-US" w:eastAsia="zh-CN"/>
        </w:rPr>
        <w:t>加强电子政务平台建设和管理96</w:t>
      </w:r>
    </w:p>
    <w:p w14:paraId="2A826B4E">
      <w:pPr>
        <w:bidi w:val="0"/>
        <w:rPr>
          <w:rFonts w:hint="eastAsia"/>
          <w:highlight w:val="none"/>
          <w:lang w:val="en-US" w:eastAsia="zh-CN"/>
        </w:rPr>
      </w:pPr>
      <w:r>
        <w:rPr>
          <w:rFonts w:hint="eastAsia"/>
          <w:highlight w:val="none"/>
          <w:lang w:val="en-US" w:eastAsia="zh-CN"/>
        </w:rPr>
        <w:t>加强监管241</w:t>
      </w:r>
    </w:p>
    <w:p w14:paraId="00C04E9B">
      <w:pPr>
        <w:bidi w:val="0"/>
        <w:rPr>
          <w:rFonts w:hint="eastAsia"/>
          <w:highlight w:val="none"/>
          <w:lang w:val="en-US" w:eastAsia="zh-CN"/>
        </w:rPr>
      </w:pPr>
      <w:r>
        <w:rPr>
          <w:rFonts w:hint="eastAsia"/>
          <w:highlight w:val="none"/>
          <w:lang w:val="en-US" w:eastAsia="zh-CN"/>
        </w:rPr>
        <w:t>加强金融管理和服务265</w:t>
      </w:r>
    </w:p>
    <w:p w14:paraId="1FD23DBB">
      <w:pPr>
        <w:bidi w:val="0"/>
        <w:rPr>
          <w:rFonts w:hint="eastAsia"/>
          <w:highlight w:val="none"/>
          <w:lang w:val="en-US" w:eastAsia="zh-CN"/>
        </w:rPr>
      </w:pPr>
      <w:r>
        <w:rPr>
          <w:rFonts w:hint="eastAsia"/>
          <w:highlight w:val="none"/>
          <w:lang w:val="en-US" w:eastAsia="zh-CN"/>
        </w:rPr>
        <w:t>加强老干部活动管理58</w:t>
      </w:r>
    </w:p>
    <w:p w14:paraId="71EDE2B0">
      <w:pPr>
        <w:bidi w:val="0"/>
        <w:rPr>
          <w:rFonts w:hint="eastAsia"/>
          <w:highlight w:val="none"/>
          <w:lang w:val="en-US" w:eastAsia="zh-CN"/>
        </w:rPr>
      </w:pPr>
      <w:r>
        <w:rPr>
          <w:rFonts w:hint="eastAsia"/>
          <w:highlight w:val="none"/>
          <w:lang w:val="en-US" w:eastAsia="zh-CN"/>
        </w:rPr>
        <w:t>加强理论学习，提高综合素质45</w:t>
      </w:r>
    </w:p>
    <w:p w14:paraId="218EF65E">
      <w:pPr>
        <w:bidi w:val="0"/>
        <w:rPr>
          <w:rFonts w:hint="eastAsia"/>
          <w:highlight w:val="none"/>
          <w:lang w:val="en-US" w:eastAsia="zh-CN"/>
        </w:rPr>
      </w:pPr>
      <w:r>
        <w:rPr>
          <w:rFonts w:hint="eastAsia"/>
          <w:highlight w:val="none"/>
          <w:lang w:val="en-US" w:eastAsia="zh-CN"/>
        </w:rPr>
        <w:t>加强三大平台建设145</w:t>
      </w:r>
    </w:p>
    <w:p w14:paraId="774E1988">
      <w:pPr>
        <w:bidi w:val="0"/>
        <w:rPr>
          <w:rFonts w:hint="eastAsia"/>
          <w:highlight w:val="none"/>
          <w:lang w:val="en-US" w:eastAsia="zh-CN"/>
        </w:rPr>
      </w:pPr>
      <w:r>
        <w:rPr>
          <w:rFonts w:hint="eastAsia"/>
          <w:highlight w:val="none"/>
          <w:lang w:val="en-US" w:eastAsia="zh-CN"/>
        </w:rPr>
        <w:t>加强山火案件查处204</w:t>
      </w:r>
    </w:p>
    <w:p w14:paraId="3765B364">
      <w:pPr>
        <w:bidi w:val="0"/>
        <w:rPr>
          <w:rFonts w:hint="eastAsia"/>
          <w:highlight w:val="none"/>
          <w:lang w:val="en-US" w:eastAsia="zh-CN"/>
        </w:rPr>
      </w:pPr>
      <w:r>
        <w:rPr>
          <w:rFonts w:hint="eastAsia"/>
          <w:highlight w:val="none"/>
          <w:lang w:val="en-US" w:eastAsia="zh-CN"/>
        </w:rPr>
        <w:t>加强统战队伍自身建设56</w:t>
      </w:r>
    </w:p>
    <w:p w14:paraId="40CBD14A">
      <w:pPr>
        <w:bidi w:val="0"/>
        <w:rPr>
          <w:rFonts w:hint="eastAsia"/>
          <w:highlight w:val="none"/>
          <w:lang w:val="en-US" w:eastAsia="zh-CN"/>
        </w:rPr>
      </w:pPr>
      <w:r>
        <w:rPr>
          <w:rFonts w:hint="eastAsia"/>
          <w:highlight w:val="none"/>
          <w:lang w:val="en-US" w:eastAsia="zh-CN"/>
        </w:rPr>
        <w:t>加强网络舆情监控97</w:t>
      </w:r>
    </w:p>
    <w:p w14:paraId="0FFF1F7A">
      <w:pPr>
        <w:bidi w:val="0"/>
        <w:rPr>
          <w:rFonts w:hint="eastAsia"/>
          <w:highlight w:val="none"/>
          <w:lang w:val="en-US" w:eastAsia="zh-CN"/>
        </w:rPr>
      </w:pPr>
      <w:r>
        <w:rPr>
          <w:rFonts w:hint="eastAsia"/>
          <w:highlight w:val="none"/>
          <w:lang w:val="en-US" w:eastAsia="zh-CN"/>
        </w:rPr>
        <w:t>加强新形势下党外代表人士队伍建设55</w:t>
      </w:r>
    </w:p>
    <w:p w14:paraId="34587D45">
      <w:pPr>
        <w:bidi w:val="0"/>
        <w:rPr>
          <w:rFonts w:hint="eastAsia"/>
          <w:highlight w:val="none"/>
          <w:lang w:val="en-US" w:eastAsia="zh-CN"/>
        </w:rPr>
      </w:pPr>
      <w:r>
        <w:rPr>
          <w:rFonts w:hint="eastAsia"/>
          <w:highlight w:val="none"/>
          <w:lang w:val="en-US" w:eastAsia="zh-CN"/>
        </w:rPr>
        <w:t>加强自身建设58</w:t>
      </w:r>
    </w:p>
    <w:p w14:paraId="6E03B537">
      <w:pPr>
        <w:bidi w:val="0"/>
        <w:rPr>
          <w:rFonts w:hint="eastAsia"/>
          <w:highlight w:val="none"/>
          <w:lang w:val="en-US" w:eastAsia="zh-CN"/>
        </w:rPr>
      </w:pPr>
      <w:r>
        <w:rPr>
          <w:rFonts w:hint="eastAsia"/>
          <w:highlight w:val="none"/>
          <w:lang w:val="en-US" w:eastAsia="zh-CN"/>
        </w:rPr>
        <w:t>加强作风建设，保持清正廉洁45</w:t>
      </w:r>
    </w:p>
    <w:p w14:paraId="491BBAFC">
      <w:pPr>
        <w:bidi w:val="0"/>
        <w:rPr>
          <w:rFonts w:hint="eastAsia"/>
          <w:highlight w:val="none"/>
          <w:lang w:val="en-US" w:eastAsia="zh-CN"/>
        </w:rPr>
      </w:pPr>
      <w:r>
        <w:rPr>
          <w:rFonts w:hint="eastAsia"/>
          <w:highlight w:val="none"/>
          <w:lang w:val="en-US" w:eastAsia="zh-CN"/>
        </w:rPr>
        <w:t>家长学校办出特色317</w:t>
      </w:r>
    </w:p>
    <w:p w14:paraId="3039809E">
      <w:pPr>
        <w:bidi w:val="0"/>
        <w:rPr>
          <w:rFonts w:hint="eastAsia"/>
          <w:highlight w:val="none"/>
          <w:lang w:val="en-US" w:eastAsia="zh-CN"/>
        </w:rPr>
      </w:pPr>
      <w:r>
        <w:rPr>
          <w:rFonts w:hint="eastAsia"/>
          <w:highlight w:val="none"/>
          <w:lang w:val="en-US" w:eastAsia="zh-CN"/>
        </w:rPr>
        <w:t>价格管理161</w:t>
      </w:r>
    </w:p>
    <w:p w14:paraId="7D01D8C9">
      <w:pPr>
        <w:bidi w:val="0"/>
        <w:rPr>
          <w:rFonts w:hint="eastAsia"/>
          <w:highlight w:val="none"/>
          <w:lang w:val="en-US" w:eastAsia="zh-CN"/>
        </w:rPr>
      </w:pPr>
      <w:r>
        <w:rPr>
          <w:rFonts w:hint="eastAsia"/>
          <w:highlight w:val="none"/>
          <w:lang w:val="en-US" w:eastAsia="zh-CN"/>
        </w:rPr>
        <w:t>驾驶员培训225</w:t>
      </w:r>
    </w:p>
    <w:p w14:paraId="3351B78B">
      <w:pPr>
        <w:bidi w:val="0"/>
        <w:rPr>
          <w:rFonts w:hint="eastAsia"/>
          <w:highlight w:val="none"/>
          <w:lang w:val="en-US" w:eastAsia="zh-CN"/>
        </w:rPr>
      </w:pPr>
      <w:r>
        <w:rPr>
          <w:rFonts w:hint="eastAsia"/>
          <w:highlight w:val="none"/>
          <w:lang w:val="en-US" w:eastAsia="zh-CN"/>
        </w:rPr>
        <w:t>坚持从严治院144</w:t>
      </w:r>
    </w:p>
    <w:p w14:paraId="58D4FA2F">
      <w:pPr>
        <w:bidi w:val="0"/>
        <w:rPr>
          <w:rFonts w:hint="eastAsia"/>
          <w:highlight w:val="none"/>
          <w:lang w:val="en-US" w:eastAsia="zh-CN"/>
        </w:rPr>
      </w:pPr>
      <w:r>
        <w:rPr>
          <w:rFonts w:hint="eastAsia"/>
          <w:highlight w:val="none"/>
          <w:lang w:val="en-US" w:eastAsia="zh-CN"/>
        </w:rPr>
        <w:t>坚持能动司法.延伸审判职能146</w:t>
      </w:r>
    </w:p>
    <w:p w14:paraId="01FE4518">
      <w:pPr>
        <w:bidi w:val="0"/>
        <w:rPr>
          <w:rFonts w:hint="eastAsia"/>
          <w:highlight w:val="none"/>
          <w:lang w:val="en-US" w:eastAsia="zh-CN"/>
        </w:rPr>
      </w:pPr>
      <w:r>
        <w:rPr>
          <w:rFonts w:hint="eastAsia"/>
          <w:highlight w:val="none"/>
          <w:lang w:val="en-US" w:eastAsia="zh-CN"/>
        </w:rPr>
        <w:t>监督工作70</w:t>
      </w:r>
    </w:p>
    <w:p w14:paraId="209E136B">
      <w:pPr>
        <w:bidi w:val="0"/>
        <w:rPr>
          <w:rFonts w:hint="eastAsia"/>
          <w:highlight w:val="none"/>
          <w:lang w:val="en-US" w:eastAsia="zh-CN"/>
        </w:rPr>
      </w:pPr>
      <w:r>
        <w:rPr>
          <w:rFonts w:hint="eastAsia"/>
          <w:highlight w:val="none"/>
          <w:lang w:val="en-US" w:eastAsia="zh-CN"/>
        </w:rPr>
        <w:t>监管部门271</w:t>
      </w:r>
    </w:p>
    <w:p w14:paraId="27B9F92E">
      <w:pPr>
        <w:bidi w:val="0"/>
        <w:rPr>
          <w:rFonts w:hint="eastAsia"/>
          <w:highlight w:val="none"/>
          <w:lang w:val="en-US" w:eastAsia="zh-CN"/>
        </w:rPr>
      </w:pPr>
      <w:r>
        <w:rPr>
          <w:rFonts w:hint="eastAsia"/>
          <w:highlight w:val="none"/>
          <w:lang w:val="en-US" w:eastAsia="zh-CN"/>
        </w:rPr>
        <w:t>监所管理139</w:t>
      </w:r>
    </w:p>
    <w:p w14:paraId="7A2C40C9">
      <w:pPr>
        <w:bidi w:val="0"/>
        <w:rPr>
          <w:rFonts w:hint="eastAsia"/>
          <w:highlight w:val="none"/>
          <w:lang w:val="en-US" w:eastAsia="zh-CN"/>
        </w:rPr>
      </w:pPr>
      <w:r>
        <w:rPr>
          <w:rFonts w:hint="eastAsia"/>
          <w:highlight w:val="none"/>
          <w:lang w:val="en-US" w:eastAsia="zh-CN"/>
        </w:rPr>
        <w:t>监所检察141</w:t>
      </w:r>
    </w:p>
    <w:p w14:paraId="0C7F33BE">
      <w:pPr>
        <w:bidi w:val="0"/>
        <w:rPr>
          <w:rFonts w:hint="eastAsia"/>
          <w:highlight w:val="none"/>
          <w:lang w:val="en-US" w:eastAsia="zh-CN"/>
        </w:rPr>
      </w:pPr>
      <w:r>
        <w:rPr>
          <w:rFonts w:hint="eastAsia"/>
          <w:highlight w:val="none"/>
          <w:lang w:val="en-US" w:eastAsia="zh-CN"/>
        </w:rPr>
        <w:t>检查验收68</w:t>
      </w:r>
    </w:p>
    <w:p w14:paraId="6E0833CF">
      <w:pPr>
        <w:bidi w:val="0"/>
        <w:rPr>
          <w:rFonts w:hint="eastAsia"/>
          <w:highlight w:val="none"/>
          <w:lang w:val="en-US" w:eastAsia="zh-CN"/>
        </w:rPr>
      </w:pPr>
      <w:r>
        <w:rPr>
          <w:rFonts w:hint="eastAsia"/>
          <w:highlight w:val="none"/>
          <w:lang w:val="en-US" w:eastAsia="zh-CN"/>
        </w:rPr>
        <w:t>检察140</w:t>
      </w:r>
    </w:p>
    <w:p w14:paraId="710ABAE2">
      <w:pPr>
        <w:bidi w:val="0"/>
        <w:rPr>
          <w:rFonts w:hint="eastAsia"/>
          <w:highlight w:val="none"/>
          <w:lang w:val="en-US" w:eastAsia="zh-CN"/>
        </w:rPr>
      </w:pPr>
      <w:r>
        <w:rPr>
          <w:rFonts w:hint="eastAsia"/>
          <w:highlight w:val="none"/>
          <w:lang w:val="en-US" w:eastAsia="zh-CN"/>
        </w:rPr>
        <w:t>建功立业工程116</w:t>
      </w:r>
    </w:p>
    <w:p w14:paraId="1E02B76A">
      <w:pPr>
        <w:bidi w:val="0"/>
        <w:rPr>
          <w:rFonts w:hint="eastAsia"/>
          <w:highlight w:val="none"/>
          <w:lang w:val="en-US" w:eastAsia="zh-CN"/>
        </w:rPr>
      </w:pPr>
      <w:r>
        <w:rPr>
          <w:rFonts w:hint="eastAsia"/>
          <w:highlight w:val="none"/>
          <w:lang w:val="en-US" w:eastAsia="zh-CN"/>
        </w:rPr>
        <w:t>建立完善相关规章制度289</w:t>
      </w:r>
    </w:p>
    <w:p w14:paraId="2B871F5E">
      <w:pPr>
        <w:bidi w:val="0"/>
        <w:rPr>
          <w:rFonts w:hint="eastAsia"/>
          <w:highlight w:val="none"/>
          <w:lang w:val="en-US" w:eastAsia="zh-CN"/>
        </w:rPr>
      </w:pPr>
      <w:r>
        <w:rPr>
          <w:rFonts w:hint="eastAsia"/>
          <w:highlight w:val="none"/>
          <w:lang w:val="en-US" w:eastAsia="zh-CN"/>
        </w:rPr>
        <w:t>4G建设运营235</w:t>
      </w:r>
    </w:p>
    <w:p w14:paraId="1CBFAD14">
      <w:pPr>
        <w:bidi w:val="0"/>
        <w:rPr>
          <w:rFonts w:hint="eastAsia"/>
          <w:highlight w:val="none"/>
          <w:lang w:val="en-US" w:eastAsia="zh-CN"/>
        </w:rPr>
      </w:pPr>
      <w:r>
        <w:rPr>
          <w:rFonts w:hint="eastAsia"/>
          <w:highlight w:val="none"/>
          <w:lang w:val="en-US" w:eastAsia="zh-CN"/>
        </w:rPr>
        <w:t>建言献策100</w:t>
      </w:r>
    </w:p>
    <w:p w14:paraId="347D27B1">
      <w:pPr>
        <w:bidi w:val="0"/>
        <w:rPr>
          <w:rFonts w:hint="eastAsia"/>
          <w:highlight w:val="none"/>
          <w:lang w:val="en-US" w:eastAsia="zh-CN"/>
        </w:rPr>
      </w:pPr>
      <w:r>
        <w:rPr>
          <w:rFonts w:hint="eastAsia"/>
          <w:highlight w:val="none"/>
          <w:lang w:val="en-US" w:eastAsia="zh-CN"/>
        </w:rPr>
        <w:t>建置沿革34</w:t>
      </w:r>
    </w:p>
    <w:p w14:paraId="5C573E0C">
      <w:pPr>
        <w:bidi w:val="0"/>
        <w:rPr>
          <w:rFonts w:hint="eastAsia"/>
          <w:highlight w:val="none"/>
          <w:lang w:val="en-US" w:eastAsia="zh-CN"/>
        </w:rPr>
      </w:pPr>
      <w:r>
        <w:rPr>
          <w:rFonts w:hint="eastAsia"/>
          <w:highlight w:val="none"/>
          <w:lang w:val="en-US" w:eastAsia="zh-CN"/>
        </w:rPr>
        <w:t>建筑工程质量管理238</w:t>
      </w:r>
    </w:p>
    <w:p w14:paraId="32327B57">
      <w:pPr>
        <w:bidi w:val="0"/>
        <w:rPr>
          <w:rFonts w:hint="eastAsia"/>
          <w:highlight w:val="none"/>
          <w:lang w:val="en-US" w:eastAsia="zh-CN"/>
        </w:rPr>
      </w:pPr>
      <w:r>
        <w:rPr>
          <w:rFonts w:hint="eastAsia"/>
          <w:highlight w:val="none"/>
          <w:lang w:val="en-US" w:eastAsia="zh-CN"/>
        </w:rPr>
        <w:t>建筑企业240</w:t>
      </w:r>
    </w:p>
    <w:p w14:paraId="5827D1BB">
      <w:pPr>
        <w:bidi w:val="0"/>
        <w:rPr>
          <w:rFonts w:hint="eastAsia"/>
          <w:highlight w:val="none"/>
          <w:lang w:val="en-US" w:eastAsia="zh-CN"/>
        </w:rPr>
      </w:pPr>
      <w:r>
        <w:rPr>
          <w:rFonts w:hint="eastAsia"/>
          <w:highlight w:val="none"/>
          <w:lang w:val="en-US" w:eastAsia="zh-CN"/>
        </w:rPr>
        <w:t>建筑设计240</w:t>
      </w:r>
    </w:p>
    <w:p w14:paraId="0D6F044F">
      <w:pPr>
        <w:bidi w:val="0"/>
        <w:rPr>
          <w:rFonts w:hint="eastAsia"/>
          <w:highlight w:val="none"/>
          <w:lang w:val="en-US" w:eastAsia="zh-CN"/>
        </w:rPr>
      </w:pPr>
      <w:r>
        <w:rPr>
          <w:rFonts w:hint="eastAsia"/>
          <w:highlight w:val="none"/>
          <w:lang w:val="en-US" w:eastAsia="zh-CN"/>
        </w:rPr>
        <w:t>建筑业管理240</w:t>
      </w:r>
    </w:p>
    <w:p w14:paraId="361DCCDC">
      <w:pPr>
        <w:bidi w:val="0"/>
        <w:rPr>
          <w:rFonts w:hint="eastAsia"/>
          <w:highlight w:val="none"/>
          <w:lang w:val="en-US" w:eastAsia="zh-CN"/>
        </w:rPr>
      </w:pPr>
      <w:r>
        <w:rPr>
          <w:rFonts w:hint="eastAsia"/>
          <w:highlight w:val="none"/>
          <w:lang w:val="en-US" w:eastAsia="zh-CN"/>
        </w:rPr>
        <w:t>健康教育287</w:t>
      </w:r>
    </w:p>
    <w:p w14:paraId="2910663C">
      <w:pPr>
        <w:bidi w:val="0"/>
        <w:rPr>
          <w:rFonts w:hint="eastAsia"/>
          <w:highlight w:val="none"/>
          <w:lang w:val="en-US" w:eastAsia="zh-CN"/>
        </w:rPr>
      </w:pPr>
      <w:r>
        <w:rPr>
          <w:rFonts w:hint="eastAsia"/>
          <w:highlight w:val="none"/>
          <w:lang w:val="en-US" w:eastAsia="zh-CN"/>
        </w:rPr>
        <w:t>践行“三严三实”，提高党性修养45</w:t>
      </w:r>
    </w:p>
    <w:p w14:paraId="60AC17AA">
      <w:pPr>
        <w:bidi w:val="0"/>
        <w:rPr>
          <w:rFonts w:hint="eastAsia"/>
          <w:highlight w:val="none"/>
          <w:lang w:val="en-US" w:eastAsia="zh-CN"/>
        </w:rPr>
      </w:pPr>
      <w:r>
        <w:rPr>
          <w:rFonts w:hint="eastAsia"/>
          <w:highlight w:val="none"/>
          <w:lang w:val="en-US" w:eastAsia="zh-CN"/>
        </w:rPr>
        <w:t>江头镇372</w:t>
      </w:r>
    </w:p>
    <w:p w14:paraId="636F3A4C">
      <w:pPr>
        <w:bidi w:val="0"/>
        <w:rPr>
          <w:rFonts w:hint="eastAsia"/>
          <w:highlight w:val="none"/>
          <w:lang w:val="en-US" w:eastAsia="zh-CN"/>
        </w:rPr>
      </w:pPr>
      <w:r>
        <w:rPr>
          <w:rFonts w:hint="eastAsia"/>
          <w:highlight w:val="none"/>
          <w:lang w:val="en-US" w:eastAsia="zh-CN"/>
        </w:rPr>
        <w:t>江头镇公交线路延伸至市区228</w:t>
      </w:r>
    </w:p>
    <w:p w14:paraId="04F4FC7C">
      <w:pPr>
        <w:bidi w:val="0"/>
        <w:rPr>
          <w:rFonts w:hint="eastAsia"/>
          <w:highlight w:val="none"/>
          <w:lang w:val="en-US" w:eastAsia="zh-CN"/>
        </w:rPr>
      </w:pPr>
      <w:r>
        <w:rPr>
          <w:rFonts w:hint="eastAsia"/>
          <w:highlight w:val="none"/>
          <w:lang w:val="en-US" w:eastAsia="zh-CN"/>
        </w:rPr>
        <w:t>降水246</w:t>
      </w:r>
    </w:p>
    <w:p w14:paraId="41225247">
      <w:pPr>
        <w:bidi w:val="0"/>
        <w:rPr>
          <w:rFonts w:hint="eastAsia"/>
          <w:highlight w:val="none"/>
          <w:lang w:val="en-US" w:eastAsia="zh-CN"/>
        </w:rPr>
      </w:pPr>
      <w:r>
        <w:rPr>
          <w:rFonts w:hint="eastAsia"/>
          <w:highlight w:val="none"/>
          <w:lang w:val="en-US" w:eastAsia="zh-CN"/>
        </w:rPr>
        <w:t>交通规划224</w:t>
      </w:r>
    </w:p>
    <w:p w14:paraId="01A0D8E3">
      <w:pPr>
        <w:bidi w:val="0"/>
        <w:rPr>
          <w:rFonts w:hint="eastAsia"/>
          <w:highlight w:val="none"/>
          <w:lang w:val="en-US" w:eastAsia="zh-CN"/>
        </w:rPr>
      </w:pPr>
      <w:r>
        <w:rPr>
          <w:rFonts w:hint="eastAsia"/>
          <w:highlight w:val="none"/>
          <w:lang w:val="en-US" w:eastAsia="zh-CN"/>
        </w:rPr>
        <w:t>交通运输224</w:t>
      </w:r>
    </w:p>
    <w:p w14:paraId="35C51A79">
      <w:pPr>
        <w:bidi w:val="0"/>
        <w:rPr>
          <w:rFonts w:hint="eastAsia"/>
          <w:highlight w:val="none"/>
          <w:lang w:val="en-US" w:eastAsia="zh-CN"/>
        </w:rPr>
      </w:pPr>
      <w:r>
        <w:rPr>
          <w:rFonts w:hint="eastAsia"/>
          <w:highlight w:val="none"/>
          <w:lang w:val="en-US" w:eastAsia="zh-CN"/>
        </w:rPr>
        <w:t>教师队伍建设273</w:t>
      </w:r>
    </w:p>
    <w:p w14:paraId="7FE3FC54">
      <w:pPr>
        <w:bidi w:val="0"/>
        <w:rPr>
          <w:rFonts w:hint="eastAsia"/>
          <w:highlight w:val="none"/>
          <w:lang w:val="en-US" w:eastAsia="zh-CN"/>
        </w:rPr>
      </w:pPr>
      <w:r>
        <w:rPr>
          <w:rFonts w:hint="eastAsia"/>
          <w:highlight w:val="none"/>
          <w:lang w:val="en-US" w:eastAsia="zh-CN"/>
        </w:rPr>
        <w:t>教育272</w:t>
      </w:r>
    </w:p>
    <w:p w14:paraId="68F28220">
      <w:pPr>
        <w:bidi w:val="0"/>
        <w:rPr>
          <w:rFonts w:hint="eastAsia"/>
          <w:highlight w:val="none"/>
          <w:lang w:val="en-US" w:eastAsia="zh-CN"/>
        </w:rPr>
      </w:pPr>
      <w:r>
        <w:rPr>
          <w:rFonts w:hint="eastAsia"/>
          <w:highlight w:val="none"/>
          <w:lang w:val="en-US" w:eastAsia="zh-CN"/>
        </w:rPr>
        <w:t>教育活动101</w:t>
      </w:r>
    </w:p>
    <w:p w14:paraId="022A08E4">
      <w:pPr>
        <w:bidi w:val="0"/>
        <w:rPr>
          <w:rFonts w:hint="eastAsia"/>
          <w:highlight w:val="none"/>
          <w:lang w:val="en-US" w:eastAsia="zh-CN"/>
        </w:rPr>
      </w:pPr>
      <w:r>
        <w:rPr>
          <w:rFonts w:hint="eastAsia"/>
          <w:highlight w:val="none"/>
          <w:lang w:val="en-US" w:eastAsia="zh-CN"/>
        </w:rPr>
        <w:t>教育监督111</w:t>
      </w:r>
    </w:p>
    <w:p w14:paraId="7BD07249">
      <w:pPr>
        <w:bidi w:val="0"/>
        <w:rPr>
          <w:rFonts w:hint="eastAsia"/>
          <w:highlight w:val="none"/>
          <w:lang w:val="en-US" w:eastAsia="zh-CN"/>
        </w:rPr>
      </w:pPr>
      <w:r>
        <w:rPr>
          <w:rFonts w:hint="eastAsia"/>
          <w:highlight w:val="none"/>
          <w:lang w:val="en-US" w:eastAsia="zh-CN"/>
        </w:rPr>
        <w:t>教育强镇建设272</w:t>
      </w:r>
    </w:p>
    <w:p w14:paraId="6A6A79E0">
      <w:pPr>
        <w:bidi w:val="0"/>
        <w:rPr>
          <w:rFonts w:hint="eastAsia"/>
          <w:highlight w:val="none"/>
          <w:lang w:val="en-US" w:eastAsia="zh-CN"/>
        </w:rPr>
      </w:pPr>
      <w:r>
        <w:rPr>
          <w:rFonts w:hint="eastAsia"/>
          <w:highlight w:val="none"/>
          <w:lang w:val="en-US" w:eastAsia="zh-CN"/>
        </w:rPr>
        <w:t>教育信息化建设272</w:t>
      </w:r>
    </w:p>
    <w:p w14:paraId="42B28CC0">
      <w:pPr>
        <w:bidi w:val="0"/>
        <w:rPr>
          <w:rFonts w:hint="eastAsia"/>
          <w:highlight w:val="none"/>
          <w:lang w:val="en-US" w:eastAsia="zh-CN"/>
        </w:rPr>
      </w:pPr>
      <w:r>
        <w:rPr>
          <w:rFonts w:hint="eastAsia"/>
          <w:highlight w:val="none"/>
          <w:lang w:val="en-US" w:eastAsia="zh-CN"/>
        </w:rPr>
        <w:t>接待工作92</w:t>
      </w:r>
    </w:p>
    <w:p w14:paraId="6B1CC1F1">
      <w:pPr>
        <w:bidi w:val="0"/>
        <w:rPr>
          <w:rFonts w:hint="eastAsia"/>
          <w:highlight w:val="none"/>
          <w:lang w:val="en-US" w:eastAsia="zh-CN"/>
        </w:rPr>
      </w:pPr>
      <w:r>
        <w:rPr>
          <w:rFonts w:hint="eastAsia"/>
          <w:highlight w:val="none"/>
          <w:lang w:val="en-US" w:eastAsia="zh-CN"/>
        </w:rPr>
        <w:t>接受监督145</w:t>
      </w:r>
    </w:p>
    <w:p w14:paraId="69E778E1">
      <w:pPr>
        <w:bidi w:val="0"/>
        <w:rPr>
          <w:rFonts w:hint="eastAsia"/>
          <w:highlight w:val="none"/>
          <w:lang w:val="en-US" w:eastAsia="zh-CN"/>
        </w:rPr>
      </w:pPr>
      <w:r>
        <w:rPr>
          <w:rFonts w:hint="eastAsia"/>
          <w:highlight w:val="none"/>
          <w:lang w:val="en-US" w:eastAsia="zh-CN"/>
        </w:rPr>
        <w:t>节能工作扎实开展183</w:t>
      </w:r>
    </w:p>
    <w:p w14:paraId="18F182A6">
      <w:pPr>
        <w:bidi w:val="0"/>
        <w:rPr>
          <w:rFonts w:hint="eastAsia"/>
          <w:highlight w:val="none"/>
          <w:lang w:val="en-US" w:eastAsia="zh-CN"/>
        </w:rPr>
      </w:pPr>
      <w:r>
        <w:rPr>
          <w:rFonts w:hint="eastAsia"/>
          <w:highlight w:val="none"/>
          <w:lang w:val="en-US" w:eastAsia="zh-CN"/>
        </w:rPr>
        <w:t>节约型机关建设67</w:t>
      </w:r>
    </w:p>
    <w:p w14:paraId="3A009A5F">
      <w:pPr>
        <w:bidi w:val="0"/>
        <w:rPr>
          <w:rFonts w:hint="eastAsia"/>
          <w:highlight w:val="none"/>
          <w:lang w:val="en-US" w:eastAsia="zh-CN"/>
        </w:rPr>
      </w:pPr>
      <w:r>
        <w:rPr>
          <w:rFonts w:hint="eastAsia"/>
          <w:highlight w:val="none"/>
          <w:lang w:val="en-US" w:eastAsia="zh-CN"/>
        </w:rPr>
        <w:t>界址镇349</w:t>
      </w:r>
    </w:p>
    <w:p w14:paraId="4081A907">
      <w:pPr>
        <w:bidi w:val="0"/>
        <w:rPr>
          <w:rFonts w:hint="eastAsia"/>
          <w:highlight w:val="none"/>
          <w:lang w:val="en-US" w:eastAsia="zh-CN"/>
        </w:rPr>
      </w:pPr>
      <w:r>
        <w:rPr>
          <w:rFonts w:hint="eastAsia"/>
          <w:highlight w:val="none"/>
          <w:lang w:val="en-US" w:eastAsia="zh-CN"/>
        </w:rPr>
        <w:t>金融改革创新264</w:t>
      </w:r>
    </w:p>
    <w:p w14:paraId="668F68F8">
      <w:pPr>
        <w:bidi w:val="0"/>
        <w:rPr>
          <w:rFonts w:hint="eastAsia"/>
          <w:highlight w:val="none"/>
          <w:lang w:val="en-US" w:eastAsia="zh-CN"/>
        </w:rPr>
      </w:pPr>
      <w:r>
        <w:rPr>
          <w:rFonts w:hint="eastAsia"/>
          <w:highlight w:val="none"/>
          <w:lang w:val="en-US" w:eastAsia="zh-CN"/>
        </w:rPr>
        <w:t>经济发展状况39</w:t>
      </w:r>
    </w:p>
    <w:p w14:paraId="48C68242">
      <w:pPr>
        <w:bidi w:val="0"/>
        <w:rPr>
          <w:rFonts w:hint="eastAsia"/>
          <w:highlight w:val="none"/>
          <w:lang w:val="en-US" w:eastAsia="zh-CN"/>
        </w:rPr>
      </w:pPr>
      <w:r>
        <w:rPr>
          <w:rFonts w:hint="eastAsia"/>
          <w:highlight w:val="none"/>
          <w:lang w:val="en-US" w:eastAsia="zh-CN"/>
        </w:rPr>
        <w:t>经济概况337 343</w:t>
      </w:r>
    </w:p>
    <w:p w14:paraId="16615662">
      <w:pPr>
        <w:bidi w:val="0"/>
        <w:rPr>
          <w:rFonts w:hint="eastAsia"/>
          <w:highlight w:val="none"/>
          <w:lang w:val="en-US" w:eastAsia="zh-CN"/>
        </w:rPr>
      </w:pPr>
      <w:r>
        <w:rPr>
          <w:rFonts w:hint="eastAsia"/>
          <w:highlight w:val="none"/>
          <w:lang w:val="en-US" w:eastAsia="zh-CN"/>
        </w:rPr>
        <w:t>经济普查资料开发164</w:t>
      </w:r>
    </w:p>
    <w:p w14:paraId="30AA0166">
      <w:pPr>
        <w:bidi w:val="0"/>
        <w:rPr>
          <w:rFonts w:hint="eastAsia"/>
          <w:highlight w:val="none"/>
          <w:lang w:val="en-US" w:eastAsia="zh-CN"/>
        </w:rPr>
      </w:pPr>
      <w:r>
        <w:rPr>
          <w:rFonts w:hint="eastAsia"/>
          <w:highlight w:val="none"/>
          <w:lang w:val="en-US" w:eastAsia="zh-CN"/>
        </w:rPr>
        <w:t>经济运行工作182</w:t>
      </w:r>
    </w:p>
    <w:p w14:paraId="2A8F5909">
      <w:pPr>
        <w:bidi w:val="0"/>
        <w:rPr>
          <w:rFonts w:hint="eastAsia"/>
          <w:highlight w:val="none"/>
          <w:lang w:val="en-US" w:eastAsia="zh-CN"/>
        </w:rPr>
      </w:pPr>
      <w:r>
        <w:rPr>
          <w:rFonts w:hint="eastAsia"/>
          <w:highlight w:val="none"/>
          <w:lang w:val="en-US" w:eastAsia="zh-CN"/>
        </w:rPr>
        <w:t>经济责任审计168</w:t>
      </w:r>
    </w:p>
    <w:p w14:paraId="548CC751">
      <w:pPr>
        <w:bidi w:val="0"/>
        <w:rPr>
          <w:rFonts w:hint="eastAsia"/>
          <w:highlight w:val="none"/>
          <w:lang w:val="en-US" w:eastAsia="zh-CN"/>
        </w:rPr>
      </w:pPr>
      <w:r>
        <w:rPr>
          <w:rFonts w:hint="eastAsia"/>
          <w:highlight w:val="none"/>
          <w:lang w:val="en-US" w:eastAsia="zh-CN"/>
        </w:rPr>
        <w:t>经信182</w:t>
      </w:r>
    </w:p>
    <w:p w14:paraId="43F74E9E">
      <w:pPr>
        <w:bidi w:val="0"/>
        <w:rPr>
          <w:rFonts w:hint="eastAsia"/>
          <w:highlight w:val="none"/>
          <w:lang w:val="en-US" w:eastAsia="zh-CN"/>
        </w:rPr>
      </w:pPr>
      <w:r>
        <w:rPr>
          <w:rFonts w:hint="eastAsia"/>
          <w:highlight w:val="none"/>
          <w:lang w:val="en-US" w:eastAsia="zh-CN"/>
        </w:rPr>
        <w:t>经验介绍68</w:t>
      </w:r>
    </w:p>
    <w:p w14:paraId="035FB45E">
      <w:pPr>
        <w:bidi w:val="0"/>
        <w:rPr>
          <w:rFonts w:hint="eastAsia"/>
          <w:highlight w:val="none"/>
          <w:lang w:val="en-US" w:eastAsia="zh-CN"/>
        </w:rPr>
      </w:pPr>
      <w:r>
        <w:rPr>
          <w:rFonts w:hint="eastAsia"/>
          <w:highlight w:val="none"/>
          <w:lang w:val="en-US" w:eastAsia="zh-CN"/>
        </w:rPr>
        <w:t>经营概况233</w:t>
      </w:r>
    </w:p>
    <w:p w14:paraId="1EBC9440">
      <w:pPr>
        <w:bidi w:val="0"/>
        <w:rPr>
          <w:rFonts w:hint="eastAsia"/>
          <w:highlight w:val="none"/>
          <w:lang w:val="en-US" w:eastAsia="zh-CN"/>
        </w:rPr>
      </w:pPr>
      <w:r>
        <w:rPr>
          <w:rFonts w:hint="eastAsia"/>
          <w:highlight w:val="none"/>
          <w:lang w:val="en-US" w:eastAsia="zh-CN"/>
        </w:rPr>
        <w:t>经营理念270 271</w:t>
      </w:r>
    </w:p>
    <w:p w14:paraId="1A25FFDE">
      <w:pPr>
        <w:bidi w:val="0"/>
        <w:rPr>
          <w:rFonts w:hint="eastAsia"/>
          <w:highlight w:val="none"/>
          <w:lang w:val="en-US" w:eastAsia="zh-CN"/>
        </w:rPr>
      </w:pPr>
      <w:r>
        <w:rPr>
          <w:rFonts w:hint="eastAsia"/>
          <w:highlight w:val="none"/>
          <w:lang w:val="en-US" w:eastAsia="zh-CN"/>
        </w:rPr>
        <w:t>精确营销233</w:t>
      </w:r>
    </w:p>
    <w:p w14:paraId="39939F6E">
      <w:pPr>
        <w:bidi w:val="0"/>
        <w:rPr>
          <w:rFonts w:hint="eastAsia"/>
          <w:highlight w:val="none"/>
          <w:lang w:val="en-US" w:eastAsia="zh-CN"/>
        </w:rPr>
      </w:pPr>
      <w:r>
        <w:rPr>
          <w:rFonts w:hint="eastAsia"/>
          <w:highlight w:val="none"/>
          <w:lang w:val="en-US" w:eastAsia="zh-CN"/>
        </w:rPr>
        <w:t>精神文明建设52 219 352</w:t>
      </w:r>
    </w:p>
    <w:p w14:paraId="6486ED8F">
      <w:pPr>
        <w:bidi w:val="0"/>
        <w:rPr>
          <w:rFonts w:hint="eastAsia"/>
          <w:highlight w:val="none"/>
          <w:lang w:val="en-US" w:eastAsia="zh-CN"/>
        </w:rPr>
      </w:pPr>
      <w:r>
        <w:rPr>
          <w:rFonts w:hint="eastAsia"/>
          <w:highlight w:val="none"/>
          <w:lang w:val="en-US" w:eastAsia="zh-CN"/>
        </w:rPr>
        <w:t>警务保障139</w:t>
      </w:r>
    </w:p>
    <w:p w14:paraId="314F2D7A">
      <w:pPr>
        <w:bidi w:val="0"/>
        <w:rPr>
          <w:rFonts w:hint="eastAsia"/>
          <w:highlight w:val="none"/>
          <w:lang w:val="en-US" w:eastAsia="zh-CN"/>
        </w:rPr>
      </w:pPr>
      <w:r>
        <w:rPr>
          <w:rFonts w:hint="eastAsia"/>
          <w:highlight w:val="none"/>
          <w:lang w:val="en-US" w:eastAsia="zh-CN"/>
        </w:rPr>
        <w:t>九届五次会议98</w:t>
      </w:r>
    </w:p>
    <w:p w14:paraId="7BB0FD28">
      <w:pPr>
        <w:bidi w:val="0"/>
        <w:rPr>
          <w:rFonts w:hint="eastAsia"/>
          <w:highlight w:val="none"/>
          <w:lang w:val="en-US" w:eastAsia="zh-CN"/>
        </w:rPr>
      </w:pPr>
      <w:r>
        <w:rPr>
          <w:rFonts w:hint="eastAsia"/>
          <w:highlight w:val="none"/>
          <w:lang w:val="en-US" w:eastAsia="zh-CN"/>
        </w:rPr>
        <w:t>九三学社南雄市支社115</w:t>
      </w:r>
    </w:p>
    <w:p w14:paraId="283C80A8">
      <w:pPr>
        <w:bidi w:val="0"/>
        <w:rPr>
          <w:rFonts w:hint="eastAsia"/>
          <w:highlight w:val="none"/>
          <w:lang w:val="en-US" w:eastAsia="zh-CN"/>
        </w:rPr>
      </w:pPr>
      <w:r>
        <w:rPr>
          <w:rFonts w:hint="eastAsia"/>
          <w:highlight w:val="none"/>
          <w:lang w:val="en-US" w:eastAsia="zh-CN"/>
        </w:rPr>
        <w:t>救灾救济315</w:t>
      </w:r>
    </w:p>
    <w:p w14:paraId="73D1EA21">
      <w:pPr>
        <w:bidi w:val="0"/>
        <w:rPr>
          <w:rFonts w:hint="eastAsia"/>
          <w:highlight w:val="none"/>
          <w:lang w:val="en-US" w:eastAsia="zh-CN"/>
        </w:rPr>
      </w:pPr>
      <w:r>
        <w:rPr>
          <w:rFonts w:hint="eastAsia"/>
          <w:highlight w:val="none"/>
          <w:lang w:val="en-US" w:eastAsia="zh-CN"/>
        </w:rPr>
        <w:t>举办各种文化展览309</w:t>
      </w:r>
    </w:p>
    <w:p w14:paraId="601B3263">
      <w:pPr>
        <w:bidi w:val="0"/>
        <w:rPr>
          <w:rFonts w:hint="eastAsia"/>
          <w:highlight w:val="none"/>
          <w:lang w:val="en-US" w:eastAsia="zh-CN"/>
        </w:rPr>
      </w:pPr>
      <w:r>
        <w:rPr>
          <w:rFonts w:hint="eastAsia"/>
          <w:highlight w:val="none"/>
          <w:lang w:val="en-US" w:eastAsia="zh-CN"/>
        </w:rPr>
        <w:t>举行“三八”主题活动123</w:t>
      </w:r>
    </w:p>
    <w:p w14:paraId="43EB6027">
      <w:pPr>
        <w:bidi w:val="0"/>
        <w:rPr>
          <w:rFonts w:hint="eastAsia"/>
          <w:highlight w:val="none"/>
          <w:lang w:val="en-US" w:eastAsia="zh-CN"/>
        </w:rPr>
      </w:pPr>
      <w:r>
        <w:rPr>
          <w:rFonts w:hint="eastAsia"/>
          <w:highlight w:val="none"/>
          <w:lang w:val="en-US" w:eastAsia="zh-CN"/>
        </w:rPr>
        <w:t>举行迎新春灯谜竞猜活动304</w:t>
      </w:r>
    </w:p>
    <w:p w14:paraId="2AE0748B">
      <w:pPr>
        <w:bidi w:val="0"/>
        <w:rPr>
          <w:rFonts w:hint="eastAsia"/>
          <w:highlight w:val="none"/>
          <w:lang w:val="en-US" w:eastAsia="zh-CN"/>
        </w:rPr>
      </w:pPr>
      <w:r>
        <w:rPr>
          <w:rFonts w:hint="eastAsia"/>
          <w:highlight w:val="none"/>
          <w:lang w:val="en-US" w:eastAsia="zh-CN"/>
        </w:rPr>
        <w:t>卷烟经营222</w:t>
      </w:r>
    </w:p>
    <w:p w14:paraId="0DD479E8">
      <w:pPr>
        <w:bidi w:val="0"/>
        <w:rPr>
          <w:rFonts w:hint="eastAsia"/>
          <w:highlight w:val="none"/>
          <w:lang w:val="en-US" w:eastAsia="zh-CN"/>
        </w:rPr>
      </w:pPr>
      <w:r>
        <w:rPr>
          <w:rFonts w:hint="eastAsia"/>
          <w:highlight w:val="none"/>
          <w:lang w:val="en-US" w:eastAsia="zh-CN"/>
        </w:rPr>
        <w:t>决定重大事项78</w:t>
      </w:r>
    </w:p>
    <w:p w14:paraId="1DFC64E0">
      <w:pPr>
        <w:bidi w:val="0"/>
        <w:rPr>
          <w:rFonts w:hint="eastAsia"/>
          <w:highlight w:val="none"/>
          <w:lang w:val="en-US" w:eastAsia="zh-CN"/>
        </w:rPr>
      </w:pPr>
      <w:r>
        <w:rPr>
          <w:rFonts w:hint="eastAsia"/>
          <w:highlight w:val="none"/>
          <w:lang w:val="en-US" w:eastAsia="zh-CN"/>
        </w:rPr>
        <w:t>军事训练155</w:t>
      </w:r>
    </w:p>
    <w:p w14:paraId="0257D328">
      <w:pPr>
        <w:pStyle w:val="4"/>
        <w:bidi w:val="0"/>
        <w:rPr>
          <w:rFonts w:hint="eastAsia"/>
          <w:highlight w:val="none"/>
          <w:lang w:val="en-US" w:eastAsia="zh-CN"/>
        </w:rPr>
      </w:pPr>
      <w:r>
        <w:rPr>
          <w:rFonts w:hint="eastAsia"/>
          <w:highlight w:val="none"/>
          <w:lang w:val="en-US" w:eastAsia="zh-CN"/>
        </w:rPr>
        <w:t>K</w:t>
      </w:r>
    </w:p>
    <w:p w14:paraId="2A17E91B">
      <w:pPr>
        <w:bidi w:val="0"/>
        <w:rPr>
          <w:rFonts w:hint="eastAsia"/>
          <w:highlight w:val="none"/>
          <w:lang w:val="en-US" w:eastAsia="zh-CN"/>
        </w:rPr>
      </w:pPr>
      <w:r>
        <w:rPr>
          <w:rFonts w:hint="eastAsia"/>
          <w:highlight w:val="none"/>
          <w:lang w:val="en-US" w:eastAsia="zh-CN"/>
        </w:rPr>
        <w:t>开办业务产品271</w:t>
      </w:r>
    </w:p>
    <w:p w14:paraId="5436D875">
      <w:pPr>
        <w:bidi w:val="0"/>
        <w:rPr>
          <w:rFonts w:hint="eastAsia"/>
          <w:highlight w:val="none"/>
          <w:lang w:val="en-US" w:eastAsia="zh-CN"/>
        </w:rPr>
      </w:pPr>
      <w:r>
        <w:rPr>
          <w:rFonts w:hint="eastAsia"/>
          <w:highlight w:val="none"/>
          <w:lang w:val="en-US" w:eastAsia="zh-CN"/>
        </w:rPr>
        <w:t>开展“春节送温暖”活动299</w:t>
      </w:r>
    </w:p>
    <w:p w14:paraId="20F86A81">
      <w:pPr>
        <w:bidi w:val="0"/>
        <w:rPr>
          <w:rFonts w:hint="eastAsia"/>
          <w:highlight w:val="none"/>
          <w:lang w:val="en-US" w:eastAsia="zh-CN"/>
        </w:rPr>
      </w:pPr>
      <w:r>
        <w:rPr>
          <w:rFonts w:hint="eastAsia"/>
          <w:highlight w:val="none"/>
          <w:lang w:val="en-US" w:eastAsia="zh-CN"/>
        </w:rPr>
        <w:t>开展扶贫助医助教工作300</w:t>
      </w:r>
    </w:p>
    <w:p w14:paraId="51582E58">
      <w:pPr>
        <w:bidi w:val="0"/>
        <w:rPr>
          <w:rFonts w:hint="eastAsia"/>
          <w:highlight w:val="none"/>
          <w:lang w:val="en-US" w:eastAsia="zh-CN"/>
        </w:rPr>
      </w:pPr>
      <w:r>
        <w:rPr>
          <w:rFonts w:hint="eastAsia"/>
          <w:highlight w:val="none"/>
          <w:lang w:val="en-US" w:eastAsia="zh-CN"/>
        </w:rPr>
        <w:t>开展《广东省社会科学普及条例》宣传133</w:t>
      </w:r>
    </w:p>
    <w:p w14:paraId="3C71579C">
      <w:pPr>
        <w:bidi w:val="0"/>
        <w:rPr>
          <w:rFonts w:hint="eastAsia"/>
          <w:highlight w:val="none"/>
          <w:lang w:val="en-US" w:eastAsia="zh-CN"/>
        </w:rPr>
      </w:pPr>
      <w:r>
        <w:rPr>
          <w:rFonts w:hint="eastAsia"/>
          <w:highlight w:val="none"/>
          <w:lang w:val="en-US" w:eastAsia="zh-CN"/>
        </w:rPr>
        <w:t>开展红十字日宣传300</w:t>
      </w:r>
    </w:p>
    <w:p w14:paraId="4751BBB8">
      <w:pPr>
        <w:bidi w:val="0"/>
        <w:rPr>
          <w:rFonts w:hint="eastAsia"/>
          <w:highlight w:val="none"/>
          <w:lang w:val="en-US" w:eastAsia="zh-CN"/>
        </w:rPr>
      </w:pPr>
      <w:r>
        <w:rPr>
          <w:rFonts w:hint="eastAsia"/>
          <w:highlight w:val="none"/>
          <w:lang w:val="en-US" w:eastAsia="zh-CN"/>
        </w:rPr>
        <w:t>开展老区革命旧（遗）址调研319</w:t>
      </w:r>
    </w:p>
    <w:p w14:paraId="4AEE96E1">
      <w:pPr>
        <w:bidi w:val="0"/>
        <w:rPr>
          <w:rFonts w:hint="eastAsia"/>
          <w:highlight w:val="none"/>
          <w:lang w:val="en-US" w:eastAsia="zh-CN"/>
        </w:rPr>
      </w:pPr>
      <w:r>
        <w:rPr>
          <w:rFonts w:hint="eastAsia"/>
          <w:highlight w:val="none"/>
          <w:lang w:val="en-US" w:eastAsia="zh-CN"/>
        </w:rPr>
        <w:t>开展“六一”送健康、送温暖活动123</w:t>
      </w:r>
    </w:p>
    <w:p w14:paraId="78905DC1">
      <w:pPr>
        <w:bidi w:val="0"/>
        <w:rPr>
          <w:rFonts w:hint="eastAsia"/>
          <w:highlight w:val="none"/>
          <w:lang w:val="en-US" w:eastAsia="zh-CN"/>
        </w:rPr>
      </w:pPr>
      <w:r>
        <w:rPr>
          <w:rFonts w:hint="eastAsia"/>
          <w:highlight w:val="none"/>
          <w:lang w:val="en-US" w:eastAsia="zh-CN"/>
        </w:rPr>
        <w:t>开展“平安家庭”创建活动123</w:t>
      </w:r>
    </w:p>
    <w:p w14:paraId="044C6381">
      <w:pPr>
        <w:bidi w:val="0"/>
        <w:rPr>
          <w:rFonts w:hint="eastAsia"/>
          <w:highlight w:val="none"/>
          <w:lang w:val="en-US" w:eastAsia="zh-CN"/>
        </w:rPr>
      </w:pPr>
      <w:r>
        <w:rPr>
          <w:rFonts w:hint="eastAsia"/>
          <w:highlight w:val="none"/>
          <w:lang w:val="en-US" w:eastAsia="zh-CN"/>
        </w:rPr>
        <w:t>开展群众体育300</w:t>
      </w:r>
    </w:p>
    <w:p w14:paraId="0DDCC515">
      <w:pPr>
        <w:bidi w:val="0"/>
        <w:rPr>
          <w:rFonts w:hint="eastAsia"/>
          <w:highlight w:val="none"/>
          <w:lang w:val="en-US" w:eastAsia="zh-CN"/>
        </w:rPr>
      </w:pPr>
      <w:r>
        <w:rPr>
          <w:rFonts w:hint="eastAsia"/>
          <w:highlight w:val="none"/>
          <w:lang w:val="en-US" w:eastAsia="zh-CN"/>
        </w:rPr>
        <w:t>开展“二严二实”教育整顿活动152</w:t>
      </w:r>
    </w:p>
    <w:p w14:paraId="39F60564">
      <w:pPr>
        <w:bidi w:val="0"/>
        <w:rPr>
          <w:rFonts w:hint="eastAsia"/>
          <w:highlight w:val="none"/>
          <w:lang w:val="en-US" w:eastAsia="zh-CN"/>
        </w:rPr>
      </w:pPr>
      <w:r>
        <w:rPr>
          <w:rFonts w:hint="eastAsia"/>
          <w:highlight w:val="none"/>
          <w:lang w:val="en-US" w:eastAsia="zh-CN"/>
        </w:rPr>
        <w:t>开展“双学双比”主题实践活动210</w:t>
      </w:r>
    </w:p>
    <w:p w14:paraId="7825FE78">
      <w:pPr>
        <w:bidi w:val="0"/>
        <w:rPr>
          <w:rFonts w:hint="eastAsia"/>
          <w:highlight w:val="none"/>
          <w:lang w:val="en-US" w:eastAsia="zh-CN"/>
        </w:rPr>
      </w:pPr>
      <w:r>
        <w:rPr>
          <w:rFonts w:hint="eastAsia"/>
          <w:highlight w:val="none"/>
          <w:lang w:val="en-US" w:eastAsia="zh-CN"/>
        </w:rPr>
        <w:t>开展危险化学品重点县安全生产工作181</w:t>
      </w:r>
    </w:p>
    <w:p w14:paraId="1A79AFA0">
      <w:pPr>
        <w:bidi w:val="0"/>
        <w:rPr>
          <w:rFonts w:hint="eastAsia"/>
          <w:highlight w:val="none"/>
          <w:lang w:val="en-US" w:eastAsia="zh-CN"/>
        </w:rPr>
      </w:pPr>
      <w:r>
        <w:rPr>
          <w:rFonts w:hint="eastAsia"/>
          <w:highlight w:val="none"/>
          <w:lang w:val="en-US" w:eastAsia="zh-CN"/>
        </w:rPr>
        <w:t>开展文化惠民活动307</w:t>
      </w:r>
    </w:p>
    <w:p w14:paraId="16704B40">
      <w:pPr>
        <w:bidi w:val="0"/>
        <w:rPr>
          <w:rFonts w:hint="eastAsia"/>
          <w:highlight w:val="none"/>
          <w:lang w:val="en-US" w:eastAsia="zh-CN"/>
        </w:rPr>
      </w:pPr>
      <w:r>
        <w:rPr>
          <w:rFonts w:hint="eastAsia"/>
          <w:highlight w:val="none"/>
          <w:lang w:val="en-US" w:eastAsia="zh-CN"/>
        </w:rPr>
        <w:t>开展专项整治行动204</w:t>
      </w:r>
    </w:p>
    <w:p w14:paraId="5332C35E">
      <w:pPr>
        <w:bidi w:val="0"/>
        <w:rPr>
          <w:rFonts w:hint="eastAsia"/>
          <w:highlight w:val="none"/>
          <w:lang w:val="en-US" w:eastAsia="zh-CN"/>
        </w:rPr>
      </w:pPr>
      <w:r>
        <w:rPr>
          <w:rFonts w:hint="eastAsia"/>
          <w:highlight w:val="none"/>
          <w:lang w:val="en-US" w:eastAsia="zh-CN"/>
        </w:rPr>
        <w:t>科技创新工作不断加强183</w:t>
      </w:r>
    </w:p>
    <w:p w14:paraId="2EF9052E">
      <w:pPr>
        <w:bidi w:val="0"/>
        <w:rPr>
          <w:rFonts w:hint="eastAsia"/>
          <w:highlight w:val="none"/>
          <w:lang w:val="en-US" w:eastAsia="zh-CN"/>
        </w:rPr>
      </w:pPr>
      <w:r>
        <w:rPr>
          <w:rFonts w:hint="eastAsia"/>
          <w:highlight w:val="none"/>
          <w:lang w:val="en-US" w:eastAsia="zh-CN"/>
        </w:rPr>
        <w:t>科技兴农196</w:t>
      </w:r>
    </w:p>
    <w:p w14:paraId="4ADFED7B">
      <w:pPr>
        <w:bidi w:val="0"/>
        <w:rPr>
          <w:rFonts w:hint="eastAsia"/>
          <w:highlight w:val="none"/>
          <w:lang w:val="en-US" w:eastAsia="zh-CN"/>
        </w:rPr>
      </w:pPr>
      <w:r>
        <w:rPr>
          <w:rFonts w:hint="eastAsia"/>
          <w:highlight w:val="none"/>
          <w:lang w:val="en-US" w:eastAsia="zh-CN"/>
        </w:rPr>
        <w:t>科技兴烟221</w:t>
      </w:r>
    </w:p>
    <w:p w14:paraId="288D0E79">
      <w:pPr>
        <w:bidi w:val="0"/>
        <w:rPr>
          <w:rFonts w:hint="eastAsia"/>
          <w:highlight w:val="none"/>
          <w:lang w:val="en-US" w:eastAsia="zh-CN"/>
        </w:rPr>
      </w:pPr>
      <w:r>
        <w:rPr>
          <w:rFonts w:hint="eastAsia"/>
          <w:highlight w:val="none"/>
          <w:lang w:val="en-US" w:eastAsia="zh-CN"/>
        </w:rPr>
        <w:t>科教文卫343</w:t>
      </w:r>
    </w:p>
    <w:p w14:paraId="2E2AA08C">
      <w:pPr>
        <w:bidi w:val="0"/>
        <w:rPr>
          <w:rFonts w:hint="eastAsia"/>
          <w:highlight w:val="none"/>
          <w:lang w:val="en-US" w:eastAsia="zh-CN"/>
        </w:rPr>
      </w:pPr>
      <w:r>
        <w:rPr>
          <w:rFonts w:hint="eastAsia"/>
          <w:highlight w:val="none"/>
          <w:lang w:val="en-US" w:eastAsia="zh-CN"/>
        </w:rPr>
        <w:t>科普惠农行动129</w:t>
      </w:r>
    </w:p>
    <w:p w14:paraId="22735E8C">
      <w:pPr>
        <w:bidi w:val="0"/>
        <w:rPr>
          <w:rFonts w:hint="eastAsia"/>
          <w:highlight w:val="none"/>
          <w:lang w:val="en-US" w:eastAsia="zh-CN"/>
        </w:rPr>
      </w:pPr>
      <w:r>
        <w:rPr>
          <w:rFonts w:hint="eastAsia"/>
          <w:highlight w:val="none"/>
          <w:lang w:val="en-US" w:eastAsia="zh-CN"/>
        </w:rPr>
        <w:t>科普活动128</w:t>
      </w:r>
    </w:p>
    <w:p w14:paraId="4F6A6AD8">
      <w:pPr>
        <w:bidi w:val="0"/>
        <w:rPr>
          <w:rFonts w:hint="eastAsia"/>
          <w:highlight w:val="none"/>
          <w:lang w:val="en-US" w:eastAsia="zh-CN"/>
        </w:rPr>
      </w:pPr>
      <w:r>
        <w:rPr>
          <w:rFonts w:hint="eastAsia"/>
          <w:highlight w:val="none"/>
          <w:lang w:val="en-US" w:eastAsia="zh-CN"/>
        </w:rPr>
        <w:t>科普进校园活动130</w:t>
      </w:r>
    </w:p>
    <w:p w14:paraId="7AEE0BDA">
      <w:pPr>
        <w:bidi w:val="0"/>
        <w:rPr>
          <w:rFonts w:hint="eastAsia"/>
          <w:highlight w:val="none"/>
          <w:lang w:val="en-US" w:eastAsia="zh-CN"/>
        </w:rPr>
      </w:pPr>
      <w:r>
        <w:rPr>
          <w:rFonts w:hint="eastAsia"/>
          <w:highlight w:val="none"/>
          <w:lang w:val="en-US" w:eastAsia="zh-CN"/>
        </w:rPr>
        <w:t>科普宣传128</w:t>
      </w:r>
    </w:p>
    <w:p w14:paraId="3D5A75E9">
      <w:pPr>
        <w:bidi w:val="0"/>
        <w:rPr>
          <w:rFonts w:hint="eastAsia"/>
          <w:highlight w:val="none"/>
          <w:lang w:val="en-US" w:eastAsia="zh-CN"/>
        </w:rPr>
      </w:pPr>
      <w:r>
        <w:rPr>
          <w:rFonts w:hint="eastAsia"/>
          <w:highlight w:val="none"/>
          <w:lang w:val="en-US" w:eastAsia="zh-CN"/>
        </w:rPr>
        <w:t>科学协会127</w:t>
      </w:r>
    </w:p>
    <w:p w14:paraId="0C32E0D2">
      <w:pPr>
        <w:bidi w:val="0"/>
        <w:rPr>
          <w:rFonts w:hint="eastAsia"/>
          <w:highlight w:val="none"/>
          <w:lang w:val="en-US" w:eastAsia="zh-CN"/>
        </w:rPr>
      </w:pPr>
      <w:r>
        <w:rPr>
          <w:rFonts w:hint="eastAsia"/>
          <w:highlight w:val="none"/>
          <w:lang w:val="en-US" w:eastAsia="zh-CN"/>
        </w:rPr>
        <w:t>科研成果288</w:t>
      </w:r>
    </w:p>
    <w:p w14:paraId="6239AD53">
      <w:pPr>
        <w:bidi w:val="0"/>
        <w:rPr>
          <w:rFonts w:hint="eastAsia"/>
          <w:highlight w:val="none"/>
          <w:lang w:val="en-US" w:eastAsia="zh-CN"/>
        </w:rPr>
      </w:pPr>
      <w:r>
        <w:rPr>
          <w:rFonts w:hint="eastAsia"/>
          <w:highlight w:val="none"/>
          <w:lang w:val="en-US" w:eastAsia="zh-CN"/>
        </w:rPr>
        <w:t>科研工作63</w:t>
      </w:r>
    </w:p>
    <w:p w14:paraId="65947D71">
      <w:pPr>
        <w:bidi w:val="0"/>
        <w:rPr>
          <w:rFonts w:hint="eastAsia"/>
          <w:highlight w:val="none"/>
          <w:lang w:val="en-US" w:eastAsia="zh-CN"/>
        </w:rPr>
      </w:pPr>
      <w:r>
        <w:rPr>
          <w:rFonts w:hint="eastAsia"/>
          <w:highlight w:val="none"/>
          <w:lang w:val="en-US" w:eastAsia="zh-CN"/>
        </w:rPr>
        <w:t>科研监测206</w:t>
      </w:r>
    </w:p>
    <w:p w14:paraId="3D86F950">
      <w:pPr>
        <w:bidi w:val="0"/>
        <w:rPr>
          <w:rFonts w:hint="eastAsia"/>
          <w:highlight w:val="none"/>
          <w:lang w:val="en-US" w:eastAsia="zh-CN"/>
        </w:rPr>
      </w:pPr>
      <w:r>
        <w:rPr>
          <w:rFonts w:hint="eastAsia"/>
          <w:highlight w:val="none"/>
          <w:lang w:val="en-US" w:eastAsia="zh-CN"/>
        </w:rPr>
        <w:t>科研项目209</w:t>
      </w:r>
    </w:p>
    <w:p w14:paraId="0EFCB70D">
      <w:pPr>
        <w:bidi w:val="0"/>
        <w:rPr>
          <w:rFonts w:hint="eastAsia"/>
          <w:highlight w:val="none"/>
          <w:lang w:val="en-US" w:eastAsia="zh-CN"/>
        </w:rPr>
      </w:pPr>
      <w:r>
        <w:rPr>
          <w:rFonts w:hint="eastAsia"/>
          <w:highlight w:val="none"/>
          <w:lang w:val="en-US" w:eastAsia="zh-CN"/>
        </w:rPr>
        <w:t>孔江国家湿地公园206</w:t>
      </w:r>
    </w:p>
    <w:p w14:paraId="12009CE4">
      <w:pPr>
        <w:bidi w:val="0"/>
        <w:rPr>
          <w:rFonts w:hint="eastAsia"/>
          <w:highlight w:val="none"/>
          <w:lang w:val="en-US" w:eastAsia="zh-CN"/>
        </w:rPr>
      </w:pPr>
      <w:r>
        <w:rPr>
          <w:rFonts w:hint="eastAsia"/>
          <w:highlight w:val="none"/>
          <w:lang w:val="en-US" w:eastAsia="zh-CN"/>
        </w:rPr>
        <w:t>恐龙化石群省级自然保护区209</w:t>
      </w:r>
    </w:p>
    <w:p w14:paraId="571A8F83">
      <w:pPr>
        <w:bidi w:val="0"/>
        <w:rPr>
          <w:rFonts w:hint="eastAsia"/>
          <w:highlight w:val="none"/>
          <w:lang w:val="en-US" w:eastAsia="zh-CN"/>
        </w:rPr>
      </w:pPr>
      <w:r>
        <w:rPr>
          <w:rFonts w:hint="eastAsia"/>
          <w:highlight w:val="none"/>
          <w:lang w:val="en-US" w:eastAsia="zh-CN"/>
        </w:rPr>
        <w:t>恐龙足迹化石新发现211</w:t>
      </w:r>
    </w:p>
    <w:p w14:paraId="41A8197B">
      <w:pPr>
        <w:bidi w:val="0"/>
        <w:rPr>
          <w:rFonts w:hint="eastAsia"/>
          <w:highlight w:val="none"/>
          <w:lang w:val="en-US" w:eastAsia="zh-CN"/>
        </w:rPr>
      </w:pPr>
      <w:r>
        <w:rPr>
          <w:rFonts w:hint="eastAsia"/>
          <w:highlight w:val="none"/>
          <w:lang w:val="en-US" w:eastAsia="zh-CN"/>
        </w:rPr>
        <w:t>控告申诉检察141</w:t>
      </w:r>
    </w:p>
    <w:p w14:paraId="2EC7F754">
      <w:pPr>
        <w:bidi w:val="0"/>
        <w:rPr>
          <w:rFonts w:hint="eastAsia"/>
          <w:highlight w:val="none"/>
          <w:lang w:val="en-US" w:eastAsia="zh-CN"/>
        </w:rPr>
      </w:pPr>
      <w:r>
        <w:rPr>
          <w:rFonts w:hint="eastAsia"/>
          <w:highlight w:val="none"/>
          <w:lang w:val="en-US" w:eastAsia="zh-CN"/>
        </w:rPr>
        <w:t>矿政管理和地灾防治175</w:t>
      </w:r>
    </w:p>
    <w:p w14:paraId="602D3323">
      <w:pPr>
        <w:bidi w:val="0"/>
        <w:rPr>
          <w:rFonts w:hint="eastAsia"/>
          <w:highlight w:val="none"/>
          <w:lang w:val="en-US" w:eastAsia="zh-CN"/>
        </w:rPr>
      </w:pPr>
      <w:r>
        <w:rPr>
          <w:rFonts w:hint="eastAsia"/>
          <w:highlight w:val="none"/>
          <w:lang w:val="en-US" w:eastAsia="zh-CN"/>
        </w:rPr>
        <w:t>扩园区域基础设施建设187</w:t>
      </w:r>
    </w:p>
    <w:p w14:paraId="566910AA">
      <w:pPr>
        <w:pStyle w:val="4"/>
        <w:bidi w:val="0"/>
        <w:rPr>
          <w:rFonts w:hint="eastAsia"/>
          <w:highlight w:val="none"/>
          <w:lang w:val="en-US" w:eastAsia="zh-CN"/>
        </w:rPr>
      </w:pPr>
      <w:r>
        <w:rPr>
          <w:rFonts w:hint="eastAsia"/>
          <w:highlight w:val="none"/>
          <w:lang w:val="en-US" w:eastAsia="zh-CN"/>
        </w:rPr>
        <w:t>L</w:t>
      </w:r>
    </w:p>
    <w:p w14:paraId="4CD0999B">
      <w:pPr>
        <w:bidi w:val="0"/>
        <w:rPr>
          <w:rFonts w:hint="eastAsia"/>
          <w:highlight w:val="none"/>
          <w:lang w:val="en-US" w:eastAsia="zh-CN"/>
        </w:rPr>
      </w:pPr>
      <w:r>
        <w:rPr>
          <w:rFonts w:hint="eastAsia"/>
          <w:highlight w:val="none"/>
          <w:lang w:val="en-US" w:eastAsia="zh-CN"/>
        </w:rPr>
        <w:t>栏目设置311</w:t>
      </w:r>
    </w:p>
    <w:p w14:paraId="28BE2709">
      <w:pPr>
        <w:bidi w:val="0"/>
        <w:rPr>
          <w:rFonts w:hint="eastAsia"/>
          <w:highlight w:val="none"/>
          <w:lang w:val="en-US" w:eastAsia="zh-CN"/>
        </w:rPr>
      </w:pPr>
      <w:r>
        <w:rPr>
          <w:rFonts w:hint="eastAsia"/>
          <w:highlight w:val="none"/>
          <w:lang w:val="en-US" w:eastAsia="zh-CN"/>
        </w:rPr>
        <w:t>澜河镇337</w:t>
      </w:r>
    </w:p>
    <w:p w14:paraId="00644BE7">
      <w:pPr>
        <w:bidi w:val="0"/>
        <w:rPr>
          <w:rFonts w:hint="eastAsia"/>
          <w:highlight w:val="none"/>
          <w:lang w:val="en-US" w:eastAsia="zh-CN"/>
        </w:rPr>
      </w:pPr>
      <w:r>
        <w:rPr>
          <w:rFonts w:hint="eastAsia"/>
          <w:highlight w:val="none"/>
          <w:lang w:val="en-US" w:eastAsia="zh-CN"/>
        </w:rPr>
        <w:t>劳动关系规范管理312</w:t>
      </w:r>
    </w:p>
    <w:p w14:paraId="70138750">
      <w:pPr>
        <w:bidi w:val="0"/>
        <w:rPr>
          <w:rFonts w:hint="eastAsia"/>
          <w:highlight w:val="none"/>
          <w:lang w:val="en-US" w:eastAsia="zh-CN"/>
        </w:rPr>
      </w:pPr>
      <w:r>
        <w:rPr>
          <w:rFonts w:hint="eastAsia"/>
          <w:highlight w:val="none"/>
          <w:lang w:val="en-US" w:eastAsia="zh-CN"/>
        </w:rPr>
        <w:t>劳动监察312</w:t>
      </w:r>
    </w:p>
    <w:p w14:paraId="3C754A63">
      <w:pPr>
        <w:bidi w:val="0"/>
        <w:rPr>
          <w:rFonts w:hint="eastAsia"/>
          <w:highlight w:val="none"/>
          <w:lang w:val="en-US" w:eastAsia="zh-CN"/>
        </w:rPr>
      </w:pPr>
      <w:r>
        <w:rPr>
          <w:rFonts w:hint="eastAsia"/>
          <w:highlight w:val="none"/>
          <w:lang w:val="en-US" w:eastAsia="zh-CN"/>
        </w:rPr>
        <w:t>劳动力技能晋升培训311</w:t>
      </w:r>
    </w:p>
    <w:p w14:paraId="59C8E587">
      <w:pPr>
        <w:bidi w:val="0"/>
        <w:rPr>
          <w:rFonts w:hint="eastAsia"/>
          <w:highlight w:val="none"/>
          <w:lang w:val="en-US" w:eastAsia="zh-CN"/>
        </w:rPr>
      </w:pPr>
      <w:r>
        <w:rPr>
          <w:rFonts w:hint="eastAsia"/>
          <w:highlight w:val="none"/>
          <w:lang w:val="en-US" w:eastAsia="zh-CN"/>
        </w:rPr>
        <w:t>劳动信访312</w:t>
      </w:r>
    </w:p>
    <w:p w14:paraId="576EA1E9">
      <w:pPr>
        <w:bidi w:val="0"/>
        <w:rPr>
          <w:rFonts w:hint="eastAsia"/>
          <w:highlight w:val="none"/>
          <w:lang w:val="en-US" w:eastAsia="zh-CN"/>
        </w:rPr>
      </w:pPr>
      <w:r>
        <w:rPr>
          <w:rFonts w:hint="eastAsia"/>
          <w:highlight w:val="none"/>
          <w:lang w:val="en-US" w:eastAsia="zh-CN"/>
        </w:rPr>
        <w:t>劳动与社会保障341</w:t>
      </w:r>
    </w:p>
    <w:p w14:paraId="283F9050">
      <w:pPr>
        <w:bidi w:val="0"/>
        <w:rPr>
          <w:rFonts w:hint="eastAsia"/>
          <w:highlight w:val="none"/>
          <w:lang w:val="en-US" w:eastAsia="zh-CN"/>
        </w:rPr>
      </w:pPr>
      <w:r>
        <w:rPr>
          <w:rFonts w:hint="eastAsia"/>
          <w:highlight w:val="none"/>
          <w:lang w:val="en-US" w:eastAsia="zh-CN"/>
        </w:rPr>
        <w:t>劳动争议处理312</w:t>
      </w:r>
    </w:p>
    <w:p w14:paraId="1F753B9D">
      <w:pPr>
        <w:bidi w:val="0"/>
        <w:rPr>
          <w:rFonts w:hint="eastAsia"/>
          <w:highlight w:val="none"/>
          <w:lang w:val="en-US" w:eastAsia="zh-CN"/>
        </w:rPr>
      </w:pPr>
      <w:r>
        <w:rPr>
          <w:rFonts w:hint="eastAsia"/>
          <w:highlight w:val="none"/>
          <w:lang w:val="en-US" w:eastAsia="zh-CN"/>
        </w:rPr>
        <w:t>劳模评选工作117</w:t>
      </w:r>
    </w:p>
    <w:p w14:paraId="6CF72AAA">
      <w:pPr>
        <w:bidi w:val="0"/>
        <w:rPr>
          <w:rFonts w:hint="eastAsia"/>
          <w:highlight w:val="none"/>
          <w:lang w:val="en-US" w:eastAsia="zh-CN"/>
        </w:rPr>
      </w:pPr>
      <w:r>
        <w:rPr>
          <w:rFonts w:hint="eastAsia"/>
          <w:highlight w:val="none"/>
          <w:lang w:val="en-US" w:eastAsia="zh-CN"/>
        </w:rPr>
        <w:t>老干部生活待遇57</w:t>
      </w:r>
    </w:p>
    <w:p w14:paraId="48454072">
      <w:pPr>
        <w:bidi w:val="0"/>
        <w:rPr>
          <w:rFonts w:hint="eastAsia"/>
          <w:highlight w:val="none"/>
          <w:lang w:val="en-US" w:eastAsia="zh-CN"/>
        </w:rPr>
      </w:pPr>
      <w:r>
        <w:rPr>
          <w:rFonts w:hint="eastAsia"/>
          <w:highlight w:val="none"/>
          <w:lang w:val="en-US" w:eastAsia="zh-CN"/>
        </w:rPr>
        <w:t>老干部政治待遇57</w:t>
      </w:r>
    </w:p>
    <w:p w14:paraId="0D400A4D">
      <w:pPr>
        <w:bidi w:val="0"/>
        <w:rPr>
          <w:rFonts w:hint="eastAsia"/>
          <w:highlight w:val="none"/>
          <w:lang w:val="en-US" w:eastAsia="zh-CN"/>
        </w:rPr>
      </w:pPr>
      <w:r>
        <w:rPr>
          <w:rFonts w:hint="eastAsia"/>
          <w:highlight w:val="none"/>
          <w:lang w:val="en-US" w:eastAsia="zh-CN"/>
        </w:rPr>
        <w:t>老干工作57</w:t>
      </w:r>
    </w:p>
    <w:p w14:paraId="7F876A75">
      <w:pPr>
        <w:bidi w:val="0"/>
        <w:rPr>
          <w:rFonts w:hint="eastAsia"/>
          <w:highlight w:val="none"/>
          <w:lang w:val="en-US" w:eastAsia="zh-CN"/>
        </w:rPr>
      </w:pPr>
      <w:r>
        <w:rPr>
          <w:rFonts w:hint="eastAsia"/>
          <w:highlight w:val="none"/>
          <w:lang w:val="en-US" w:eastAsia="zh-CN"/>
        </w:rPr>
        <w:t>老区建设促进会317</w:t>
      </w:r>
    </w:p>
    <w:p w14:paraId="78FE02CA">
      <w:pPr>
        <w:bidi w:val="0"/>
        <w:rPr>
          <w:rFonts w:hint="eastAsia"/>
          <w:highlight w:val="none"/>
          <w:lang w:val="en-US" w:eastAsia="zh-CN"/>
        </w:rPr>
      </w:pPr>
      <w:r>
        <w:rPr>
          <w:rFonts w:hint="eastAsia"/>
          <w:highlight w:val="none"/>
          <w:lang w:val="en-US" w:eastAsia="zh-CN"/>
        </w:rPr>
        <w:t>离休干部医药费管理57</w:t>
      </w:r>
    </w:p>
    <w:p w14:paraId="0BAA3F09">
      <w:pPr>
        <w:bidi w:val="0"/>
        <w:rPr>
          <w:rFonts w:hint="eastAsia"/>
          <w:highlight w:val="none"/>
          <w:lang w:val="en-US" w:eastAsia="zh-CN"/>
        </w:rPr>
      </w:pPr>
      <w:r>
        <w:rPr>
          <w:rFonts w:hint="eastAsia"/>
          <w:highlight w:val="none"/>
          <w:lang w:val="en-US" w:eastAsia="zh-CN"/>
        </w:rPr>
        <w:t>犁牛坪风电场项目160</w:t>
      </w:r>
    </w:p>
    <w:p w14:paraId="0B78E108">
      <w:pPr>
        <w:bidi w:val="0"/>
        <w:rPr>
          <w:rFonts w:hint="eastAsia"/>
          <w:highlight w:val="none"/>
          <w:lang w:val="en-US" w:eastAsia="zh-CN"/>
        </w:rPr>
      </w:pPr>
      <w:r>
        <w:rPr>
          <w:rFonts w:hint="eastAsia"/>
          <w:highlight w:val="none"/>
          <w:lang w:val="en-US" w:eastAsia="zh-CN"/>
        </w:rPr>
        <w:t>理论工作51</w:t>
      </w:r>
    </w:p>
    <w:p w14:paraId="5473F6DA">
      <w:pPr>
        <w:bidi w:val="0"/>
        <w:rPr>
          <w:rFonts w:hint="eastAsia"/>
          <w:highlight w:val="none"/>
          <w:lang w:val="en-US" w:eastAsia="zh-CN"/>
        </w:rPr>
      </w:pPr>
      <w:r>
        <w:rPr>
          <w:rFonts w:hint="eastAsia"/>
          <w:highlight w:val="none"/>
          <w:lang w:val="en-US" w:eastAsia="zh-CN"/>
        </w:rPr>
        <w:t>力促原中央苏区优惠政策尽快落实318</w:t>
      </w:r>
    </w:p>
    <w:p w14:paraId="3F36C8BC">
      <w:pPr>
        <w:bidi w:val="0"/>
        <w:rPr>
          <w:rFonts w:hint="eastAsia"/>
          <w:highlight w:val="none"/>
          <w:lang w:val="en-US" w:eastAsia="zh-CN"/>
        </w:rPr>
      </w:pPr>
      <w:r>
        <w:rPr>
          <w:rFonts w:hint="eastAsia"/>
          <w:highlight w:val="none"/>
          <w:lang w:val="en-US" w:eastAsia="zh-CN"/>
        </w:rPr>
        <w:t>历史•地理•人文34</w:t>
      </w:r>
    </w:p>
    <w:p w14:paraId="766550D6">
      <w:pPr>
        <w:bidi w:val="0"/>
        <w:rPr>
          <w:rFonts w:hint="eastAsia"/>
          <w:highlight w:val="none"/>
          <w:lang w:val="en-US" w:eastAsia="zh-CN"/>
        </w:rPr>
      </w:pPr>
      <w:r>
        <w:rPr>
          <w:rFonts w:hint="eastAsia"/>
          <w:highlight w:val="none"/>
          <w:lang w:val="en-US" w:eastAsia="zh-CN"/>
        </w:rPr>
        <w:t>历史沿革330</w:t>
      </w:r>
    </w:p>
    <w:p w14:paraId="3F2F1F8E">
      <w:pPr>
        <w:bidi w:val="0"/>
        <w:rPr>
          <w:rFonts w:hint="eastAsia"/>
          <w:highlight w:val="none"/>
          <w:lang w:val="en-US" w:eastAsia="zh-CN"/>
        </w:rPr>
      </w:pPr>
      <w:r>
        <w:rPr>
          <w:rFonts w:hint="eastAsia"/>
          <w:highlight w:val="none"/>
          <w:lang w:val="en-US" w:eastAsia="zh-CN"/>
        </w:rPr>
        <w:t>立案信访144</w:t>
      </w:r>
    </w:p>
    <w:p w14:paraId="6E51DEAC">
      <w:pPr>
        <w:bidi w:val="0"/>
        <w:rPr>
          <w:rFonts w:hint="eastAsia"/>
          <w:highlight w:val="none"/>
          <w:lang w:val="en-US" w:eastAsia="zh-CN"/>
        </w:rPr>
      </w:pPr>
      <w:r>
        <w:rPr>
          <w:rFonts w:hint="eastAsia"/>
          <w:highlight w:val="none"/>
          <w:lang w:val="en-US" w:eastAsia="zh-CN"/>
        </w:rPr>
        <w:t>联通通信233</w:t>
      </w:r>
    </w:p>
    <w:p w14:paraId="220900D7">
      <w:pPr>
        <w:bidi w:val="0"/>
        <w:rPr>
          <w:rFonts w:hint="eastAsia"/>
          <w:highlight w:val="none"/>
          <w:lang w:val="en-US" w:eastAsia="zh-CN"/>
        </w:rPr>
      </w:pPr>
      <w:r>
        <w:rPr>
          <w:rFonts w:hint="eastAsia"/>
          <w:highlight w:val="none"/>
          <w:lang w:val="en-US" w:eastAsia="zh-CN"/>
        </w:rPr>
        <w:t>廉政工作332</w:t>
      </w:r>
    </w:p>
    <w:p w14:paraId="5BDDB3F0">
      <w:pPr>
        <w:bidi w:val="0"/>
        <w:rPr>
          <w:rFonts w:hint="eastAsia"/>
          <w:highlight w:val="none"/>
          <w:lang w:val="en-US" w:eastAsia="zh-CN"/>
        </w:rPr>
      </w:pPr>
      <w:r>
        <w:rPr>
          <w:rFonts w:hint="eastAsia"/>
          <w:highlight w:val="none"/>
          <w:lang w:val="en-US" w:eastAsia="zh-CN"/>
        </w:rPr>
        <w:t>廉政建设257 262</w:t>
      </w:r>
    </w:p>
    <w:p w14:paraId="683E25A3">
      <w:pPr>
        <w:bidi w:val="0"/>
        <w:rPr>
          <w:rFonts w:hint="eastAsia"/>
          <w:highlight w:val="none"/>
          <w:lang w:val="en-US" w:eastAsia="zh-CN"/>
        </w:rPr>
      </w:pPr>
      <w:r>
        <w:rPr>
          <w:rFonts w:hint="eastAsia"/>
          <w:highlight w:val="none"/>
          <w:lang w:val="en-US" w:eastAsia="zh-CN"/>
        </w:rPr>
        <w:t>廉政教育314</w:t>
      </w:r>
    </w:p>
    <w:p w14:paraId="026E7D67">
      <w:pPr>
        <w:bidi w:val="0"/>
        <w:rPr>
          <w:rFonts w:hint="eastAsia"/>
          <w:highlight w:val="none"/>
          <w:lang w:val="en-US" w:eastAsia="zh-CN"/>
        </w:rPr>
      </w:pPr>
      <w:r>
        <w:rPr>
          <w:rFonts w:hint="eastAsia"/>
          <w:highlight w:val="none"/>
          <w:lang w:val="en-US" w:eastAsia="zh-CN"/>
        </w:rPr>
        <w:t>粮食250</w:t>
      </w:r>
    </w:p>
    <w:p w14:paraId="30114960">
      <w:pPr>
        <w:bidi w:val="0"/>
        <w:rPr>
          <w:rFonts w:hint="eastAsia"/>
          <w:highlight w:val="none"/>
          <w:lang w:val="en-US" w:eastAsia="zh-CN"/>
        </w:rPr>
      </w:pPr>
      <w:r>
        <w:rPr>
          <w:rFonts w:hint="eastAsia"/>
          <w:highlight w:val="none"/>
          <w:lang w:val="en-US" w:eastAsia="zh-CN"/>
        </w:rPr>
        <w:t>粮食产销合作251</w:t>
      </w:r>
    </w:p>
    <w:p w14:paraId="57D248E2">
      <w:pPr>
        <w:bidi w:val="0"/>
        <w:rPr>
          <w:rFonts w:hint="eastAsia"/>
          <w:highlight w:val="none"/>
          <w:lang w:val="en-US" w:eastAsia="zh-CN"/>
        </w:rPr>
      </w:pPr>
      <w:r>
        <w:rPr>
          <w:rFonts w:hint="eastAsia"/>
          <w:highlight w:val="none"/>
          <w:lang w:val="en-US" w:eastAsia="zh-CN"/>
        </w:rPr>
        <w:t>粮食监督检查251</w:t>
      </w:r>
    </w:p>
    <w:p w14:paraId="403A6500">
      <w:pPr>
        <w:bidi w:val="0"/>
        <w:rPr>
          <w:rFonts w:hint="eastAsia"/>
          <w:highlight w:val="none"/>
          <w:lang w:val="en-US" w:eastAsia="zh-CN"/>
        </w:rPr>
      </w:pPr>
      <w:r>
        <w:rPr>
          <w:rFonts w:hint="eastAsia"/>
          <w:highlight w:val="none"/>
          <w:lang w:val="en-US" w:eastAsia="zh-CN"/>
        </w:rPr>
        <w:t>粮油仓储250</w:t>
      </w:r>
    </w:p>
    <w:p w14:paraId="62099AF8">
      <w:pPr>
        <w:bidi w:val="0"/>
        <w:rPr>
          <w:rFonts w:hint="eastAsia"/>
          <w:highlight w:val="none"/>
          <w:lang w:val="en-US" w:eastAsia="zh-CN"/>
        </w:rPr>
      </w:pPr>
      <w:r>
        <w:rPr>
          <w:rFonts w:hint="eastAsia"/>
          <w:highlight w:val="none"/>
          <w:lang w:val="en-US" w:eastAsia="zh-CN"/>
        </w:rPr>
        <w:t>粮油加工251</w:t>
      </w:r>
    </w:p>
    <w:p w14:paraId="77A376C0">
      <w:pPr>
        <w:bidi w:val="0"/>
        <w:rPr>
          <w:rFonts w:hint="eastAsia"/>
          <w:highlight w:val="none"/>
          <w:lang w:val="en-US" w:eastAsia="zh-CN"/>
        </w:rPr>
      </w:pPr>
      <w:r>
        <w:rPr>
          <w:rFonts w:hint="eastAsia"/>
          <w:highlight w:val="none"/>
          <w:lang w:val="en-US" w:eastAsia="zh-CN"/>
        </w:rPr>
        <w:t>“两违”查处242</w:t>
      </w:r>
    </w:p>
    <w:p w14:paraId="24E19A98">
      <w:pPr>
        <w:bidi w:val="0"/>
        <w:rPr>
          <w:rFonts w:hint="eastAsia"/>
          <w:highlight w:val="none"/>
          <w:lang w:val="en-US" w:eastAsia="zh-CN"/>
        </w:rPr>
      </w:pPr>
      <w:r>
        <w:rPr>
          <w:rFonts w:hint="eastAsia"/>
          <w:highlight w:val="none"/>
          <w:lang w:val="en-US" w:eastAsia="zh-CN"/>
        </w:rPr>
        <w:t>亮点工程238</w:t>
      </w:r>
    </w:p>
    <w:p w14:paraId="3FEADE0E">
      <w:pPr>
        <w:bidi w:val="0"/>
        <w:rPr>
          <w:rFonts w:hint="eastAsia"/>
          <w:highlight w:val="none"/>
          <w:lang w:val="en-US" w:eastAsia="zh-CN"/>
        </w:rPr>
      </w:pPr>
      <w:r>
        <w:rPr>
          <w:rFonts w:hint="eastAsia"/>
          <w:highlight w:val="none"/>
          <w:lang w:val="en-US" w:eastAsia="zh-CN"/>
        </w:rPr>
        <w:t>林科所203</w:t>
      </w:r>
    </w:p>
    <w:p w14:paraId="370EFCAC">
      <w:pPr>
        <w:bidi w:val="0"/>
        <w:rPr>
          <w:rFonts w:hint="eastAsia"/>
          <w:highlight w:val="none"/>
          <w:lang w:val="en-US" w:eastAsia="zh-CN"/>
        </w:rPr>
      </w:pPr>
      <w:r>
        <w:rPr>
          <w:rFonts w:hint="eastAsia"/>
          <w:highlight w:val="none"/>
          <w:lang w:val="en-US" w:eastAsia="zh-CN"/>
        </w:rPr>
        <w:t>林业202</w:t>
      </w:r>
    </w:p>
    <w:p w14:paraId="7CED0419">
      <w:pPr>
        <w:bidi w:val="0"/>
        <w:rPr>
          <w:rFonts w:hint="eastAsia"/>
          <w:highlight w:val="none"/>
          <w:lang w:val="en-US" w:eastAsia="zh-CN"/>
        </w:rPr>
      </w:pPr>
      <w:r>
        <w:rPr>
          <w:rFonts w:hint="eastAsia"/>
          <w:highlight w:val="none"/>
          <w:lang w:val="en-US" w:eastAsia="zh-CN"/>
        </w:rPr>
        <w:t>林业方面205</w:t>
      </w:r>
    </w:p>
    <w:p w14:paraId="73328BF8">
      <w:pPr>
        <w:bidi w:val="0"/>
        <w:rPr>
          <w:rFonts w:hint="eastAsia"/>
          <w:highlight w:val="none"/>
          <w:lang w:val="en-US" w:eastAsia="zh-CN"/>
        </w:rPr>
      </w:pPr>
      <w:r>
        <w:rPr>
          <w:rFonts w:hint="eastAsia"/>
          <w:highlight w:val="none"/>
          <w:lang w:val="en-US" w:eastAsia="zh-CN"/>
        </w:rPr>
        <w:t>林业工作328 331 338 354</w:t>
      </w:r>
    </w:p>
    <w:p w14:paraId="5A9DC1FC">
      <w:pPr>
        <w:bidi w:val="0"/>
        <w:rPr>
          <w:rFonts w:hint="eastAsia"/>
          <w:highlight w:val="none"/>
          <w:lang w:val="en-US" w:eastAsia="zh-CN"/>
        </w:rPr>
      </w:pPr>
      <w:r>
        <w:rPr>
          <w:rFonts w:hint="eastAsia"/>
          <w:highlight w:val="none"/>
          <w:lang w:val="en-US" w:eastAsia="zh-CN"/>
        </w:rPr>
        <w:t>林业建设335</w:t>
      </w:r>
    </w:p>
    <w:p w14:paraId="04C1017E">
      <w:pPr>
        <w:bidi w:val="0"/>
        <w:rPr>
          <w:rFonts w:hint="eastAsia"/>
          <w:highlight w:val="none"/>
          <w:lang w:val="en-US" w:eastAsia="zh-CN"/>
        </w:rPr>
      </w:pPr>
      <w:r>
        <w:rPr>
          <w:rFonts w:hint="eastAsia"/>
          <w:highlight w:val="none"/>
          <w:lang w:val="en-US" w:eastAsia="zh-CN"/>
        </w:rPr>
        <w:t>林业经济发展363</w:t>
      </w:r>
    </w:p>
    <w:p w14:paraId="19C5BF62">
      <w:pPr>
        <w:bidi w:val="0"/>
        <w:rPr>
          <w:rFonts w:hint="eastAsia"/>
          <w:highlight w:val="none"/>
          <w:lang w:val="en-US" w:eastAsia="zh-CN"/>
        </w:rPr>
      </w:pPr>
      <w:r>
        <w:rPr>
          <w:rFonts w:hint="eastAsia"/>
          <w:highlight w:val="none"/>
          <w:lang w:val="en-US" w:eastAsia="zh-CN"/>
        </w:rPr>
        <w:t>林业情况350</w:t>
      </w:r>
    </w:p>
    <w:p w14:paraId="73787037">
      <w:pPr>
        <w:bidi w:val="0"/>
        <w:rPr>
          <w:rFonts w:hint="eastAsia"/>
          <w:highlight w:val="none"/>
          <w:lang w:val="en-US" w:eastAsia="zh-CN"/>
        </w:rPr>
      </w:pPr>
      <w:r>
        <w:rPr>
          <w:rFonts w:hint="eastAsia"/>
          <w:highlight w:val="none"/>
          <w:lang w:val="en-US" w:eastAsia="zh-CN"/>
        </w:rPr>
        <w:t>林业生产368</w:t>
      </w:r>
    </w:p>
    <w:p w14:paraId="27153E08">
      <w:pPr>
        <w:bidi w:val="0"/>
        <w:rPr>
          <w:rFonts w:hint="eastAsia"/>
          <w:highlight w:val="none"/>
          <w:lang w:val="en-US" w:eastAsia="zh-CN"/>
        </w:rPr>
      </w:pPr>
      <w:r>
        <w:rPr>
          <w:rFonts w:hint="eastAsia"/>
          <w:highlight w:val="none"/>
          <w:lang w:val="en-US" w:eastAsia="zh-CN"/>
        </w:rPr>
        <w:t>林业生态发展361</w:t>
      </w:r>
    </w:p>
    <w:p w14:paraId="7642B850">
      <w:pPr>
        <w:bidi w:val="0"/>
        <w:rPr>
          <w:rFonts w:hint="eastAsia"/>
          <w:highlight w:val="none"/>
          <w:lang w:val="en-US" w:eastAsia="zh-CN"/>
        </w:rPr>
      </w:pPr>
      <w:r>
        <w:rPr>
          <w:rFonts w:hint="eastAsia"/>
          <w:highlight w:val="none"/>
          <w:lang w:val="en-US" w:eastAsia="zh-CN"/>
        </w:rPr>
        <w:t>林政管理203</w:t>
      </w:r>
    </w:p>
    <w:p w14:paraId="4B67B777">
      <w:pPr>
        <w:bidi w:val="0"/>
        <w:rPr>
          <w:rFonts w:hint="eastAsia"/>
          <w:highlight w:val="none"/>
          <w:lang w:val="en-US" w:eastAsia="zh-CN"/>
        </w:rPr>
      </w:pPr>
      <w:r>
        <w:rPr>
          <w:rFonts w:hint="eastAsia"/>
          <w:highlight w:val="none"/>
          <w:lang w:val="en-US" w:eastAsia="zh-CN"/>
        </w:rPr>
        <w:t>领导干部任前廉政谈话107</w:t>
      </w:r>
    </w:p>
    <w:p w14:paraId="7461E245">
      <w:pPr>
        <w:bidi w:val="0"/>
        <w:rPr>
          <w:rFonts w:hint="eastAsia"/>
          <w:highlight w:val="none"/>
          <w:lang w:val="en-US" w:eastAsia="zh-CN"/>
        </w:rPr>
      </w:pPr>
      <w:r>
        <w:rPr>
          <w:rFonts w:hint="eastAsia"/>
          <w:highlight w:val="none"/>
          <w:lang w:val="en-US" w:eastAsia="zh-CN"/>
        </w:rPr>
        <w:t>领导干部驻点直接联系群众活动321</w:t>
      </w:r>
    </w:p>
    <w:p w14:paraId="246A7DED">
      <w:pPr>
        <w:bidi w:val="0"/>
        <w:rPr>
          <w:rFonts w:hint="eastAsia"/>
          <w:highlight w:val="none"/>
          <w:lang w:val="en-US" w:eastAsia="zh-CN"/>
        </w:rPr>
      </w:pPr>
      <w:r>
        <w:rPr>
          <w:rFonts w:hint="eastAsia"/>
          <w:highlight w:val="none"/>
          <w:lang w:val="en-US" w:eastAsia="zh-CN"/>
        </w:rPr>
        <w:t>流动书香车进社区进乡镇进校园306</w:t>
      </w:r>
    </w:p>
    <w:p w14:paraId="3FF04F58">
      <w:pPr>
        <w:bidi w:val="0"/>
        <w:rPr>
          <w:rFonts w:hint="eastAsia"/>
          <w:highlight w:val="none"/>
          <w:lang w:val="en-US" w:eastAsia="zh-CN"/>
        </w:rPr>
      </w:pPr>
      <w:r>
        <w:rPr>
          <w:rFonts w:hint="eastAsia"/>
          <w:highlight w:val="none"/>
          <w:lang w:val="en-US" w:eastAsia="zh-CN"/>
        </w:rPr>
        <w:t>路政管理225 226</w:t>
      </w:r>
    </w:p>
    <w:p w14:paraId="23536FEE">
      <w:pPr>
        <w:bidi w:val="0"/>
        <w:rPr>
          <w:rFonts w:hint="eastAsia"/>
          <w:highlight w:val="none"/>
          <w:lang w:val="en-US" w:eastAsia="zh-CN"/>
        </w:rPr>
      </w:pPr>
      <w:r>
        <w:rPr>
          <w:rFonts w:hint="eastAsia"/>
          <w:highlight w:val="none"/>
          <w:lang w:val="en-US" w:eastAsia="zh-CN"/>
        </w:rPr>
        <w:t>旅游254</w:t>
      </w:r>
    </w:p>
    <w:p w14:paraId="762C9BA6">
      <w:pPr>
        <w:bidi w:val="0"/>
        <w:rPr>
          <w:rFonts w:hint="eastAsia"/>
          <w:highlight w:val="none"/>
          <w:lang w:val="en-US" w:eastAsia="zh-CN"/>
        </w:rPr>
      </w:pPr>
      <w:r>
        <w:rPr>
          <w:rFonts w:hint="eastAsia"/>
          <w:highlight w:val="none"/>
          <w:lang w:val="en-US" w:eastAsia="zh-CN"/>
        </w:rPr>
        <w:t>旅游发展375</w:t>
      </w:r>
    </w:p>
    <w:p w14:paraId="767A683B">
      <w:pPr>
        <w:bidi w:val="0"/>
        <w:rPr>
          <w:rFonts w:hint="eastAsia"/>
          <w:highlight w:val="none"/>
          <w:lang w:val="en-US" w:eastAsia="zh-CN"/>
        </w:rPr>
      </w:pPr>
      <w:r>
        <w:rPr>
          <w:rFonts w:hint="eastAsia"/>
          <w:highlight w:val="none"/>
          <w:lang w:val="en-US" w:eastAsia="zh-CN"/>
        </w:rPr>
        <w:t>旅游规划256</w:t>
      </w:r>
    </w:p>
    <w:p w14:paraId="4BA08CDE">
      <w:pPr>
        <w:bidi w:val="0"/>
        <w:rPr>
          <w:rFonts w:hint="eastAsia"/>
          <w:highlight w:val="none"/>
          <w:lang w:val="en-US" w:eastAsia="zh-CN"/>
        </w:rPr>
      </w:pPr>
      <w:r>
        <w:rPr>
          <w:rFonts w:hint="eastAsia"/>
          <w:highlight w:val="none"/>
          <w:lang w:val="en-US" w:eastAsia="zh-CN"/>
        </w:rPr>
        <w:t>旅游接待254</w:t>
      </w:r>
    </w:p>
    <w:p w14:paraId="32502204">
      <w:pPr>
        <w:bidi w:val="0"/>
        <w:rPr>
          <w:rFonts w:hint="eastAsia"/>
          <w:highlight w:val="none"/>
          <w:lang w:val="en-US" w:eastAsia="zh-CN"/>
        </w:rPr>
      </w:pPr>
      <w:r>
        <w:rPr>
          <w:rFonts w:hint="eastAsia"/>
          <w:highlight w:val="none"/>
          <w:lang w:val="en-US" w:eastAsia="zh-CN"/>
        </w:rPr>
        <w:t>旅游景观38</w:t>
      </w:r>
    </w:p>
    <w:p w14:paraId="0AF92427">
      <w:pPr>
        <w:bidi w:val="0"/>
        <w:rPr>
          <w:rFonts w:hint="eastAsia"/>
          <w:highlight w:val="none"/>
          <w:lang w:val="en-US" w:eastAsia="zh-CN"/>
        </w:rPr>
      </w:pPr>
      <w:r>
        <w:rPr>
          <w:rFonts w:hint="eastAsia"/>
          <w:highlight w:val="none"/>
          <w:lang w:val="en-US" w:eastAsia="zh-CN"/>
        </w:rPr>
        <w:t>旅游开发373</w:t>
      </w:r>
    </w:p>
    <w:p w14:paraId="0D97315F">
      <w:pPr>
        <w:bidi w:val="0"/>
        <w:rPr>
          <w:rFonts w:hint="eastAsia"/>
          <w:highlight w:val="none"/>
          <w:lang w:val="en-US" w:eastAsia="zh-CN"/>
        </w:rPr>
      </w:pPr>
      <w:r>
        <w:rPr>
          <w:rFonts w:hint="eastAsia"/>
          <w:highlight w:val="none"/>
          <w:lang w:val="en-US" w:eastAsia="zh-CN"/>
        </w:rPr>
        <w:t>旅游项目建设254</w:t>
      </w:r>
    </w:p>
    <w:p w14:paraId="05B0F980">
      <w:pPr>
        <w:bidi w:val="0"/>
        <w:rPr>
          <w:rFonts w:hint="eastAsia"/>
          <w:highlight w:val="none"/>
          <w:lang w:val="en-US" w:eastAsia="zh-CN"/>
        </w:rPr>
      </w:pPr>
      <w:r>
        <w:rPr>
          <w:rFonts w:hint="eastAsia"/>
          <w:highlight w:val="none"/>
          <w:lang w:val="en-US" w:eastAsia="zh-CN"/>
        </w:rPr>
        <w:t>旅游行业管理和旅游安全256</w:t>
      </w:r>
    </w:p>
    <w:p w14:paraId="026918B0">
      <w:pPr>
        <w:bidi w:val="0"/>
        <w:rPr>
          <w:rFonts w:hint="eastAsia"/>
          <w:highlight w:val="none"/>
          <w:lang w:val="en-US" w:eastAsia="zh-CN"/>
        </w:rPr>
      </w:pPr>
      <w:r>
        <w:rPr>
          <w:rFonts w:hint="eastAsia"/>
          <w:highlight w:val="none"/>
          <w:lang w:val="en-US" w:eastAsia="zh-CN"/>
        </w:rPr>
        <w:t>旅游宣传营销255</w:t>
      </w:r>
    </w:p>
    <w:p w14:paraId="3CA0101F">
      <w:pPr>
        <w:bidi w:val="0"/>
        <w:rPr>
          <w:rFonts w:hint="eastAsia"/>
          <w:highlight w:val="none"/>
          <w:lang w:val="en-US" w:eastAsia="zh-CN"/>
        </w:rPr>
      </w:pPr>
      <w:r>
        <w:rPr>
          <w:rFonts w:hint="eastAsia"/>
          <w:highlight w:val="none"/>
          <w:lang w:val="en-US" w:eastAsia="zh-CN"/>
        </w:rPr>
        <w:t>旅游业持续兴旺41</w:t>
      </w:r>
    </w:p>
    <w:p w14:paraId="7D5D318F">
      <w:pPr>
        <w:bidi w:val="0"/>
        <w:rPr>
          <w:rFonts w:hint="eastAsia"/>
          <w:highlight w:val="none"/>
          <w:lang w:val="en-US" w:eastAsia="zh-CN"/>
        </w:rPr>
      </w:pPr>
      <w:r>
        <w:rPr>
          <w:rFonts w:hint="eastAsia"/>
          <w:highlight w:val="none"/>
          <w:lang w:val="en-US" w:eastAsia="zh-CN"/>
        </w:rPr>
        <w:t>旅游业发展367</w:t>
      </w:r>
    </w:p>
    <w:p w14:paraId="17A59ED6">
      <w:pPr>
        <w:bidi w:val="0"/>
        <w:rPr>
          <w:rFonts w:hint="eastAsia"/>
          <w:highlight w:val="none"/>
          <w:lang w:val="en-US" w:eastAsia="zh-CN"/>
        </w:rPr>
      </w:pPr>
      <w:r>
        <w:rPr>
          <w:rFonts w:hint="eastAsia"/>
          <w:highlight w:val="none"/>
          <w:lang w:val="en-US" w:eastAsia="zh-CN"/>
        </w:rPr>
        <w:t>旅游资源334</w:t>
      </w:r>
    </w:p>
    <w:p w14:paraId="3A3A5C97">
      <w:pPr>
        <w:bidi w:val="0"/>
        <w:rPr>
          <w:rFonts w:hint="eastAsia"/>
          <w:highlight w:val="none"/>
          <w:lang w:val="en-US" w:eastAsia="zh-CN"/>
        </w:rPr>
      </w:pPr>
      <w:r>
        <w:rPr>
          <w:rFonts w:hint="eastAsia"/>
          <w:highlight w:val="none"/>
          <w:lang w:val="en-US" w:eastAsia="zh-CN"/>
        </w:rPr>
        <w:t>绿化管理92</w:t>
      </w:r>
    </w:p>
    <w:p w14:paraId="0179AB89">
      <w:pPr>
        <w:bidi w:val="0"/>
        <w:rPr>
          <w:rFonts w:hint="eastAsia"/>
          <w:highlight w:val="none"/>
          <w:lang w:val="en-US" w:eastAsia="zh-CN"/>
        </w:rPr>
      </w:pPr>
      <w:r>
        <w:rPr>
          <w:rFonts w:hint="eastAsia"/>
          <w:highlight w:val="none"/>
          <w:lang w:val="en-US" w:eastAsia="zh-CN"/>
        </w:rPr>
        <w:t>落实安全生产目标管理责任制180</w:t>
      </w:r>
    </w:p>
    <w:p w14:paraId="47B1C55A">
      <w:pPr>
        <w:bidi w:val="0"/>
        <w:rPr>
          <w:rFonts w:hint="eastAsia"/>
          <w:highlight w:val="none"/>
          <w:lang w:val="en-US" w:eastAsia="zh-CN"/>
        </w:rPr>
      </w:pPr>
      <w:r>
        <w:rPr>
          <w:rFonts w:hint="eastAsia"/>
          <w:highlight w:val="none"/>
          <w:lang w:val="en-US" w:eastAsia="zh-CN"/>
        </w:rPr>
        <w:t>落实《关于加强和改进新形势下侨联工作的意见》130</w:t>
      </w:r>
    </w:p>
    <w:p w14:paraId="45EEFCEB">
      <w:pPr>
        <w:bidi w:val="0"/>
        <w:rPr>
          <w:rFonts w:hint="eastAsia"/>
          <w:highlight w:val="none"/>
          <w:lang w:val="en-US" w:eastAsia="zh-CN"/>
        </w:rPr>
      </w:pPr>
      <w:r>
        <w:rPr>
          <w:rFonts w:hint="eastAsia"/>
          <w:highlight w:val="none"/>
          <w:lang w:val="en-US" w:eastAsia="zh-CN"/>
        </w:rPr>
        <w:t>落实国家强农惠农政策196</w:t>
      </w:r>
    </w:p>
    <w:p w14:paraId="4D3A3F39">
      <w:pPr>
        <w:bidi w:val="0"/>
        <w:rPr>
          <w:rFonts w:hint="eastAsia"/>
          <w:highlight w:val="none"/>
          <w:lang w:val="en-US" w:eastAsia="zh-CN"/>
        </w:rPr>
      </w:pPr>
      <w:r>
        <w:rPr>
          <w:rFonts w:hint="eastAsia"/>
          <w:highlight w:val="none"/>
          <w:lang w:val="en-US" w:eastAsia="zh-CN"/>
        </w:rPr>
        <w:t>落实民族政策132</w:t>
      </w:r>
    </w:p>
    <w:p w14:paraId="2D803BAC">
      <w:pPr>
        <w:pStyle w:val="4"/>
        <w:bidi w:val="0"/>
        <w:rPr>
          <w:rFonts w:hint="eastAsia"/>
          <w:highlight w:val="none"/>
          <w:lang w:val="en-US" w:eastAsia="zh-CN"/>
        </w:rPr>
      </w:pPr>
      <w:r>
        <w:rPr>
          <w:rFonts w:hint="eastAsia"/>
          <w:highlight w:val="none"/>
          <w:lang w:val="en-US" w:eastAsia="zh-CN"/>
        </w:rPr>
        <w:t>M</w:t>
      </w:r>
    </w:p>
    <w:p w14:paraId="4292A05A">
      <w:pPr>
        <w:bidi w:val="0"/>
        <w:rPr>
          <w:rFonts w:hint="eastAsia"/>
          <w:highlight w:val="none"/>
          <w:lang w:val="en-US" w:eastAsia="zh-CN"/>
        </w:rPr>
      </w:pPr>
      <w:r>
        <w:rPr>
          <w:rFonts w:hint="eastAsia"/>
          <w:highlight w:val="none"/>
          <w:lang w:val="en-US" w:eastAsia="zh-CN"/>
        </w:rPr>
        <w:t>帽子峰镇333</w:t>
      </w:r>
    </w:p>
    <w:p w14:paraId="685FAA24">
      <w:pPr>
        <w:bidi w:val="0"/>
        <w:rPr>
          <w:rFonts w:hint="eastAsia"/>
          <w:highlight w:val="none"/>
          <w:lang w:val="en-US" w:eastAsia="zh-CN"/>
        </w:rPr>
      </w:pPr>
      <w:r>
        <w:rPr>
          <w:rFonts w:hint="eastAsia"/>
          <w:highlight w:val="none"/>
          <w:lang w:val="en-US" w:eastAsia="zh-CN"/>
        </w:rPr>
        <w:t>免疫规划286</w:t>
      </w:r>
    </w:p>
    <w:p w14:paraId="08CF9236">
      <w:pPr>
        <w:bidi w:val="0"/>
        <w:rPr>
          <w:rFonts w:hint="eastAsia"/>
          <w:highlight w:val="none"/>
          <w:lang w:val="en-US" w:eastAsia="zh-CN"/>
        </w:rPr>
      </w:pPr>
      <w:r>
        <w:rPr>
          <w:rFonts w:hint="eastAsia"/>
          <w:highlight w:val="none"/>
          <w:lang w:val="en-US" w:eastAsia="zh-CN"/>
        </w:rPr>
        <w:t>民革南雄市支部113</w:t>
      </w:r>
    </w:p>
    <w:p w14:paraId="1E409740">
      <w:pPr>
        <w:bidi w:val="0"/>
        <w:rPr>
          <w:rFonts w:hint="eastAsia"/>
          <w:highlight w:val="none"/>
          <w:lang w:val="en-US" w:eastAsia="zh-CN"/>
        </w:rPr>
      </w:pPr>
      <w:r>
        <w:rPr>
          <w:rFonts w:hint="eastAsia"/>
          <w:highlight w:val="none"/>
          <w:lang w:val="en-US" w:eastAsia="zh-CN"/>
        </w:rPr>
        <w:t>民盟南雄市总支部114</w:t>
      </w:r>
    </w:p>
    <w:p w14:paraId="5FBE5160">
      <w:pPr>
        <w:bidi w:val="0"/>
        <w:rPr>
          <w:rFonts w:hint="eastAsia"/>
          <w:highlight w:val="none"/>
          <w:lang w:val="en-US" w:eastAsia="zh-CN"/>
        </w:rPr>
      </w:pPr>
      <w:r>
        <w:rPr>
          <w:rFonts w:hint="eastAsia"/>
          <w:highlight w:val="none"/>
          <w:lang w:val="en-US" w:eastAsia="zh-CN"/>
        </w:rPr>
        <w:t>民商事审判143</w:t>
      </w:r>
    </w:p>
    <w:p w14:paraId="5616A5A4">
      <w:pPr>
        <w:bidi w:val="0"/>
        <w:rPr>
          <w:rFonts w:hint="eastAsia"/>
          <w:highlight w:val="none"/>
          <w:lang w:val="en-US" w:eastAsia="zh-CN"/>
        </w:rPr>
      </w:pPr>
      <w:r>
        <w:rPr>
          <w:rFonts w:hint="eastAsia"/>
          <w:highlight w:val="none"/>
          <w:lang w:val="en-US" w:eastAsia="zh-CN"/>
        </w:rPr>
        <w:t>民生保障376</w:t>
      </w:r>
    </w:p>
    <w:p w14:paraId="7C7D55D9">
      <w:pPr>
        <w:bidi w:val="0"/>
        <w:rPr>
          <w:rFonts w:hint="eastAsia"/>
          <w:highlight w:val="none"/>
          <w:lang w:val="en-US" w:eastAsia="zh-CN"/>
        </w:rPr>
      </w:pPr>
      <w:r>
        <w:rPr>
          <w:rFonts w:hint="eastAsia"/>
          <w:highlight w:val="none"/>
          <w:lang w:val="en-US" w:eastAsia="zh-CN"/>
        </w:rPr>
        <w:t>民生工程351 375</w:t>
      </w:r>
    </w:p>
    <w:p w14:paraId="2078A331">
      <w:pPr>
        <w:bidi w:val="0"/>
        <w:rPr>
          <w:rFonts w:hint="eastAsia"/>
          <w:highlight w:val="none"/>
          <w:lang w:val="en-US" w:eastAsia="zh-CN"/>
        </w:rPr>
      </w:pPr>
      <w:r>
        <w:rPr>
          <w:rFonts w:hint="eastAsia"/>
          <w:highlight w:val="none"/>
          <w:lang w:val="en-US" w:eastAsia="zh-CN"/>
        </w:rPr>
        <w:t>民生社会事业328</w:t>
      </w:r>
    </w:p>
    <w:p w14:paraId="19400B2E">
      <w:pPr>
        <w:bidi w:val="0"/>
        <w:rPr>
          <w:rFonts w:hint="eastAsia"/>
          <w:highlight w:val="none"/>
          <w:lang w:val="en-US" w:eastAsia="zh-CN"/>
        </w:rPr>
      </w:pPr>
      <w:r>
        <w:rPr>
          <w:rFonts w:hint="eastAsia"/>
          <w:highlight w:val="none"/>
          <w:lang w:val="en-US" w:eastAsia="zh-CN"/>
        </w:rPr>
        <w:t>民生实事238</w:t>
      </w:r>
    </w:p>
    <w:p w14:paraId="50126D82">
      <w:pPr>
        <w:bidi w:val="0"/>
        <w:rPr>
          <w:rFonts w:hint="eastAsia"/>
          <w:highlight w:val="none"/>
          <w:lang w:val="en-US" w:eastAsia="zh-CN"/>
        </w:rPr>
      </w:pPr>
      <w:r>
        <w:rPr>
          <w:rFonts w:hint="eastAsia"/>
          <w:highlight w:val="none"/>
          <w:lang w:val="en-US" w:eastAsia="zh-CN"/>
        </w:rPr>
        <w:t>民生事业343 373</w:t>
      </w:r>
    </w:p>
    <w:p w14:paraId="6BE79580">
      <w:pPr>
        <w:bidi w:val="0"/>
        <w:rPr>
          <w:rFonts w:hint="eastAsia"/>
          <w:highlight w:val="none"/>
          <w:lang w:val="en-US" w:eastAsia="zh-CN"/>
        </w:rPr>
      </w:pPr>
      <w:r>
        <w:rPr>
          <w:rFonts w:hint="eastAsia"/>
          <w:highlight w:val="none"/>
          <w:lang w:val="en-US" w:eastAsia="zh-CN"/>
        </w:rPr>
        <w:t>民生项目建设324 346</w:t>
      </w:r>
    </w:p>
    <w:p w14:paraId="6296B060">
      <w:pPr>
        <w:bidi w:val="0"/>
        <w:rPr>
          <w:rFonts w:hint="eastAsia"/>
          <w:highlight w:val="none"/>
          <w:lang w:val="en-US" w:eastAsia="zh-CN"/>
        </w:rPr>
      </w:pPr>
      <w:r>
        <w:rPr>
          <w:rFonts w:hint="eastAsia"/>
          <w:highlight w:val="none"/>
          <w:lang w:val="en-US" w:eastAsia="zh-CN"/>
        </w:rPr>
        <w:t>“民声热线”上线和答复督办工作66</w:t>
      </w:r>
    </w:p>
    <w:p w14:paraId="162E03C7">
      <w:pPr>
        <w:bidi w:val="0"/>
        <w:rPr>
          <w:rFonts w:hint="eastAsia"/>
          <w:highlight w:val="none"/>
          <w:lang w:val="en-US" w:eastAsia="zh-CN"/>
        </w:rPr>
      </w:pPr>
      <w:r>
        <w:rPr>
          <w:rFonts w:hint="eastAsia"/>
          <w:highlight w:val="none"/>
          <w:lang w:val="en-US" w:eastAsia="zh-CN"/>
        </w:rPr>
        <w:t>民事行政检察141</w:t>
      </w:r>
    </w:p>
    <w:p w14:paraId="78580190">
      <w:pPr>
        <w:bidi w:val="0"/>
        <w:rPr>
          <w:rFonts w:hint="eastAsia"/>
          <w:highlight w:val="none"/>
          <w:lang w:val="en-US" w:eastAsia="zh-CN"/>
        </w:rPr>
      </w:pPr>
      <w:r>
        <w:rPr>
          <w:rFonts w:hint="eastAsia"/>
          <w:highlight w:val="none"/>
          <w:lang w:val="en-US" w:eastAsia="zh-CN"/>
        </w:rPr>
        <w:t>民俗风情37</w:t>
      </w:r>
    </w:p>
    <w:p w14:paraId="46D5DCD1">
      <w:pPr>
        <w:bidi w:val="0"/>
        <w:rPr>
          <w:rFonts w:hint="eastAsia"/>
          <w:highlight w:val="none"/>
          <w:lang w:val="en-US" w:eastAsia="zh-CN"/>
        </w:rPr>
      </w:pPr>
      <w:r>
        <w:rPr>
          <w:rFonts w:hint="eastAsia"/>
          <w:highlight w:val="none"/>
          <w:lang w:val="en-US" w:eastAsia="zh-CN"/>
        </w:rPr>
        <w:t>民政314</w:t>
      </w:r>
    </w:p>
    <w:p w14:paraId="7D8BB69A">
      <w:pPr>
        <w:bidi w:val="0"/>
        <w:rPr>
          <w:rFonts w:hint="eastAsia"/>
          <w:highlight w:val="none"/>
          <w:lang w:val="en-US" w:eastAsia="zh-CN"/>
        </w:rPr>
      </w:pPr>
      <w:r>
        <w:rPr>
          <w:rFonts w:hint="eastAsia"/>
          <w:highlight w:val="none"/>
          <w:lang w:val="en-US" w:eastAsia="zh-CN"/>
        </w:rPr>
        <w:t>民政救助338</w:t>
      </w:r>
    </w:p>
    <w:p w14:paraId="7E852CA3">
      <w:pPr>
        <w:bidi w:val="0"/>
        <w:rPr>
          <w:rFonts w:hint="eastAsia"/>
          <w:highlight w:val="none"/>
          <w:lang w:val="en-US" w:eastAsia="zh-CN"/>
        </w:rPr>
      </w:pPr>
      <w:r>
        <w:rPr>
          <w:rFonts w:hint="eastAsia"/>
          <w:highlight w:val="none"/>
          <w:lang w:val="en-US" w:eastAsia="zh-CN"/>
        </w:rPr>
        <w:t>民主评议政风行风工作66</w:t>
      </w:r>
    </w:p>
    <w:p w14:paraId="0FA540BA">
      <w:pPr>
        <w:bidi w:val="0"/>
        <w:rPr>
          <w:rFonts w:hint="eastAsia"/>
          <w:highlight w:val="none"/>
          <w:lang w:val="en-US" w:eastAsia="zh-CN"/>
        </w:rPr>
      </w:pPr>
      <w:r>
        <w:rPr>
          <w:rFonts w:hint="eastAsia"/>
          <w:highlight w:val="none"/>
          <w:lang w:val="en-US" w:eastAsia="zh-CN"/>
        </w:rPr>
        <w:t>民主协商98</w:t>
      </w:r>
    </w:p>
    <w:p w14:paraId="47AA13B3">
      <w:pPr>
        <w:bidi w:val="0"/>
        <w:rPr>
          <w:rFonts w:hint="eastAsia"/>
          <w:highlight w:val="none"/>
          <w:lang w:val="en-US" w:eastAsia="zh-CN"/>
        </w:rPr>
      </w:pPr>
      <w:r>
        <w:rPr>
          <w:rFonts w:hint="eastAsia"/>
          <w:highlight w:val="none"/>
          <w:lang w:val="en-US" w:eastAsia="zh-CN"/>
        </w:rPr>
        <w:t>民族37</w:t>
      </w:r>
    </w:p>
    <w:p w14:paraId="4533D413">
      <w:pPr>
        <w:bidi w:val="0"/>
        <w:rPr>
          <w:rFonts w:hint="eastAsia"/>
          <w:highlight w:val="none"/>
          <w:lang w:val="en-US" w:eastAsia="zh-CN"/>
        </w:rPr>
      </w:pPr>
      <w:r>
        <w:rPr>
          <w:rFonts w:hint="eastAsia"/>
          <w:highlight w:val="none"/>
          <w:lang w:val="en-US" w:eastAsia="zh-CN"/>
        </w:rPr>
        <w:t>民族宗教330</w:t>
      </w:r>
    </w:p>
    <w:p w14:paraId="2DE2B1AC">
      <w:pPr>
        <w:bidi w:val="0"/>
        <w:rPr>
          <w:rFonts w:hint="eastAsia"/>
          <w:highlight w:val="none"/>
          <w:lang w:val="en-US" w:eastAsia="zh-CN"/>
        </w:rPr>
      </w:pPr>
      <w:r>
        <w:rPr>
          <w:rFonts w:hint="eastAsia"/>
          <w:highlight w:val="none"/>
          <w:lang w:val="en-US" w:eastAsia="zh-CN"/>
        </w:rPr>
        <w:t>民族宗教法规宣传132</w:t>
      </w:r>
    </w:p>
    <w:p w14:paraId="2631579F">
      <w:pPr>
        <w:bidi w:val="0"/>
        <w:rPr>
          <w:rFonts w:hint="eastAsia"/>
          <w:highlight w:val="none"/>
          <w:lang w:val="en-US" w:eastAsia="zh-CN"/>
        </w:rPr>
      </w:pPr>
      <w:r>
        <w:rPr>
          <w:rFonts w:hint="eastAsia"/>
          <w:highlight w:val="none"/>
          <w:lang w:val="en-US" w:eastAsia="zh-CN"/>
        </w:rPr>
        <w:t>民族宗教事务131</w:t>
      </w:r>
    </w:p>
    <w:p w14:paraId="349E5CD6">
      <w:pPr>
        <w:bidi w:val="0"/>
        <w:rPr>
          <w:rFonts w:hint="eastAsia"/>
          <w:highlight w:val="none"/>
          <w:lang w:val="en-US" w:eastAsia="zh-CN"/>
        </w:rPr>
      </w:pPr>
      <w:r>
        <w:rPr>
          <w:rFonts w:hint="eastAsia"/>
          <w:highlight w:val="none"/>
          <w:lang w:val="en-US" w:eastAsia="zh-CN"/>
        </w:rPr>
        <w:t>母婴保健技术服务监督管理290</w:t>
      </w:r>
    </w:p>
    <w:p w14:paraId="477B7363">
      <w:pPr>
        <w:pStyle w:val="4"/>
        <w:bidi w:val="0"/>
        <w:rPr>
          <w:rFonts w:hint="eastAsia"/>
          <w:highlight w:val="none"/>
          <w:lang w:val="en-US" w:eastAsia="zh-CN"/>
        </w:rPr>
      </w:pPr>
      <w:r>
        <w:rPr>
          <w:rFonts w:hint="eastAsia"/>
          <w:highlight w:val="none"/>
          <w:lang w:val="en-US" w:eastAsia="zh-CN"/>
        </w:rPr>
        <w:t>N</w:t>
      </w:r>
    </w:p>
    <w:p w14:paraId="0D6CC6A2">
      <w:pPr>
        <w:bidi w:val="0"/>
        <w:rPr>
          <w:rFonts w:hint="eastAsia"/>
          <w:highlight w:val="none"/>
          <w:lang w:val="en-US" w:eastAsia="zh-CN"/>
        </w:rPr>
      </w:pPr>
      <w:r>
        <w:rPr>
          <w:rFonts w:hint="eastAsia"/>
          <w:highlight w:val="none"/>
          <w:lang w:val="en-US" w:eastAsia="zh-CN"/>
        </w:rPr>
        <w:t>南亩镇346</w:t>
      </w:r>
    </w:p>
    <w:p w14:paraId="3ECFAE34">
      <w:pPr>
        <w:bidi w:val="0"/>
        <w:rPr>
          <w:rFonts w:hint="eastAsia"/>
          <w:highlight w:val="none"/>
          <w:lang w:val="en-US" w:eastAsia="zh-CN"/>
        </w:rPr>
      </w:pPr>
      <w:r>
        <w:rPr>
          <w:rFonts w:hint="eastAsia"/>
          <w:highlight w:val="none"/>
          <w:lang w:val="en-US" w:eastAsia="zh-CN"/>
        </w:rPr>
        <w:t>南雄被列入国家电子商务进农村综合示范县39</w:t>
      </w:r>
    </w:p>
    <w:p w14:paraId="070DE8A5">
      <w:pPr>
        <w:bidi w:val="0"/>
        <w:rPr>
          <w:rFonts w:hint="eastAsia"/>
          <w:highlight w:val="none"/>
          <w:lang w:val="en-US" w:eastAsia="zh-CN"/>
        </w:rPr>
      </w:pPr>
      <w:r>
        <w:rPr>
          <w:rFonts w:hint="eastAsia"/>
          <w:highlight w:val="none"/>
          <w:lang w:val="en-US" w:eastAsia="zh-CN"/>
        </w:rPr>
        <w:t>南雄大市场253</w:t>
      </w:r>
    </w:p>
    <w:p w14:paraId="0AFEEC8C">
      <w:pPr>
        <w:bidi w:val="0"/>
        <w:rPr>
          <w:rFonts w:hint="eastAsia"/>
          <w:highlight w:val="none"/>
          <w:lang w:val="en-US" w:eastAsia="zh-CN"/>
        </w:rPr>
      </w:pPr>
      <w:r>
        <w:rPr>
          <w:rFonts w:hint="eastAsia"/>
          <w:highlight w:val="none"/>
          <w:lang w:val="en-US" w:eastAsia="zh-CN"/>
        </w:rPr>
        <w:t>南雄黄烟38</w:t>
      </w:r>
    </w:p>
    <w:p w14:paraId="7A1A3FCE">
      <w:pPr>
        <w:bidi w:val="0"/>
        <w:rPr>
          <w:rFonts w:hint="eastAsia"/>
          <w:highlight w:val="none"/>
          <w:lang w:val="en-US" w:eastAsia="zh-CN"/>
        </w:rPr>
      </w:pPr>
      <w:r>
        <w:rPr>
          <w:rFonts w:hint="eastAsia"/>
          <w:highlight w:val="none"/>
          <w:lang w:val="en-US" w:eastAsia="zh-CN"/>
        </w:rPr>
        <w:t>南雄犁牛坪风电项目开工40</w:t>
      </w:r>
    </w:p>
    <w:p w14:paraId="646F1079">
      <w:pPr>
        <w:bidi w:val="0"/>
        <w:rPr>
          <w:rFonts w:hint="eastAsia"/>
          <w:highlight w:val="none"/>
          <w:lang w:val="en-US" w:eastAsia="zh-CN"/>
        </w:rPr>
      </w:pPr>
      <w:r>
        <w:rPr>
          <w:rFonts w:hint="eastAsia"/>
          <w:highlight w:val="none"/>
          <w:lang w:val="en-US" w:eastAsia="zh-CN"/>
        </w:rPr>
        <w:t>南雄汽车站228</w:t>
      </w:r>
    </w:p>
    <w:p w14:paraId="537956B9">
      <w:pPr>
        <w:bidi w:val="0"/>
        <w:rPr>
          <w:rFonts w:hint="eastAsia"/>
          <w:highlight w:val="none"/>
          <w:lang w:val="en-US" w:eastAsia="zh-CN"/>
        </w:rPr>
      </w:pPr>
      <w:r>
        <w:rPr>
          <w:rFonts w:hint="eastAsia"/>
          <w:highlight w:val="none"/>
          <w:lang w:val="en-US" w:eastAsia="zh-CN"/>
        </w:rPr>
        <w:t>南雄市博物馆308</w:t>
      </w:r>
    </w:p>
    <w:p w14:paraId="5A882EBE">
      <w:pPr>
        <w:bidi w:val="0"/>
        <w:rPr>
          <w:rFonts w:hint="eastAsia"/>
          <w:highlight w:val="none"/>
          <w:lang w:val="en-US" w:eastAsia="zh-CN"/>
        </w:rPr>
      </w:pPr>
      <w:r>
        <w:rPr>
          <w:rFonts w:hint="eastAsia"/>
          <w:highlight w:val="none"/>
          <w:lang w:val="en-US" w:eastAsia="zh-CN"/>
        </w:rPr>
        <w:t>南雄市第二中学280</w:t>
      </w:r>
    </w:p>
    <w:p w14:paraId="57960A50">
      <w:pPr>
        <w:bidi w:val="0"/>
        <w:rPr>
          <w:rFonts w:hint="eastAsia"/>
          <w:highlight w:val="none"/>
          <w:lang w:val="en-US" w:eastAsia="zh-CN"/>
        </w:rPr>
      </w:pPr>
      <w:r>
        <w:rPr>
          <w:rFonts w:hint="eastAsia"/>
          <w:highlight w:val="none"/>
          <w:lang w:val="en-US" w:eastAsia="zh-CN"/>
        </w:rPr>
        <w:t>南雄市第一中学277</w:t>
      </w:r>
    </w:p>
    <w:p w14:paraId="4D9A2A5C">
      <w:pPr>
        <w:bidi w:val="0"/>
        <w:rPr>
          <w:rFonts w:hint="eastAsia"/>
          <w:highlight w:val="none"/>
          <w:lang w:val="en-US" w:eastAsia="zh-CN"/>
        </w:rPr>
      </w:pPr>
      <w:r>
        <w:rPr>
          <w:rFonts w:hint="eastAsia"/>
          <w:highlight w:val="none"/>
          <w:lang w:val="en-US" w:eastAsia="zh-CN"/>
        </w:rPr>
        <w:t>南雄市妇幼保健计划生育服务院296</w:t>
      </w:r>
    </w:p>
    <w:p w14:paraId="6AFAFB67">
      <w:pPr>
        <w:bidi w:val="0"/>
        <w:rPr>
          <w:rFonts w:hint="eastAsia"/>
          <w:highlight w:val="none"/>
          <w:lang w:val="en-US" w:eastAsia="zh-CN"/>
        </w:rPr>
      </w:pPr>
      <w:r>
        <w:rPr>
          <w:rFonts w:hint="eastAsia"/>
          <w:highlight w:val="none"/>
          <w:lang w:val="en-US" w:eastAsia="zh-CN"/>
        </w:rPr>
        <w:t>南雄市疾病预防控制中心297</w:t>
      </w:r>
    </w:p>
    <w:p w14:paraId="3B6FEC54">
      <w:pPr>
        <w:bidi w:val="0"/>
        <w:rPr>
          <w:rFonts w:hint="eastAsia"/>
          <w:highlight w:val="none"/>
          <w:lang w:val="en-US" w:eastAsia="zh-CN"/>
        </w:rPr>
      </w:pPr>
      <w:r>
        <w:rPr>
          <w:rFonts w:hint="eastAsia"/>
          <w:highlight w:val="none"/>
          <w:lang w:val="en-US" w:eastAsia="zh-CN"/>
        </w:rPr>
        <w:t>南雄市纪律教育学习月活动动员大会109</w:t>
      </w:r>
    </w:p>
    <w:p w14:paraId="6FDF2A79">
      <w:pPr>
        <w:bidi w:val="0"/>
        <w:rPr>
          <w:rFonts w:hint="eastAsia"/>
          <w:highlight w:val="none"/>
          <w:lang w:val="en-US" w:eastAsia="zh-CN"/>
        </w:rPr>
      </w:pPr>
      <w:r>
        <w:rPr>
          <w:rFonts w:hint="eastAsia"/>
          <w:highlight w:val="none"/>
          <w:lang w:val="en-US" w:eastAsia="zh-CN"/>
        </w:rPr>
        <w:t>南雄市纪委十二届五次全会108</w:t>
      </w:r>
    </w:p>
    <w:p w14:paraId="6CCEBD32">
      <w:pPr>
        <w:bidi w:val="0"/>
        <w:rPr>
          <w:rFonts w:hint="eastAsia"/>
          <w:highlight w:val="none"/>
          <w:lang w:val="en-US" w:eastAsia="zh-CN"/>
        </w:rPr>
      </w:pPr>
      <w:r>
        <w:rPr>
          <w:rFonts w:hint="eastAsia"/>
          <w:highlight w:val="none"/>
          <w:lang w:val="en-US" w:eastAsia="zh-CN"/>
        </w:rPr>
        <w:t>南雄市慢性病防治站297</w:t>
      </w:r>
    </w:p>
    <w:p w14:paraId="62C4C88C">
      <w:pPr>
        <w:bidi w:val="0"/>
        <w:rPr>
          <w:rFonts w:hint="eastAsia"/>
          <w:highlight w:val="none"/>
          <w:lang w:val="en-US" w:eastAsia="zh-CN"/>
        </w:rPr>
      </w:pPr>
      <w:r>
        <w:rPr>
          <w:rFonts w:hint="eastAsia"/>
          <w:highlight w:val="none"/>
          <w:lang w:val="en-US" w:eastAsia="zh-CN"/>
        </w:rPr>
        <w:t>南雄市农村信用合作联社269</w:t>
      </w:r>
    </w:p>
    <w:p w14:paraId="4816A181">
      <w:pPr>
        <w:bidi w:val="0"/>
        <w:rPr>
          <w:rFonts w:hint="eastAsia"/>
          <w:highlight w:val="none"/>
          <w:lang w:val="en-US" w:eastAsia="zh-CN"/>
        </w:rPr>
      </w:pPr>
      <w:r>
        <w:rPr>
          <w:rFonts w:hint="eastAsia"/>
          <w:highlight w:val="none"/>
          <w:lang w:val="en-US" w:eastAsia="zh-CN"/>
        </w:rPr>
        <w:t>南雄市人大常委会领导职务变动77</w:t>
      </w:r>
    </w:p>
    <w:p w14:paraId="23AA6CA8">
      <w:pPr>
        <w:bidi w:val="0"/>
        <w:rPr>
          <w:rFonts w:hint="eastAsia"/>
          <w:highlight w:val="none"/>
          <w:lang w:val="en-US" w:eastAsia="zh-CN"/>
        </w:rPr>
      </w:pPr>
      <w:r>
        <w:rPr>
          <w:rFonts w:hint="eastAsia"/>
          <w:highlight w:val="none"/>
          <w:lang w:val="en-US" w:eastAsia="zh-CN"/>
        </w:rPr>
        <w:t>南雄市人民医院293</w:t>
      </w:r>
    </w:p>
    <w:p w14:paraId="27CC63CE">
      <w:pPr>
        <w:bidi w:val="0"/>
        <w:rPr>
          <w:rFonts w:hint="eastAsia"/>
          <w:highlight w:val="none"/>
          <w:lang w:val="en-US" w:eastAsia="zh-CN"/>
        </w:rPr>
      </w:pPr>
      <w:r>
        <w:rPr>
          <w:rFonts w:hint="eastAsia"/>
          <w:highlight w:val="none"/>
          <w:lang w:val="en-US" w:eastAsia="zh-CN"/>
        </w:rPr>
        <w:t>南雄市图书馆304</w:t>
      </w:r>
    </w:p>
    <w:p w14:paraId="32EA010B">
      <w:pPr>
        <w:bidi w:val="0"/>
        <w:rPr>
          <w:rFonts w:hint="eastAsia"/>
          <w:highlight w:val="none"/>
          <w:lang w:val="en-US" w:eastAsia="zh-CN"/>
        </w:rPr>
      </w:pPr>
      <w:r>
        <w:rPr>
          <w:rFonts w:hint="eastAsia"/>
          <w:highlight w:val="none"/>
          <w:lang w:val="en-US" w:eastAsia="zh-CN"/>
        </w:rPr>
        <w:t>南雄市卫生监督所298</w:t>
      </w:r>
    </w:p>
    <w:p w14:paraId="3C7CDA53">
      <w:pPr>
        <w:bidi w:val="0"/>
        <w:rPr>
          <w:rFonts w:hint="eastAsia"/>
          <w:highlight w:val="none"/>
          <w:lang w:val="en-US" w:eastAsia="zh-CN"/>
        </w:rPr>
      </w:pPr>
      <w:r>
        <w:rPr>
          <w:rFonts w:hint="eastAsia"/>
          <w:highlight w:val="none"/>
          <w:lang w:val="en-US" w:eastAsia="zh-CN"/>
        </w:rPr>
        <w:t>南雄市委办公室44</w:t>
      </w:r>
    </w:p>
    <w:p w14:paraId="08605DC7">
      <w:pPr>
        <w:bidi w:val="0"/>
        <w:rPr>
          <w:rFonts w:hint="eastAsia"/>
          <w:highlight w:val="none"/>
          <w:lang w:val="en-US" w:eastAsia="zh-CN"/>
        </w:rPr>
      </w:pPr>
      <w:r>
        <w:rPr>
          <w:rFonts w:hint="eastAsia"/>
          <w:highlight w:val="none"/>
          <w:lang w:val="en-US" w:eastAsia="zh-CN"/>
        </w:rPr>
        <w:t>南雄市文化馆307</w:t>
      </w:r>
    </w:p>
    <w:p w14:paraId="4DC91DC4">
      <w:pPr>
        <w:bidi w:val="0"/>
        <w:rPr>
          <w:rFonts w:hint="eastAsia"/>
          <w:highlight w:val="none"/>
          <w:lang w:val="en-US" w:eastAsia="zh-CN"/>
        </w:rPr>
      </w:pPr>
      <w:r>
        <w:rPr>
          <w:rFonts w:hint="eastAsia"/>
          <w:highlight w:val="none"/>
          <w:lang w:val="en-US" w:eastAsia="zh-CN"/>
        </w:rPr>
        <w:t>南雄市中等职业学校279</w:t>
      </w:r>
    </w:p>
    <w:p w14:paraId="06070C11">
      <w:pPr>
        <w:bidi w:val="0"/>
        <w:rPr>
          <w:rFonts w:hint="eastAsia"/>
          <w:highlight w:val="none"/>
          <w:lang w:val="en-US" w:eastAsia="zh-CN"/>
        </w:rPr>
      </w:pPr>
      <w:r>
        <w:rPr>
          <w:rFonts w:hint="eastAsia"/>
          <w:highlight w:val="none"/>
          <w:lang w:val="en-US" w:eastAsia="zh-CN"/>
        </w:rPr>
        <w:t>南雄市中医院295</w:t>
      </w:r>
    </w:p>
    <w:p w14:paraId="3CF7F07E">
      <w:pPr>
        <w:bidi w:val="0"/>
        <w:rPr>
          <w:rFonts w:hint="eastAsia"/>
          <w:highlight w:val="none"/>
          <w:lang w:val="en-US" w:eastAsia="zh-CN"/>
        </w:rPr>
      </w:pPr>
      <w:r>
        <w:rPr>
          <w:rFonts w:hint="eastAsia"/>
          <w:highlight w:val="none"/>
          <w:lang w:val="en-US" w:eastAsia="zh-CN"/>
        </w:rPr>
        <w:t>南雄中学275</w:t>
      </w:r>
    </w:p>
    <w:p w14:paraId="386FC8B4">
      <w:pPr>
        <w:bidi w:val="0"/>
        <w:rPr>
          <w:rFonts w:hint="eastAsia"/>
          <w:highlight w:val="none"/>
          <w:lang w:val="en-US" w:eastAsia="zh-CN"/>
        </w:rPr>
      </w:pPr>
      <w:r>
        <w:rPr>
          <w:rFonts w:hint="eastAsia"/>
          <w:highlight w:val="none"/>
          <w:lang w:val="en-US" w:eastAsia="zh-CN"/>
        </w:rPr>
        <w:t>内控检查314</w:t>
      </w:r>
    </w:p>
    <w:p w14:paraId="1238BD67">
      <w:pPr>
        <w:bidi w:val="0"/>
        <w:rPr>
          <w:rFonts w:hint="eastAsia"/>
          <w:highlight w:val="none"/>
          <w:lang w:val="en-US" w:eastAsia="zh-CN"/>
        </w:rPr>
      </w:pPr>
      <w:r>
        <w:rPr>
          <w:rFonts w:hint="eastAsia"/>
          <w:highlight w:val="none"/>
          <w:lang w:val="en-US" w:eastAsia="zh-CN"/>
        </w:rPr>
        <w:t>内设机构及编制44</w:t>
      </w:r>
    </w:p>
    <w:p w14:paraId="1F6BE6E5">
      <w:pPr>
        <w:bidi w:val="0"/>
        <w:rPr>
          <w:rFonts w:hint="eastAsia"/>
          <w:highlight w:val="none"/>
          <w:lang w:val="en-US" w:eastAsia="zh-CN"/>
        </w:rPr>
      </w:pPr>
      <w:r>
        <w:rPr>
          <w:rFonts w:hint="eastAsia"/>
          <w:highlight w:val="none"/>
          <w:lang w:val="en-US" w:eastAsia="zh-CN"/>
        </w:rPr>
        <w:t>2015年南雄市国民经济和社会发展统计公</w:t>
      </w:r>
    </w:p>
    <w:p w14:paraId="7FCAB0DD">
      <w:pPr>
        <w:bidi w:val="0"/>
        <w:rPr>
          <w:rFonts w:hint="eastAsia"/>
          <w:highlight w:val="none"/>
          <w:lang w:val="en-US" w:eastAsia="zh-CN"/>
        </w:rPr>
      </w:pPr>
      <w:r>
        <w:rPr>
          <w:rFonts w:hint="eastAsia"/>
          <w:highlight w:val="none"/>
          <w:lang w:val="en-US" w:eastAsia="zh-CN"/>
        </w:rPr>
        <w:t>报378</w:t>
      </w:r>
    </w:p>
    <w:p w14:paraId="7A7D07B6">
      <w:pPr>
        <w:bidi w:val="0"/>
        <w:rPr>
          <w:rFonts w:hint="eastAsia"/>
          <w:highlight w:val="none"/>
          <w:lang w:val="en-US" w:eastAsia="zh-CN"/>
        </w:rPr>
      </w:pPr>
      <w:r>
        <w:rPr>
          <w:rFonts w:hint="eastAsia"/>
          <w:highlight w:val="none"/>
          <w:lang w:val="en-US" w:eastAsia="zh-CN"/>
        </w:rPr>
        <w:t>2015年南雄市国民经济和社会发展主要指</w:t>
      </w:r>
    </w:p>
    <w:p w14:paraId="39A46C36">
      <w:pPr>
        <w:bidi w:val="0"/>
        <w:rPr>
          <w:rFonts w:hint="eastAsia"/>
          <w:highlight w:val="none"/>
          <w:lang w:val="en-US" w:eastAsia="zh-CN"/>
        </w:rPr>
      </w:pPr>
      <w:r>
        <w:rPr>
          <w:rFonts w:hint="eastAsia"/>
          <w:highlight w:val="none"/>
          <w:lang w:val="en-US" w:eastAsia="zh-CN"/>
        </w:rPr>
        <w:t>标389</w:t>
      </w:r>
    </w:p>
    <w:p w14:paraId="429E23DD">
      <w:pPr>
        <w:bidi w:val="0"/>
        <w:rPr>
          <w:rFonts w:hint="eastAsia"/>
          <w:highlight w:val="none"/>
          <w:lang w:val="en-US" w:eastAsia="zh-CN"/>
        </w:rPr>
      </w:pPr>
      <w:r>
        <w:rPr>
          <w:rFonts w:hint="eastAsia"/>
          <w:highlight w:val="none"/>
          <w:lang w:val="en-US" w:eastAsia="zh-CN"/>
        </w:rPr>
        <w:t>2015年南雄市人民政府领导职务变动90</w:t>
      </w:r>
    </w:p>
    <w:p w14:paraId="703E20DF">
      <w:pPr>
        <w:bidi w:val="0"/>
        <w:rPr>
          <w:rFonts w:hint="eastAsia"/>
          <w:highlight w:val="none"/>
          <w:lang w:val="en-US" w:eastAsia="zh-CN"/>
        </w:rPr>
      </w:pPr>
      <w:r>
        <w:rPr>
          <w:rFonts w:hint="eastAsia"/>
          <w:highlight w:val="none"/>
          <w:lang w:val="en-US" w:eastAsia="zh-CN"/>
        </w:rPr>
        <w:t>2015年政协南雄市领导班子成员名单</w:t>
      </w:r>
    </w:p>
    <w:p w14:paraId="7396B38A">
      <w:pPr>
        <w:bidi w:val="0"/>
        <w:rPr>
          <w:rFonts w:hint="eastAsia"/>
          <w:highlight w:val="none"/>
          <w:lang w:val="en-US" w:eastAsia="zh-CN"/>
        </w:rPr>
      </w:pPr>
      <w:r>
        <w:rPr>
          <w:rFonts w:hint="eastAsia"/>
          <w:highlight w:val="none"/>
          <w:lang w:val="en-US" w:eastAsia="zh-CN"/>
        </w:rPr>
        <w:t>106</w:t>
      </w:r>
    </w:p>
    <w:p w14:paraId="12363B5F">
      <w:pPr>
        <w:bidi w:val="0"/>
        <w:rPr>
          <w:rFonts w:hint="eastAsia"/>
          <w:highlight w:val="none"/>
          <w:lang w:val="en-US" w:eastAsia="zh-CN"/>
        </w:rPr>
      </w:pPr>
      <w:r>
        <w:rPr>
          <w:rFonts w:hint="eastAsia"/>
          <w:highlight w:val="none"/>
          <w:lang w:val="en-US" w:eastAsia="zh-CN"/>
        </w:rPr>
        <w:t>2015年中共南雄市委领导职务变动44</w:t>
      </w:r>
    </w:p>
    <w:p w14:paraId="5782BEDC">
      <w:pPr>
        <w:bidi w:val="0"/>
        <w:rPr>
          <w:rFonts w:hint="eastAsia"/>
          <w:highlight w:val="none"/>
          <w:lang w:val="en-US" w:eastAsia="zh-CN"/>
        </w:rPr>
      </w:pPr>
      <w:r>
        <w:rPr>
          <w:rFonts w:hint="eastAsia"/>
          <w:highlight w:val="none"/>
          <w:lang w:val="en-US" w:eastAsia="zh-CN"/>
        </w:rPr>
        <w:t>农产品购销250</w:t>
      </w:r>
    </w:p>
    <w:p w14:paraId="209BC7CE">
      <w:pPr>
        <w:bidi w:val="0"/>
        <w:rPr>
          <w:rFonts w:hint="eastAsia"/>
          <w:highlight w:val="none"/>
          <w:lang w:val="en-US" w:eastAsia="zh-CN"/>
        </w:rPr>
      </w:pPr>
      <w:r>
        <w:rPr>
          <w:rFonts w:hint="eastAsia"/>
          <w:highlight w:val="none"/>
          <w:lang w:val="en-US" w:eastAsia="zh-CN"/>
        </w:rPr>
        <w:t>农村调查164</w:t>
      </w:r>
    </w:p>
    <w:p w14:paraId="56FB65C0">
      <w:pPr>
        <w:bidi w:val="0"/>
        <w:rPr>
          <w:rFonts w:hint="eastAsia"/>
          <w:highlight w:val="none"/>
          <w:lang w:val="en-US" w:eastAsia="zh-CN"/>
        </w:rPr>
      </w:pPr>
      <w:r>
        <w:rPr>
          <w:rFonts w:hint="eastAsia"/>
          <w:highlight w:val="none"/>
          <w:lang w:val="en-US" w:eastAsia="zh-CN"/>
        </w:rPr>
        <w:t>农村环境卫生整治358</w:t>
      </w:r>
    </w:p>
    <w:p w14:paraId="483BA7FD">
      <w:pPr>
        <w:bidi w:val="0"/>
        <w:rPr>
          <w:rFonts w:hint="eastAsia"/>
          <w:highlight w:val="none"/>
          <w:lang w:val="en-US" w:eastAsia="zh-CN"/>
        </w:rPr>
      </w:pPr>
      <w:r>
        <w:rPr>
          <w:rFonts w:hint="eastAsia"/>
          <w:highlight w:val="none"/>
          <w:lang w:val="en-US" w:eastAsia="zh-CN"/>
        </w:rPr>
        <w:t>农村客运班线车辆更新229</w:t>
      </w:r>
    </w:p>
    <w:p w14:paraId="39A57BB7">
      <w:pPr>
        <w:bidi w:val="0"/>
        <w:rPr>
          <w:rFonts w:hint="eastAsia"/>
          <w:highlight w:val="none"/>
          <w:lang w:val="en-US" w:eastAsia="zh-CN"/>
        </w:rPr>
      </w:pPr>
      <w:r>
        <w:rPr>
          <w:rFonts w:hint="eastAsia"/>
          <w:highlight w:val="none"/>
          <w:lang w:val="en-US" w:eastAsia="zh-CN"/>
        </w:rPr>
        <w:t>农村农业375</w:t>
      </w:r>
    </w:p>
    <w:p w14:paraId="5E5600F7">
      <w:pPr>
        <w:bidi w:val="0"/>
        <w:rPr>
          <w:rFonts w:hint="eastAsia"/>
          <w:highlight w:val="none"/>
          <w:lang w:val="en-US" w:eastAsia="zh-CN"/>
        </w:rPr>
      </w:pPr>
      <w:r>
        <w:rPr>
          <w:rFonts w:hint="eastAsia"/>
          <w:highlight w:val="none"/>
          <w:lang w:val="en-US" w:eastAsia="zh-CN"/>
        </w:rPr>
        <w:t>农村生活垃圾整治354</w:t>
      </w:r>
    </w:p>
    <w:p w14:paraId="7E38E148">
      <w:pPr>
        <w:bidi w:val="0"/>
        <w:rPr>
          <w:rFonts w:hint="eastAsia"/>
          <w:highlight w:val="none"/>
          <w:lang w:val="en-US" w:eastAsia="zh-CN"/>
        </w:rPr>
      </w:pPr>
      <w:r>
        <w:rPr>
          <w:rFonts w:hint="eastAsia"/>
          <w:highlight w:val="none"/>
          <w:lang w:val="en-US" w:eastAsia="zh-CN"/>
        </w:rPr>
        <w:t>农村卫生289</w:t>
      </w:r>
    </w:p>
    <w:p w14:paraId="521BDF63">
      <w:pPr>
        <w:bidi w:val="0"/>
        <w:rPr>
          <w:rFonts w:hint="eastAsia"/>
          <w:highlight w:val="none"/>
          <w:lang w:val="en-US" w:eastAsia="zh-CN"/>
        </w:rPr>
      </w:pPr>
      <w:r>
        <w:rPr>
          <w:rFonts w:hint="eastAsia"/>
          <w:highlight w:val="none"/>
          <w:lang w:val="en-US" w:eastAsia="zh-CN"/>
        </w:rPr>
        <w:t>农村信用村信用户建设321</w:t>
      </w:r>
    </w:p>
    <w:p w14:paraId="64D5CD12">
      <w:pPr>
        <w:bidi w:val="0"/>
        <w:rPr>
          <w:rFonts w:hint="eastAsia"/>
          <w:highlight w:val="none"/>
          <w:lang w:val="en-US" w:eastAsia="zh-CN"/>
        </w:rPr>
      </w:pPr>
      <w:r>
        <w:rPr>
          <w:rFonts w:hint="eastAsia"/>
          <w:highlight w:val="none"/>
          <w:lang w:val="en-US" w:eastAsia="zh-CN"/>
        </w:rPr>
        <w:t>农村医疗卫生284</w:t>
      </w:r>
    </w:p>
    <w:p w14:paraId="778896F3">
      <w:pPr>
        <w:bidi w:val="0"/>
        <w:rPr>
          <w:rFonts w:hint="eastAsia"/>
          <w:highlight w:val="none"/>
          <w:lang w:val="en-US" w:eastAsia="zh-CN"/>
        </w:rPr>
      </w:pPr>
      <w:r>
        <w:rPr>
          <w:rFonts w:hint="eastAsia"/>
          <w:highlight w:val="none"/>
          <w:lang w:val="en-US" w:eastAsia="zh-CN"/>
        </w:rPr>
        <w:t>农村综合改革197</w:t>
      </w:r>
    </w:p>
    <w:p w14:paraId="5C0B913E">
      <w:pPr>
        <w:bidi w:val="0"/>
        <w:rPr>
          <w:rFonts w:hint="eastAsia"/>
          <w:highlight w:val="none"/>
          <w:lang w:val="en-US" w:eastAsia="zh-CN"/>
        </w:rPr>
      </w:pPr>
      <w:r>
        <w:rPr>
          <w:rFonts w:hint="eastAsia"/>
          <w:highlight w:val="none"/>
          <w:lang w:val="en-US" w:eastAsia="zh-CN"/>
        </w:rPr>
        <w:t>农电改革185</w:t>
      </w:r>
    </w:p>
    <w:p w14:paraId="0C035FAC">
      <w:pPr>
        <w:bidi w:val="0"/>
        <w:rPr>
          <w:rFonts w:hint="eastAsia"/>
          <w:highlight w:val="none"/>
          <w:lang w:val="en-US" w:eastAsia="zh-CN"/>
        </w:rPr>
      </w:pPr>
      <w:r>
        <w:rPr>
          <w:rFonts w:hint="eastAsia"/>
          <w:highlight w:val="none"/>
          <w:lang w:val="en-US" w:eastAsia="zh-CN"/>
        </w:rPr>
        <w:t>农机安全监理工作200</w:t>
      </w:r>
    </w:p>
    <w:p w14:paraId="66983517">
      <w:pPr>
        <w:bidi w:val="0"/>
        <w:rPr>
          <w:rFonts w:hint="eastAsia"/>
          <w:highlight w:val="none"/>
          <w:lang w:val="en-US" w:eastAsia="zh-CN"/>
        </w:rPr>
      </w:pPr>
      <w:r>
        <w:rPr>
          <w:rFonts w:hint="eastAsia"/>
          <w:highlight w:val="none"/>
          <w:lang w:val="en-US" w:eastAsia="zh-CN"/>
        </w:rPr>
        <w:t>农机购置补贴200</w:t>
      </w:r>
    </w:p>
    <w:p w14:paraId="2275F105">
      <w:pPr>
        <w:bidi w:val="0"/>
        <w:rPr>
          <w:rFonts w:hint="eastAsia"/>
          <w:highlight w:val="none"/>
          <w:lang w:val="en-US" w:eastAsia="zh-CN"/>
        </w:rPr>
      </w:pPr>
      <w:r>
        <w:rPr>
          <w:rFonts w:hint="eastAsia"/>
          <w:highlight w:val="none"/>
          <w:lang w:val="en-US" w:eastAsia="zh-CN"/>
        </w:rPr>
        <w:t>农机化管理情况200</w:t>
      </w:r>
    </w:p>
    <w:p w14:paraId="19907692">
      <w:pPr>
        <w:bidi w:val="0"/>
        <w:rPr>
          <w:rFonts w:hint="eastAsia"/>
          <w:highlight w:val="none"/>
          <w:lang w:val="en-US" w:eastAsia="zh-CN"/>
        </w:rPr>
      </w:pPr>
      <w:r>
        <w:rPr>
          <w:rFonts w:hint="eastAsia"/>
          <w:highlight w:val="none"/>
          <w:lang w:val="en-US" w:eastAsia="zh-CN"/>
        </w:rPr>
        <w:t>农机化生产情况200</w:t>
      </w:r>
    </w:p>
    <w:p w14:paraId="386A4879">
      <w:pPr>
        <w:bidi w:val="0"/>
        <w:rPr>
          <w:rFonts w:hint="eastAsia"/>
          <w:highlight w:val="none"/>
          <w:lang w:val="en-US" w:eastAsia="zh-CN"/>
        </w:rPr>
      </w:pPr>
      <w:r>
        <w:rPr>
          <w:rFonts w:hint="eastAsia"/>
          <w:highlight w:val="none"/>
          <w:lang w:val="en-US" w:eastAsia="zh-CN"/>
        </w:rPr>
        <w:t>农机拥有量199</w:t>
      </w:r>
    </w:p>
    <w:p w14:paraId="3B25EE12">
      <w:pPr>
        <w:bidi w:val="0"/>
        <w:rPr>
          <w:rFonts w:hint="eastAsia"/>
          <w:highlight w:val="none"/>
          <w:lang w:val="en-US" w:eastAsia="zh-CN"/>
        </w:rPr>
      </w:pPr>
      <w:r>
        <w:rPr>
          <w:rFonts w:hint="eastAsia"/>
          <w:highlight w:val="none"/>
          <w:lang w:val="en-US" w:eastAsia="zh-CN"/>
        </w:rPr>
        <w:t>农机作业服务组织199</w:t>
      </w:r>
    </w:p>
    <w:p w14:paraId="4662E388">
      <w:pPr>
        <w:bidi w:val="0"/>
        <w:rPr>
          <w:rFonts w:hint="eastAsia"/>
          <w:highlight w:val="none"/>
          <w:lang w:val="en-US" w:eastAsia="zh-CN"/>
        </w:rPr>
      </w:pPr>
      <w:r>
        <w:rPr>
          <w:rFonts w:hint="eastAsia"/>
          <w:highlight w:val="none"/>
          <w:lang w:val="en-US" w:eastAsia="zh-CN"/>
        </w:rPr>
        <w:t>农家乐发展256</w:t>
      </w:r>
    </w:p>
    <w:p w14:paraId="0F64631E">
      <w:pPr>
        <w:bidi w:val="0"/>
        <w:rPr>
          <w:rFonts w:hint="eastAsia"/>
          <w:highlight w:val="none"/>
          <w:lang w:val="en-US" w:eastAsia="zh-CN"/>
        </w:rPr>
      </w:pPr>
      <w:r>
        <w:rPr>
          <w:rFonts w:hint="eastAsia"/>
          <w:highlight w:val="none"/>
          <w:lang w:val="en-US" w:eastAsia="zh-CN"/>
        </w:rPr>
        <w:t>农业196</w:t>
      </w:r>
    </w:p>
    <w:p w14:paraId="6827E77A">
      <w:pPr>
        <w:bidi w:val="0"/>
        <w:rPr>
          <w:rFonts w:hint="eastAsia"/>
          <w:highlight w:val="none"/>
          <w:lang w:val="en-US" w:eastAsia="zh-CN"/>
        </w:rPr>
      </w:pPr>
      <w:r>
        <w:rPr>
          <w:rFonts w:hint="eastAsia"/>
          <w:highlight w:val="none"/>
          <w:lang w:val="en-US" w:eastAsia="zh-CN"/>
        </w:rPr>
        <w:t>农业安全生产197</w:t>
      </w:r>
    </w:p>
    <w:p w14:paraId="3D6B9DCE">
      <w:pPr>
        <w:bidi w:val="0"/>
        <w:rPr>
          <w:rFonts w:hint="eastAsia"/>
          <w:highlight w:val="none"/>
          <w:lang w:val="en-US" w:eastAsia="zh-CN"/>
        </w:rPr>
      </w:pPr>
      <w:r>
        <w:rPr>
          <w:rFonts w:hint="eastAsia"/>
          <w:highlight w:val="none"/>
          <w:lang w:val="en-US" w:eastAsia="zh-CN"/>
        </w:rPr>
        <w:t>农业产业化发展197</w:t>
      </w:r>
    </w:p>
    <w:p w14:paraId="27777D20">
      <w:pPr>
        <w:bidi w:val="0"/>
        <w:rPr>
          <w:rFonts w:hint="eastAsia"/>
          <w:highlight w:val="none"/>
          <w:lang w:val="en-US" w:eastAsia="zh-CN"/>
        </w:rPr>
      </w:pPr>
      <w:r>
        <w:rPr>
          <w:rFonts w:hint="eastAsia"/>
          <w:highlight w:val="none"/>
          <w:lang w:val="en-US" w:eastAsia="zh-CN"/>
        </w:rPr>
        <w:t>农业调查165</w:t>
      </w:r>
    </w:p>
    <w:p w14:paraId="1F602A3D">
      <w:pPr>
        <w:bidi w:val="0"/>
        <w:rPr>
          <w:rFonts w:hint="eastAsia"/>
          <w:highlight w:val="none"/>
          <w:lang w:val="en-US" w:eastAsia="zh-CN"/>
        </w:rPr>
      </w:pPr>
      <w:r>
        <w:rPr>
          <w:rFonts w:hint="eastAsia"/>
          <w:highlight w:val="none"/>
          <w:lang w:val="en-US" w:eastAsia="zh-CN"/>
        </w:rPr>
        <w:t>农业发展372</w:t>
      </w:r>
    </w:p>
    <w:p w14:paraId="6694A0CF">
      <w:pPr>
        <w:bidi w:val="0"/>
        <w:rPr>
          <w:rFonts w:hint="eastAsia"/>
          <w:highlight w:val="none"/>
          <w:lang w:val="en-US" w:eastAsia="zh-CN"/>
        </w:rPr>
      </w:pPr>
      <w:r>
        <w:rPr>
          <w:rFonts w:hint="eastAsia"/>
          <w:highlight w:val="none"/>
          <w:lang w:val="en-US" w:eastAsia="zh-CN"/>
        </w:rPr>
        <w:t>农业和农村经济349</w:t>
      </w:r>
    </w:p>
    <w:p w14:paraId="5006C6B6">
      <w:pPr>
        <w:bidi w:val="0"/>
        <w:rPr>
          <w:rFonts w:hint="eastAsia"/>
          <w:highlight w:val="none"/>
          <w:lang w:val="en-US" w:eastAsia="zh-CN"/>
        </w:rPr>
      </w:pPr>
      <w:r>
        <w:rPr>
          <w:rFonts w:hint="eastAsia"/>
          <w:highlight w:val="none"/>
          <w:lang w:val="en-US" w:eastAsia="zh-CN"/>
        </w:rPr>
        <w:t>农业机械199</w:t>
      </w:r>
    </w:p>
    <w:p w14:paraId="5A8F00BB">
      <w:pPr>
        <w:bidi w:val="0"/>
        <w:rPr>
          <w:rFonts w:hint="eastAsia"/>
          <w:highlight w:val="none"/>
          <w:lang w:val="en-US" w:eastAsia="zh-CN"/>
        </w:rPr>
      </w:pPr>
      <w:r>
        <w:rPr>
          <w:rFonts w:hint="eastAsia"/>
          <w:highlight w:val="none"/>
          <w:lang w:val="en-US" w:eastAsia="zh-CN"/>
        </w:rPr>
        <w:t>农业基础设施建设354</w:t>
      </w:r>
    </w:p>
    <w:p w14:paraId="19B906F7">
      <w:pPr>
        <w:bidi w:val="0"/>
        <w:rPr>
          <w:rFonts w:hint="eastAsia"/>
          <w:highlight w:val="none"/>
          <w:lang w:val="en-US" w:eastAsia="zh-CN"/>
        </w:rPr>
      </w:pPr>
      <w:r>
        <w:rPr>
          <w:rFonts w:hint="eastAsia"/>
          <w:highlight w:val="none"/>
          <w:lang w:val="en-US" w:eastAsia="zh-CN"/>
        </w:rPr>
        <w:t>农业经济85</w:t>
      </w:r>
    </w:p>
    <w:p w14:paraId="4BACF0EA">
      <w:pPr>
        <w:bidi w:val="0"/>
        <w:rPr>
          <w:rFonts w:hint="eastAsia"/>
          <w:highlight w:val="none"/>
          <w:lang w:val="en-US" w:eastAsia="zh-CN"/>
        </w:rPr>
      </w:pPr>
      <w:r>
        <w:rPr>
          <w:rFonts w:hint="eastAsia"/>
          <w:highlight w:val="none"/>
          <w:lang w:val="en-US" w:eastAsia="zh-CN"/>
        </w:rPr>
        <w:t>农业农村基础设施建设361</w:t>
      </w:r>
    </w:p>
    <w:p w14:paraId="35EAC0FF">
      <w:pPr>
        <w:bidi w:val="0"/>
        <w:rPr>
          <w:rFonts w:hint="eastAsia"/>
          <w:highlight w:val="none"/>
          <w:lang w:val="en-US" w:eastAsia="zh-CN"/>
        </w:rPr>
      </w:pPr>
      <w:r>
        <w:rPr>
          <w:rFonts w:hint="eastAsia"/>
          <w:highlight w:val="none"/>
          <w:lang w:val="en-US" w:eastAsia="zh-CN"/>
        </w:rPr>
        <w:t>农业农村经济360</w:t>
      </w:r>
    </w:p>
    <w:p w14:paraId="0A422C5E">
      <w:pPr>
        <w:bidi w:val="0"/>
        <w:rPr>
          <w:rFonts w:hint="eastAsia"/>
          <w:highlight w:val="none"/>
          <w:lang w:val="en-US" w:eastAsia="zh-CN"/>
        </w:rPr>
      </w:pPr>
      <w:r>
        <w:rPr>
          <w:rFonts w:hint="eastAsia"/>
          <w:highlight w:val="none"/>
          <w:lang w:val="en-US" w:eastAsia="zh-CN"/>
        </w:rPr>
        <w:t>农业生产196 340</w:t>
      </w:r>
    </w:p>
    <w:p w14:paraId="2796063C">
      <w:pPr>
        <w:bidi w:val="0"/>
        <w:rPr>
          <w:rFonts w:hint="eastAsia"/>
          <w:highlight w:val="none"/>
          <w:lang w:val="en-US" w:eastAsia="zh-CN"/>
        </w:rPr>
      </w:pPr>
      <w:r>
        <w:rPr>
          <w:rFonts w:hint="eastAsia"/>
          <w:highlight w:val="none"/>
          <w:lang w:val="en-US" w:eastAsia="zh-CN"/>
        </w:rPr>
        <w:t>农业生产资料购销249</w:t>
      </w:r>
    </w:p>
    <w:p w14:paraId="2A3FCBCD">
      <w:pPr>
        <w:bidi w:val="0"/>
        <w:rPr>
          <w:rFonts w:hint="eastAsia"/>
          <w:highlight w:val="none"/>
          <w:lang w:val="en-US" w:eastAsia="zh-CN"/>
        </w:rPr>
      </w:pPr>
      <w:r>
        <w:rPr>
          <w:rFonts w:hint="eastAsia"/>
          <w:highlight w:val="none"/>
          <w:lang w:val="en-US" w:eastAsia="zh-CN"/>
        </w:rPr>
        <w:t>农业执法198</w:t>
      </w:r>
    </w:p>
    <w:p w14:paraId="64664D7C">
      <w:pPr>
        <w:bidi w:val="0"/>
        <w:rPr>
          <w:rFonts w:hint="eastAsia"/>
          <w:highlight w:val="none"/>
          <w:lang w:val="en-US" w:eastAsia="zh-CN"/>
        </w:rPr>
      </w:pPr>
      <w:r>
        <w:rPr>
          <w:rFonts w:hint="eastAsia"/>
          <w:highlight w:val="none"/>
          <w:lang w:val="en-US" w:eastAsia="zh-CN"/>
        </w:rPr>
        <w:t>女工工作118</w:t>
      </w:r>
    </w:p>
    <w:p w14:paraId="157C02FF">
      <w:pPr>
        <w:pStyle w:val="4"/>
        <w:bidi w:val="0"/>
        <w:rPr>
          <w:rFonts w:hint="eastAsia"/>
          <w:highlight w:val="none"/>
          <w:lang w:val="en-US" w:eastAsia="zh-CN"/>
        </w:rPr>
      </w:pPr>
      <w:r>
        <w:rPr>
          <w:rFonts w:hint="eastAsia"/>
          <w:highlight w:val="none"/>
          <w:lang w:val="en-US" w:eastAsia="zh-CN"/>
        </w:rPr>
        <w:t>P</w:t>
      </w:r>
    </w:p>
    <w:p w14:paraId="56BB327F">
      <w:pPr>
        <w:bidi w:val="0"/>
        <w:rPr>
          <w:rFonts w:hint="eastAsia"/>
          <w:highlight w:val="none"/>
          <w:lang w:val="en-US" w:eastAsia="zh-CN"/>
        </w:rPr>
      </w:pPr>
      <w:r>
        <w:rPr>
          <w:rFonts w:hint="eastAsia"/>
          <w:highlight w:val="none"/>
          <w:lang w:val="en-US" w:eastAsia="zh-CN"/>
        </w:rPr>
        <w:t>培训工作49</w:t>
      </w:r>
    </w:p>
    <w:p w14:paraId="11EABCD4">
      <w:pPr>
        <w:bidi w:val="0"/>
        <w:rPr>
          <w:rFonts w:hint="eastAsia"/>
          <w:highlight w:val="none"/>
          <w:lang w:val="en-US" w:eastAsia="zh-CN"/>
        </w:rPr>
      </w:pPr>
      <w:r>
        <w:rPr>
          <w:rFonts w:hint="eastAsia"/>
          <w:highlight w:val="none"/>
          <w:lang w:val="en-US" w:eastAsia="zh-CN"/>
        </w:rPr>
        <w:t>品种展不198</w:t>
      </w:r>
    </w:p>
    <w:p w14:paraId="6DA5B3A1">
      <w:pPr>
        <w:bidi w:val="0"/>
        <w:rPr>
          <w:rFonts w:hint="eastAsia"/>
          <w:highlight w:val="none"/>
          <w:lang w:val="en-US" w:eastAsia="zh-CN"/>
        </w:rPr>
      </w:pPr>
      <w:r>
        <w:rPr>
          <w:rFonts w:hint="eastAsia"/>
          <w:highlight w:val="none"/>
          <w:lang w:val="en-US" w:eastAsia="zh-CN"/>
        </w:rPr>
        <w:t>平安建设354</w:t>
      </w:r>
    </w:p>
    <w:p w14:paraId="35365068">
      <w:pPr>
        <w:bidi w:val="0"/>
        <w:rPr>
          <w:rFonts w:hint="eastAsia"/>
          <w:highlight w:val="none"/>
          <w:lang w:val="en-US" w:eastAsia="zh-CN"/>
        </w:rPr>
      </w:pPr>
      <w:r>
        <w:rPr>
          <w:rFonts w:hint="eastAsia"/>
          <w:highlight w:val="none"/>
          <w:lang w:val="en-US" w:eastAsia="zh-CN"/>
        </w:rPr>
        <w:t>坪田镇365</w:t>
      </w:r>
    </w:p>
    <w:p w14:paraId="24454FCB">
      <w:pPr>
        <w:bidi w:val="0"/>
        <w:rPr>
          <w:rFonts w:hint="eastAsia"/>
          <w:highlight w:val="none"/>
          <w:lang w:val="en-US" w:eastAsia="zh-CN"/>
        </w:rPr>
      </w:pPr>
      <w:r>
        <w:rPr>
          <w:rFonts w:hint="eastAsia"/>
          <w:highlight w:val="none"/>
          <w:lang w:val="en-US" w:eastAsia="zh-CN"/>
        </w:rPr>
        <w:t>普法教育和法学教育146</w:t>
      </w:r>
    </w:p>
    <w:p w14:paraId="767FBF01">
      <w:pPr>
        <w:pStyle w:val="4"/>
        <w:bidi w:val="0"/>
        <w:rPr>
          <w:rFonts w:hint="eastAsia"/>
          <w:highlight w:val="none"/>
          <w:lang w:val="en-US" w:eastAsia="zh-CN"/>
        </w:rPr>
      </w:pPr>
      <w:r>
        <w:rPr>
          <w:rFonts w:hint="eastAsia"/>
          <w:highlight w:val="none"/>
          <w:lang w:val="en-US" w:eastAsia="zh-CN"/>
        </w:rPr>
        <w:t>Q</w:t>
      </w:r>
    </w:p>
    <w:p w14:paraId="5A2A5078">
      <w:pPr>
        <w:bidi w:val="0"/>
        <w:rPr>
          <w:rFonts w:hint="eastAsia"/>
          <w:highlight w:val="none"/>
          <w:lang w:val="en-US" w:eastAsia="zh-CN"/>
        </w:rPr>
      </w:pPr>
      <w:r>
        <w:rPr>
          <w:rFonts w:hint="eastAsia"/>
          <w:highlight w:val="none"/>
          <w:lang w:val="en-US" w:eastAsia="zh-CN"/>
        </w:rPr>
        <w:t>其他工作316</w:t>
      </w:r>
    </w:p>
    <w:p w14:paraId="514E5B93">
      <w:pPr>
        <w:bidi w:val="0"/>
        <w:rPr>
          <w:rFonts w:hint="eastAsia"/>
          <w:highlight w:val="none"/>
          <w:lang w:val="en-US" w:eastAsia="zh-CN"/>
        </w:rPr>
      </w:pPr>
      <w:r>
        <w:rPr>
          <w:rFonts w:hint="eastAsia"/>
          <w:highlight w:val="none"/>
          <w:lang w:val="en-US" w:eastAsia="zh-CN"/>
        </w:rPr>
        <w:t>其他审计169</w:t>
      </w:r>
    </w:p>
    <w:p w14:paraId="4A8BBDAD">
      <w:pPr>
        <w:bidi w:val="0"/>
        <w:rPr>
          <w:rFonts w:hint="eastAsia"/>
          <w:highlight w:val="none"/>
          <w:lang w:val="en-US" w:eastAsia="zh-CN"/>
        </w:rPr>
      </w:pPr>
      <w:r>
        <w:rPr>
          <w:rFonts w:hint="eastAsia"/>
          <w:highlight w:val="none"/>
          <w:lang w:val="en-US" w:eastAsia="zh-CN"/>
        </w:rPr>
        <w:t>气候水文35</w:t>
      </w:r>
    </w:p>
    <w:p w14:paraId="07CDB782">
      <w:pPr>
        <w:bidi w:val="0"/>
        <w:rPr>
          <w:rFonts w:hint="eastAsia"/>
          <w:highlight w:val="none"/>
          <w:lang w:val="en-US" w:eastAsia="zh-CN"/>
        </w:rPr>
      </w:pPr>
      <w:r>
        <w:rPr>
          <w:rFonts w:hint="eastAsia"/>
          <w:highlight w:val="none"/>
          <w:lang w:val="en-US" w:eastAsia="zh-CN"/>
        </w:rPr>
        <w:t>气象218</w:t>
      </w:r>
    </w:p>
    <w:p w14:paraId="127AC7C1">
      <w:pPr>
        <w:bidi w:val="0"/>
        <w:rPr>
          <w:rFonts w:hint="eastAsia"/>
          <w:highlight w:val="none"/>
          <w:lang w:val="en-US" w:eastAsia="zh-CN"/>
        </w:rPr>
      </w:pPr>
      <w:r>
        <w:rPr>
          <w:rFonts w:hint="eastAsia"/>
          <w:highlight w:val="none"/>
          <w:lang w:val="en-US" w:eastAsia="zh-CN"/>
        </w:rPr>
        <w:t>气象设施建设219</w:t>
      </w:r>
    </w:p>
    <w:p w14:paraId="7BC767A0">
      <w:pPr>
        <w:bidi w:val="0"/>
        <w:rPr>
          <w:rFonts w:hint="eastAsia"/>
          <w:highlight w:val="none"/>
          <w:lang w:val="en-US" w:eastAsia="zh-CN"/>
        </w:rPr>
      </w:pPr>
      <w:r>
        <w:rPr>
          <w:rFonts w:hint="eastAsia"/>
          <w:highlight w:val="none"/>
          <w:lang w:val="en-US" w:eastAsia="zh-CN"/>
        </w:rPr>
        <w:t>企业管理235</w:t>
      </w:r>
    </w:p>
    <w:p w14:paraId="31D1EFF9">
      <w:pPr>
        <w:bidi w:val="0"/>
        <w:rPr>
          <w:rFonts w:hint="eastAsia"/>
          <w:highlight w:val="none"/>
          <w:lang w:val="en-US" w:eastAsia="zh-CN"/>
        </w:rPr>
      </w:pPr>
      <w:r>
        <w:rPr>
          <w:rFonts w:hint="eastAsia"/>
          <w:highlight w:val="none"/>
          <w:lang w:val="en-US" w:eastAsia="zh-CN"/>
        </w:rPr>
        <w:t>企业基础建设162</w:t>
      </w:r>
    </w:p>
    <w:p w14:paraId="4AD8C4F0">
      <w:pPr>
        <w:bidi w:val="0"/>
        <w:rPr>
          <w:rFonts w:hint="eastAsia"/>
          <w:highlight w:val="none"/>
          <w:lang w:val="en-US" w:eastAsia="zh-CN"/>
        </w:rPr>
      </w:pPr>
      <w:r>
        <w:rPr>
          <w:rFonts w:hint="eastAsia"/>
          <w:highlight w:val="none"/>
          <w:lang w:val="en-US" w:eastAsia="zh-CN"/>
        </w:rPr>
        <w:t>企业军转干解困312</w:t>
      </w:r>
    </w:p>
    <w:p w14:paraId="24B7EDB2">
      <w:pPr>
        <w:bidi w:val="0"/>
        <w:rPr>
          <w:rFonts w:hint="eastAsia"/>
          <w:highlight w:val="none"/>
          <w:lang w:val="en-US" w:eastAsia="zh-CN"/>
        </w:rPr>
      </w:pPr>
      <w:r>
        <w:rPr>
          <w:rFonts w:hint="eastAsia"/>
          <w:highlight w:val="none"/>
          <w:lang w:val="en-US" w:eastAsia="zh-CN"/>
        </w:rPr>
        <w:t>企业内部管理223</w:t>
      </w:r>
    </w:p>
    <w:p w14:paraId="492FEB75">
      <w:pPr>
        <w:bidi w:val="0"/>
        <w:rPr>
          <w:rFonts w:hint="eastAsia"/>
          <w:highlight w:val="none"/>
          <w:lang w:val="en-US" w:eastAsia="zh-CN"/>
        </w:rPr>
      </w:pPr>
      <w:r>
        <w:rPr>
          <w:rFonts w:hint="eastAsia"/>
          <w:highlight w:val="none"/>
          <w:lang w:val="en-US" w:eastAsia="zh-CN"/>
        </w:rPr>
        <w:t>企业选介187</w:t>
      </w:r>
    </w:p>
    <w:p w14:paraId="6FA9B0CE">
      <w:pPr>
        <w:bidi w:val="0"/>
        <w:rPr>
          <w:rFonts w:hint="eastAsia"/>
          <w:highlight w:val="none"/>
          <w:lang w:val="en-US" w:eastAsia="zh-CN"/>
        </w:rPr>
      </w:pPr>
      <w:r>
        <w:rPr>
          <w:rFonts w:hint="eastAsia"/>
          <w:highlight w:val="none"/>
          <w:lang w:val="en-US" w:eastAsia="zh-CN"/>
        </w:rPr>
        <w:t>签证工作91</w:t>
      </w:r>
    </w:p>
    <w:p w14:paraId="473597B0">
      <w:pPr>
        <w:bidi w:val="0"/>
        <w:rPr>
          <w:rFonts w:hint="eastAsia"/>
          <w:highlight w:val="none"/>
          <w:lang w:val="en-US" w:eastAsia="zh-CN"/>
        </w:rPr>
      </w:pPr>
      <w:r>
        <w:rPr>
          <w:rFonts w:hint="eastAsia"/>
          <w:highlight w:val="none"/>
          <w:lang w:val="en-US" w:eastAsia="zh-CN"/>
        </w:rPr>
        <w:t>强化安全生产专项整治180</w:t>
      </w:r>
    </w:p>
    <w:p w14:paraId="7B2FBA40">
      <w:pPr>
        <w:bidi w:val="0"/>
        <w:rPr>
          <w:rFonts w:hint="eastAsia"/>
          <w:highlight w:val="none"/>
          <w:lang w:val="en-US" w:eastAsia="zh-CN"/>
        </w:rPr>
      </w:pPr>
      <w:r>
        <w:rPr>
          <w:rFonts w:hint="eastAsia"/>
          <w:highlight w:val="none"/>
          <w:lang w:val="en-US" w:eastAsia="zh-CN"/>
        </w:rPr>
        <w:t>强化财政队伍建设260</w:t>
      </w:r>
    </w:p>
    <w:p w14:paraId="5158846D">
      <w:pPr>
        <w:bidi w:val="0"/>
        <w:rPr>
          <w:rFonts w:hint="eastAsia"/>
          <w:highlight w:val="none"/>
          <w:lang w:val="en-US" w:eastAsia="zh-CN"/>
        </w:rPr>
      </w:pPr>
      <w:r>
        <w:rPr>
          <w:rFonts w:hint="eastAsia"/>
          <w:highlight w:val="none"/>
          <w:lang w:val="en-US" w:eastAsia="zh-CN"/>
        </w:rPr>
        <w:t>强化作风建设和内部管理266</w:t>
      </w:r>
    </w:p>
    <w:p w14:paraId="7D062EBF">
      <w:pPr>
        <w:bidi w:val="0"/>
        <w:rPr>
          <w:rFonts w:hint="eastAsia"/>
          <w:highlight w:val="none"/>
          <w:lang w:val="en-US" w:eastAsia="zh-CN"/>
        </w:rPr>
      </w:pPr>
      <w:r>
        <w:rPr>
          <w:rFonts w:hint="eastAsia"/>
          <w:highlight w:val="none"/>
          <w:lang w:val="en-US" w:eastAsia="zh-CN"/>
        </w:rPr>
        <w:t>侨捐工作91</w:t>
      </w:r>
    </w:p>
    <w:p w14:paraId="49E951E9">
      <w:pPr>
        <w:bidi w:val="0"/>
        <w:rPr>
          <w:rFonts w:hint="eastAsia"/>
          <w:highlight w:val="none"/>
          <w:lang w:val="en-US" w:eastAsia="zh-CN"/>
        </w:rPr>
      </w:pPr>
      <w:r>
        <w:rPr>
          <w:rFonts w:hint="eastAsia"/>
          <w:highlight w:val="none"/>
          <w:lang w:val="en-US" w:eastAsia="zh-CN"/>
        </w:rPr>
        <w:t>情系桑梓共谋发展253</w:t>
      </w:r>
    </w:p>
    <w:p w14:paraId="67A5A036">
      <w:pPr>
        <w:bidi w:val="0"/>
        <w:rPr>
          <w:rFonts w:hint="eastAsia"/>
          <w:highlight w:val="none"/>
          <w:lang w:val="en-US" w:eastAsia="zh-CN"/>
        </w:rPr>
      </w:pPr>
      <w:r>
        <w:rPr>
          <w:rFonts w:hint="eastAsia"/>
          <w:highlight w:val="none"/>
          <w:lang w:val="en-US" w:eastAsia="zh-CN"/>
        </w:rPr>
        <w:t>区域站建设198</w:t>
      </w:r>
    </w:p>
    <w:p w14:paraId="77A523FB">
      <w:pPr>
        <w:bidi w:val="0"/>
        <w:rPr>
          <w:rFonts w:hint="eastAsia"/>
          <w:highlight w:val="none"/>
          <w:lang w:val="en-US" w:eastAsia="zh-CN"/>
        </w:rPr>
      </w:pPr>
      <w:r>
        <w:rPr>
          <w:rFonts w:hint="eastAsia"/>
          <w:highlight w:val="none"/>
          <w:lang w:val="en-US" w:eastAsia="zh-CN"/>
        </w:rPr>
        <w:t>权责清单编制59</w:t>
      </w:r>
    </w:p>
    <w:p w14:paraId="68221A10">
      <w:pPr>
        <w:bidi w:val="0"/>
        <w:rPr>
          <w:rFonts w:hint="eastAsia"/>
          <w:highlight w:val="none"/>
          <w:lang w:val="en-US" w:eastAsia="zh-CN"/>
        </w:rPr>
      </w:pPr>
      <w:r>
        <w:rPr>
          <w:rFonts w:hint="eastAsia"/>
          <w:highlight w:val="none"/>
          <w:lang w:val="en-US" w:eastAsia="zh-CN"/>
        </w:rPr>
        <w:t>全安镇357</w:t>
      </w:r>
    </w:p>
    <w:p w14:paraId="2A8C84F8">
      <w:pPr>
        <w:bidi w:val="0"/>
        <w:rPr>
          <w:rFonts w:hint="eastAsia"/>
          <w:highlight w:val="none"/>
          <w:lang w:val="en-US" w:eastAsia="zh-CN"/>
        </w:rPr>
      </w:pPr>
      <w:r>
        <w:rPr>
          <w:rFonts w:hint="eastAsia"/>
          <w:highlight w:val="none"/>
          <w:lang w:val="en-US" w:eastAsia="zh-CN"/>
        </w:rPr>
        <w:t>全国劳动模范李步荣39</w:t>
      </w:r>
    </w:p>
    <w:p w14:paraId="4B542C85">
      <w:pPr>
        <w:bidi w:val="0"/>
        <w:rPr>
          <w:rFonts w:hint="eastAsia"/>
          <w:highlight w:val="none"/>
          <w:lang w:val="en-US" w:eastAsia="zh-CN"/>
        </w:rPr>
      </w:pPr>
      <w:r>
        <w:rPr>
          <w:rFonts w:hint="eastAsia"/>
          <w:highlight w:val="none"/>
          <w:lang w:val="en-US" w:eastAsia="zh-CN"/>
        </w:rPr>
        <w:t>全国文明村镇珠巩镇40</w:t>
      </w:r>
    </w:p>
    <w:p w14:paraId="3CD3BC2E">
      <w:pPr>
        <w:bidi w:val="0"/>
        <w:rPr>
          <w:rFonts w:hint="eastAsia"/>
          <w:highlight w:val="none"/>
          <w:lang w:val="en-US" w:eastAsia="zh-CN"/>
        </w:rPr>
      </w:pPr>
      <w:r>
        <w:rPr>
          <w:rFonts w:hint="eastAsia"/>
          <w:highlight w:val="none"/>
          <w:lang w:val="en-US" w:eastAsia="zh-CN"/>
        </w:rPr>
        <w:t>全国月度劳动力调查166</w:t>
      </w:r>
    </w:p>
    <w:p w14:paraId="6E994A06">
      <w:pPr>
        <w:bidi w:val="0"/>
        <w:rPr>
          <w:rFonts w:hint="eastAsia"/>
          <w:highlight w:val="none"/>
          <w:lang w:val="en-US" w:eastAsia="zh-CN"/>
        </w:rPr>
      </w:pPr>
      <w:r>
        <w:rPr>
          <w:rFonts w:hint="eastAsia"/>
          <w:highlight w:val="none"/>
          <w:lang w:val="en-US" w:eastAsia="zh-CN"/>
        </w:rPr>
        <w:t>全市计生工作会议29</w:t>
      </w:r>
    </w:p>
    <w:p w14:paraId="1044820B">
      <w:pPr>
        <w:bidi w:val="0"/>
        <w:rPr>
          <w:rFonts w:hint="eastAsia"/>
          <w:highlight w:val="none"/>
          <w:lang w:val="en-US" w:eastAsia="zh-CN"/>
        </w:rPr>
      </w:pPr>
      <w:r>
        <w:rPr>
          <w:rFonts w:hint="eastAsia"/>
          <w:highlight w:val="none"/>
          <w:lang w:val="en-US" w:eastAsia="zh-CN"/>
        </w:rPr>
        <w:t>确保造林成效202</w:t>
      </w:r>
    </w:p>
    <w:p w14:paraId="748BB580">
      <w:pPr>
        <w:pStyle w:val="4"/>
        <w:bidi w:val="0"/>
        <w:rPr>
          <w:rFonts w:hint="eastAsia"/>
          <w:highlight w:val="none"/>
          <w:lang w:val="en-US" w:eastAsia="zh-CN"/>
        </w:rPr>
      </w:pPr>
      <w:r>
        <w:rPr>
          <w:rFonts w:hint="eastAsia"/>
          <w:highlight w:val="none"/>
          <w:lang w:val="en-US" w:eastAsia="zh-CN"/>
        </w:rPr>
        <w:t>R</w:t>
      </w:r>
    </w:p>
    <w:p w14:paraId="3123FE1D">
      <w:pPr>
        <w:bidi w:val="0"/>
        <w:rPr>
          <w:rFonts w:hint="eastAsia"/>
          <w:highlight w:val="none"/>
          <w:lang w:val="en-US" w:eastAsia="zh-CN"/>
        </w:rPr>
      </w:pPr>
      <w:r>
        <w:rPr>
          <w:rFonts w:hint="eastAsia"/>
          <w:highlight w:val="none"/>
          <w:lang w:val="en-US" w:eastAsia="zh-CN"/>
        </w:rPr>
        <w:t>燃气安全243</w:t>
      </w:r>
    </w:p>
    <w:p w14:paraId="57A88909">
      <w:pPr>
        <w:bidi w:val="0"/>
        <w:rPr>
          <w:rFonts w:hint="eastAsia"/>
          <w:highlight w:val="none"/>
          <w:lang w:val="en-US" w:eastAsia="zh-CN"/>
        </w:rPr>
      </w:pPr>
      <w:r>
        <w:rPr>
          <w:rFonts w:hint="eastAsia"/>
          <w:highlight w:val="none"/>
          <w:lang w:val="en-US" w:eastAsia="zh-CN"/>
        </w:rPr>
        <w:t>燃气安全管理241</w:t>
      </w:r>
    </w:p>
    <w:p w14:paraId="074CDDFB">
      <w:pPr>
        <w:bidi w:val="0"/>
        <w:rPr>
          <w:rFonts w:hint="eastAsia"/>
          <w:highlight w:val="none"/>
          <w:lang w:val="en-US" w:eastAsia="zh-CN"/>
        </w:rPr>
      </w:pPr>
      <w:r>
        <w:rPr>
          <w:rFonts w:hint="eastAsia"/>
          <w:highlight w:val="none"/>
          <w:lang w:val="en-US" w:eastAsia="zh-CN"/>
        </w:rPr>
        <w:t>人才服务工作312</w:t>
      </w:r>
    </w:p>
    <w:p w14:paraId="077729AB">
      <w:pPr>
        <w:bidi w:val="0"/>
        <w:rPr>
          <w:rFonts w:hint="eastAsia"/>
          <w:highlight w:val="none"/>
          <w:lang w:val="en-US" w:eastAsia="zh-CN"/>
        </w:rPr>
      </w:pPr>
      <w:r>
        <w:rPr>
          <w:rFonts w:hint="eastAsia"/>
          <w:highlight w:val="none"/>
          <w:lang w:val="en-US" w:eastAsia="zh-CN"/>
        </w:rPr>
        <w:t>人才工作49</w:t>
      </w:r>
    </w:p>
    <w:p w14:paraId="7F602A1C">
      <w:pPr>
        <w:bidi w:val="0"/>
        <w:rPr>
          <w:rFonts w:hint="eastAsia"/>
          <w:highlight w:val="none"/>
          <w:lang w:val="en-US" w:eastAsia="zh-CN"/>
        </w:rPr>
      </w:pPr>
      <w:r>
        <w:rPr>
          <w:rFonts w:hint="eastAsia"/>
          <w:highlight w:val="none"/>
          <w:lang w:val="en-US" w:eastAsia="zh-CN"/>
        </w:rPr>
        <w:t>人才培训209</w:t>
      </w:r>
    </w:p>
    <w:p w14:paraId="2640B84B">
      <w:pPr>
        <w:bidi w:val="0"/>
        <w:rPr>
          <w:rFonts w:hint="eastAsia"/>
          <w:highlight w:val="none"/>
          <w:lang w:val="en-US" w:eastAsia="zh-CN"/>
        </w:rPr>
      </w:pPr>
      <w:r>
        <w:rPr>
          <w:rFonts w:hint="eastAsia"/>
          <w:highlight w:val="none"/>
          <w:lang w:val="en-US" w:eastAsia="zh-CN"/>
        </w:rPr>
        <w:t>人防工程建设158</w:t>
      </w:r>
    </w:p>
    <w:p w14:paraId="33A1D150">
      <w:pPr>
        <w:bidi w:val="0"/>
        <w:rPr>
          <w:rFonts w:hint="eastAsia"/>
          <w:highlight w:val="none"/>
          <w:lang w:val="en-US" w:eastAsia="zh-CN"/>
        </w:rPr>
      </w:pPr>
      <w:r>
        <w:rPr>
          <w:rFonts w:hint="eastAsia"/>
          <w:highlight w:val="none"/>
          <w:lang w:val="en-US" w:eastAsia="zh-CN"/>
        </w:rPr>
        <w:t>人口37</w:t>
      </w:r>
    </w:p>
    <w:p w14:paraId="7CA5CF5E">
      <w:pPr>
        <w:bidi w:val="0"/>
        <w:rPr>
          <w:rFonts w:hint="eastAsia"/>
          <w:highlight w:val="none"/>
          <w:lang w:val="en-US" w:eastAsia="zh-CN"/>
        </w:rPr>
      </w:pPr>
      <w:r>
        <w:rPr>
          <w:rFonts w:hint="eastAsia"/>
          <w:highlight w:val="none"/>
          <w:lang w:val="en-US" w:eastAsia="zh-CN"/>
        </w:rPr>
        <w:t>人口抽样调查162</w:t>
      </w:r>
    </w:p>
    <w:p w14:paraId="5CC5935B">
      <w:pPr>
        <w:bidi w:val="0"/>
        <w:rPr>
          <w:rFonts w:hint="eastAsia"/>
          <w:highlight w:val="none"/>
          <w:lang w:val="en-US" w:eastAsia="zh-CN"/>
        </w:rPr>
      </w:pPr>
      <w:r>
        <w:rPr>
          <w:rFonts w:hint="eastAsia"/>
          <w:highlight w:val="none"/>
          <w:lang w:val="en-US" w:eastAsia="zh-CN"/>
        </w:rPr>
        <w:t>1%人口抽样调查入户登记321</w:t>
      </w:r>
    </w:p>
    <w:p w14:paraId="5B1FF963">
      <w:pPr>
        <w:bidi w:val="0"/>
        <w:rPr>
          <w:rFonts w:hint="eastAsia"/>
          <w:highlight w:val="none"/>
          <w:lang w:val="en-US" w:eastAsia="zh-CN"/>
        </w:rPr>
      </w:pPr>
      <w:r>
        <w:rPr>
          <w:rFonts w:hint="eastAsia"/>
          <w:highlight w:val="none"/>
          <w:lang w:val="en-US" w:eastAsia="zh-CN"/>
        </w:rPr>
        <w:t>人口计生363</w:t>
      </w:r>
    </w:p>
    <w:p w14:paraId="73DB1695">
      <w:pPr>
        <w:bidi w:val="0"/>
        <w:rPr>
          <w:rFonts w:hint="eastAsia"/>
          <w:highlight w:val="none"/>
          <w:lang w:val="en-US" w:eastAsia="zh-CN"/>
        </w:rPr>
      </w:pPr>
      <w:r>
        <w:rPr>
          <w:rFonts w:hint="eastAsia"/>
          <w:highlight w:val="none"/>
          <w:lang w:val="en-US" w:eastAsia="zh-CN"/>
        </w:rPr>
        <w:t>人口计生宣传291</w:t>
      </w:r>
    </w:p>
    <w:p w14:paraId="08239160">
      <w:pPr>
        <w:bidi w:val="0"/>
        <w:rPr>
          <w:rFonts w:hint="eastAsia"/>
          <w:highlight w:val="none"/>
          <w:lang w:val="en-US" w:eastAsia="zh-CN"/>
        </w:rPr>
      </w:pPr>
      <w:r>
        <w:rPr>
          <w:rFonts w:hint="eastAsia"/>
          <w:highlight w:val="none"/>
          <w:lang w:val="en-US" w:eastAsia="zh-CN"/>
        </w:rPr>
        <w:t>人口专项整治292</w:t>
      </w:r>
    </w:p>
    <w:p w14:paraId="153A8488">
      <w:pPr>
        <w:bidi w:val="0"/>
        <w:rPr>
          <w:rFonts w:hint="eastAsia"/>
          <w:highlight w:val="none"/>
          <w:lang w:val="en-US" w:eastAsia="zh-CN"/>
        </w:rPr>
      </w:pPr>
      <w:r>
        <w:rPr>
          <w:rFonts w:hint="eastAsia"/>
          <w:highlight w:val="none"/>
          <w:lang w:val="en-US" w:eastAsia="zh-CN"/>
        </w:rPr>
        <w:t>人力资源和社会保障311</w:t>
      </w:r>
    </w:p>
    <w:p w14:paraId="0AA985EF">
      <w:pPr>
        <w:bidi w:val="0"/>
        <w:rPr>
          <w:rFonts w:hint="eastAsia"/>
          <w:highlight w:val="none"/>
          <w:lang w:val="en-US" w:eastAsia="zh-CN"/>
        </w:rPr>
      </w:pPr>
      <w:r>
        <w:rPr>
          <w:rFonts w:hint="eastAsia"/>
          <w:highlight w:val="none"/>
          <w:lang w:val="en-US" w:eastAsia="zh-CN"/>
        </w:rPr>
        <w:t>人民调解148</w:t>
      </w:r>
    </w:p>
    <w:p w14:paraId="2BE6AA11">
      <w:pPr>
        <w:bidi w:val="0"/>
        <w:rPr>
          <w:rFonts w:hint="eastAsia"/>
          <w:highlight w:val="none"/>
          <w:lang w:val="en-US" w:eastAsia="zh-CN"/>
        </w:rPr>
      </w:pPr>
      <w:r>
        <w:rPr>
          <w:rFonts w:hint="eastAsia"/>
          <w:highlight w:val="none"/>
          <w:lang w:val="en-US" w:eastAsia="zh-CN"/>
        </w:rPr>
        <w:t>人民防空158</w:t>
      </w:r>
    </w:p>
    <w:p w14:paraId="6353A976">
      <w:pPr>
        <w:bidi w:val="0"/>
        <w:rPr>
          <w:rFonts w:hint="eastAsia"/>
          <w:highlight w:val="none"/>
          <w:lang w:val="en-US" w:eastAsia="zh-CN"/>
        </w:rPr>
      </w:pPr>
      <w:r>
        <w:rPr>
          <w:rFonts w:hint="eastAsia"/>
          <w:highlight w:val="none"/>
          <w:lang w:val="en-US" w:eastAsia="zh-CN"/>
        </w:rPr>
        <w:t>人民生活86</w:t>
      </w:r>
    </w:p>
    <w:p w14:paraId="38ACB550">
      <w:pPr>
        <w:bidi w:val="0"/>
        <w:rPr>
          <w:rFonts w:hint="eastAsia"/>
          <w:highlight w:val="none"/>
          <w:lang w:val="en-US" w:eastAsia="zh-CN"/>
        </w:rPr>
      </w:pPr>
      <w:r>
        <w:rPr>
          <w:rFonts w:hint="eastAsia"/>
          <w:highlight w:val="none"/>
          <w:lang w:val="en-US" w:eastAsia="zh-CN"/>
        </w:rPr>
        <w:t>人民武装部149</w:t>
      </w:r>
    </w:p>
    <w:p w14:paraId="6EA2C5C0">
      <w:pPr>
        <w:bidi w:val="0"/>
        <w:rPr>
          <w:rFonts w:hint="eastAsia"/>
          <w:highlight w:val="none"/>
          <w:lang w:val="en-US" w:eastAsia="zh-CN"/>
        </w:rPr>
      </w:pPr>
      <w:r>
        <w:rPr>
          <w:rFonts w:hint="eastAsia"/>
          <w:highlight w:val="none"/>
          <w:lang w:val="en-US" w:eastAsia="zh-CN"/>
        </w:rPr>
        <w:t>人事改革262</w:t>
      </w:r>
    </w:p>
    <w:p w14:paraId="1EB23F9F">
      <w:pPr>
        <w:bidi w:val="0"/>
        <w:rPr>
          <w:rFonts w:hint="eastAsia"/>
          <w:highlight w:val="none"/>
          <w:lang w:val="en-US" w:eastAsia="zh-CN"/>
        </w:rPr>
      </w:pPr>
      <w:r>
        <w:rPr>
          <w:rFonts w:hint="eastAsia"/>
          <w:highlight w:val="none"/>
          <w:lang w:val="en-US" w:eastAsia="zh-CN"/>
        </w:rPr>
        <w:t>人事工作67</w:t>
      </w:r>
    </w:p>
    <w:p w14:paraId="674132DC">
      <w:pPr>
        <w:bidi w:val="0"/>
        <w:rPr>
          <w:rFonts w:hint="eastAsia"/>
          <w:highlight w:val="none"/>
          <w:lang w:val="en-US" w:eastAsia="zh-CN"/>
        </w:rPr>
      </w:pPr>
      <w:r>
        <w:rPr>
          <w:rFonts w:hint="eastAsia"/>
          <w:highlight w:val="none"/>
          <w:lang w:val="en-US" w:eastAsia="zh-CN"/>
        </w:rPr>
        <w:t>人事考试312</w:t>
      </w:r>
    </w:p>
    <w:p w14:paraId="11E3DE34">
      <w:pPr>
        <w:bidi w:val="0"/>
        <w:rPr>
          <w:rFonts w:hint="eastAsia"/>
          <w:highlight w:val="none"/>
          <w:lang w:val="en-US" w:eastAsia="zh-CN"/>
        </w:rPr>
      </w:pPr>
      <w:r>
        <w:rPr>
          <w:rFonts w:hint="eastAsia"/>
          <w:highlight w:val="none"/>
          <w:lang w:val="en-US" w:eastAsia="zh-CN"/>
        </w:rPr>
        <w:t>人事任免69 80</w:t>
      </w:r>
    </w:p>
    <w:p w14:paraId="658F230E">
      <w:pPr>
        <w:bidi w:val="0"/>
        <w:rPr>
          <w:rFonts w:hint="eastAsia"/>
          <w:highlight w:val="none"/>
          <w:lang w:val="en-US" w:eastAsia="zh-CN"/>
        </w:rPr>
      </w:pPr>
      <w:r>
        <w:rPr>
          <w:rFonts w:hint="eastAsia"/>
          <w:highlight w:val="none"/>
          <w:lang w:val="en-US" w:eastAsia="zh-CN"/>
        </w:rPr>
        <w:t>人文名胜368</w:t>
      </w:r>
    </w:p>
    <w:p w14:paraId="38A1BECD">
      <w:pPr>
        <w:bidi w:val="0"/>
        <w:rPr>
          <w:rFonts w:hint="eastAsia"/>
          <w:highlight w:val="none"/>
          <w:lang w:val="en-US" w:eastAsia="zh-CN"/>
        </w:rPr>
      </w:pPr>
      <w:r>
        <w:rPr>
          <w:rFonts w:hint="eastAsia"/>
          <w:highlight w:val="none"/>
          <w:lang w:val="en-US" w:eastAsia="zh-CN"/>
        </w:rPr>
        <w:t>人员编制269</w:t>
      </w:r>
    </w:p>
    <w:p w14:paraId="6B3176D3">
      <w:pPr>
        <w:bidi w:val="0"/>
        <w:rPr>
          <w:rFonts w:hint="eastAsia"/>
          <w:highlight w:val="none"/>
          <w:lang w:val="en-US" w:eastAsia="zh-CN"/>
        </w:rPr>
      </w:pPr>
      <w:r>
        <w:rPr>
          <w:rFonts w:hint="eastAsia"/>
          <w:highlight w:val="none"/>
          <w:lang w:val="en-US" w:eastAsia="zh-CN"/>
        </w:rPr>
        <w:t>人员变动220</w:t>
      </w:r>
    </w:p>
    <w:p w14:paraId="476C1603">
      <w:pPr>
        <w:rPr>
          <w:rFonts w:hint="eastAsia"/>
          <w:highlight w:val="none"/>
        </w:rPr>
      </w:pPr>
      <w:r>
        <w:rPr>
          <w:rFonts w:hint="eastAsia"/>
          <w:highlight w:val="none"/>
        </w:rPr>
        <w:t>荣誉称号156 249</w:t>
      </w:r>
    </w:p>
    <w:p w14:paraId="080BC6BC">
      <w:pPr>
        <w:rPr>
          <w:rFonts w:hint="eastAsia"/>
          <w:highlight w:val="none"/>
        </w:rPr>
      </w:pPr>
      <w:r>
        <w:rPr>
          <w:rFonts w:hint="eastAsia"/>
          <w:highlight w:val="none"/>
        </w:rPr>
        <w:t>融洽政党关系，加强多党合作55融资担保服务176</w:t>
      </w:r>
    </w:p>
    <w:p w14:paraId="7A1A9FA4">
      <w:pPr>
        <w:pStyle w:val="4"/>
        <w:bidi w:val="0"/>
        <w:rPr>
          <w:rFonts w:hint="eastAsia"/>
          <w:highlight w:val="none"/>
        </w:rPr>
      </w:pPr>
      <w:r>
        <w:rPr>
          <w:rFonts w:hint="eastAsia"/>
          <w:highlight w:val="none"/>
        </w:rPr>
        <w:t>S</w:t>
      </w:r>
    </w:p>
    <w:p w14:paraId="5D3846A8">
      <w:pPr>
        <w:rPr>
          <w:rFonts w:hint="eastAsia"/>
          <w:highlight w:val="none"/>
        </w:rPr>
      </w:pPr>
      <w:r>
        <w:rPr>
          <w:rFonts w:hint="eastAsia"/>
          <w:highlight w:val="none"/>
        </w:rPr>
        <w:t>“三公”经费审计169</w:t>
      </w:r>
    </w:p>
    <w:p w14:paraId="78000888">
      <w:pPr>
        <w:rPr>
          <w:rFonts w:hint="eastAsia"/>
          <w:highlight w:val="none"/>
        </w:rPr>
      </w:pPr>
      <w:r>
        <w:rPr>
          <w:rFonts w:hint="eastAsia"/>
          <w:highlight w:val="none"/>
        </w:rPr>
        <w:t>“三旧”改造174</w:t>
      </w:r>
    </w:p>
    <w:p w14:paraId="51C6F452">
      <w:pPr>
        <w:rPr>
          <w:rFonts w:hint="eastAsia"/>
          <w:highlight w:val="none"/>
        </w:rPr>
      </w:pPr>
      <w:r>
        <w:rPr>
          <w:rFonts w:hint="eastAsia"/>
          <w:highlight w:val="none"/>
        </w:rPr>
        <w:t>“三农”业务268</w:t>
      </w:r>
    </w:p>
    <w:p w14:paraId="01A4978B">
      <w:pPr>
        <w:rPr>
          <w:rFonts w:hint="eastAsia"/>
          <w:highlight w:val="none"/>
        </w:rPr>
      </w:pPr>
      <w:r>
        <w:rPr>
          <w:rFonts w:hint="eastAsia"/>
          <w:highlight w:val="none"/>
        </w:rPr>
        <w:t>“三严三实”民主评议党员工作65</w:t>
      </w:r>
    </w:p>
    <w:p w14:paraId="70CD6581">
      <w:pPr>
        <w:rPr>
          <w:rFonts w:hint="eastAsia"/>
          <w:highlight w:val="none"/>
        </w:rPr>
      </w:pPr>
      <w:r>
        <w:rPr>
          <w:rFonts w:hint="eastAsia"/>
          <w:highlight w:val="none"/>
        </w:rPr>
        <w:t>森林防火208</w:t>
      </w:r>
    </w:p>
    <w:p w14:paraId="6CEB5052">
      <w:pPr>
        <w:rPr>
          <w:rFonts w:hint="eastAsia"/>
          <w:highlight w:val="none"/>
        </w:rPr>
      </w:pPr>
      <w:r>
        <w:rPr>
          <w:rFonts w:hint="eastAsia"/>
          <w:highlight w:val="none"/>
        </w:rPr>
        <w:t>森林防火工作203</w:t>
      </w:r>
    </w:p>
    <w:p w14:paraId="6E44E7C9">
      <w:pPr>
        <w:rPr>
          <w:rFonts w:hint="eastAsia"/>
          <w:highlight w:val="none"/>
        </w:rPr>
      </w:pPr>
      <w:r>
        <w:rPr>
          <w:rFonts w:hint="eastAsia"/>
          <w:highlight w:val="none"/>
        </w:rPr>
        <w:t>森林公安204</w:t>
      </w:r>
    </w:p>
    <w:p w14:paraId="77E46409">
      <w:pPr>
        <w:rPr>
          <w:rFonts w:hint="eastAsia"/>
          <w:highlight w:val="none"/>
        </w:rPr>
      </w:pPr>
      <w:r>
        <w:rPr>
          <w:rFonts w:hint="eastAsia"/>
          <w:highlight w:val="none"/>
        </w:rPr>
        <w:t>森林资源保护203</w:t>
      </w:r>
    </w:p>
    <w:p w14:paraId="63281E7B">
      <w:pPr>
        <w:rPr>
          <w:rFonts w:hint="eastAsia"/>
          <w:highlight w:val="none"/>
        </w:rPr>
      </w:pPr>
      <w:r>
        <w:rPr>
          <w:rFonts w:hint="eastAsia"/>
          <w:highlight w:val="none"/>
        </w:rPr>
        <w:t>韶关纪委到南雄开展“两个责任”调研108</w:t>
      </w:r>
    </w:p>
    <w:p w14:paraId="6987F6C0">
      <w:pPr>
        <w:rPr>
          <w:rFonts w:hint="eastAsia"/>
          <w:highlight w:val="none"/>
        </w:rPr>
      </w:pPr>
      <w:r>
        <w:rPr>
          <w:rFonts w:hint="eastAsia"/>
          <w:highlight w:val="none"/>
        </w:rPr>
        <w:t>韶关市纪委领导到南雄市督导工作108</w:t>
      </w:r>
    </w:p>
    <w:p w14:paraId="0D768177">
      <w:pPr>
        <w:rPr>
          <w:rFonts w:hint="eastAsia"/>
          <w:highlight w:val="none"/>
        </w:rPr>
      </w:pPr>
      <w:r>
        <w:rPr>
          <w:rFonts w:hint="eastAsia"/>
          <w:highlight w:val="none"/>
        </w:rPr>
        <w:t>韶能集团韶关南雄珠矶纸业有限公司189</w:t>
      </w:r>
    </w:p>
    <w:p w14:paraId="479040B1">
      <w:pPr>
        <w:rPr>
          <w:rFonts w:hint="eastAsia"/>
          <w:highlight w:val="none"/>
        </w:rPr>
      </w:pPr>
      <w:r>
        <w:rPr>
          <w:rFonts w:hint="eastAsia"/>
          <w:highlight w:val="none"/>
        </w:rPr>
        <w:t>少数民族基本情况调查132</w:t>
      </w:r>
    </w:p>
    <w:p w14:paraId="3BBCD19F">
      <w:pPr>
        <w:rPr>
          <w:rFonts w:hint="eastAsia"/>
          <w:highlight w:val="none"/>
        </w:rPr>
      </w:pPr>
      <w:r>
        <w:rPr>
          <w:rFonts w:hint="eastAsia"/>
          <w:highlight w:val="none"/>
        </w:rPr>
        <w:t>社会保险313</w:t>
      </w:r>
    </w:p>
    <w:p w14:paraId="6E889813">
      <w:pPr>
        <w:rPr>
          <w:rFonts w:hint="eastAsia"/>
          <w:highlight w:val="none"/>
        </w:rPr>
      </w:pPr>
      <w:r>
        <w:rPr>
          <w:rFonts w:hint="eastAsia"/>
          <w:highlight w:val="none"/>
        </w:rPr>
        <w:t>社会保险基金管理313</w:t>
      </w:r>
    </w:p>
    <w:p w14:paraId="1450F262">
      <w:pPr>
        <w:rPr>
          <w:rFonts w:hint="eastAsia"/>
          <w:highlight w:val="none"/>
        </w:rPr>
      </w:pPr>
      <w:r>
        <w:rPr>
          <w:rFonts w:hint="eastAsia"/>
          <w:highlight w:val="none"/>
        </w:rPr>
        <w:t>社会调研113</w:t>
      </w:r>
    </w:p>
    <w:p w14:paraId="77C241A5">
      <w:pPr>
        <w:rPr>
          <w:rFonts w:hint="eastAsia"/>
          <w:highlight w:val="none"/>
        </w:rPr>
      </w:pPr>
      <w:r>
        <w:rPr>
          <w:rFonts w:hint="eastAsia"/>
          <w:highlight w:val="none"/>
        </w:rPr>
        <w:t>社会发展334社会服务114 116</w:t>
      </w:r>
    </w:p>
    <w:p w14:paraId="5C99C875">
      <w:pPr>
        <w:rPr>
          <w:rFonts w:hint="eastAsia"/>
          <w:highlight w:val="none"/>
        </w:rPr>
      </w:pPr>
      <w:r>
        <w:rPr>
          <w:rFonts w:hint="eastAsia"/>
          <w:highlight w:val="none"/>
        </w:rPr>
        <w:t>社会公益223</w:t>
      </w:r>
    </w:p>
    <w:p w14:paraId="05F991E2">
      <w:pPr>
        <w:rPr>
          <w:rFonts w:hint="eastAsia"/>
          <w:highlight w:val="none"/>
        </w:rPr>
      </w:pPr>
      <w:r>
        <w:rPr>
          <w:rFonts w:hint="eastAsia"/>
          <w:highlight w:val="none"/>
        </w:rPr>
        <w:t>社会管理87 136 352 366</w:t>
      </w:r>
    </w:p>
    <w:p w14:paraId="0451DB1E">
      <w:pPr>
        <w:rPr>
          <w:rFonts w:hint="eastAsia"/>
          <w:highlight w:val="none"/>
        </w:rPr>
      </w:pPr>
      <w:r>
        <w:rPr>
          <w:rFonts w:hint="eastAsia"/>
          <w:highlight w:val="none"/>
        </w:rPr>
        <w:t>社会•经济39</w:t>
      </w:r>
    </w:p>
    <w:p w14:paraId="1D6AED1B">
      <w:pPr>
        <w:rPr>
          <w:rFonts w:hint="eastAsia"/>
          <w:highlight w:val="none"/>
        </w:rPr>
      </w:pPr>
      <w:r>
        <w:rPr>
          <w:rFonts w:hint="eastAsia"/>
          <w:highlight w:val="none"/>
        </w:rPr>
        <w:t>社会经济发展353</w:t>
      </w:r>
    </w:p>
    <w:p w14:paraId="2483F438">
      <w:pPr>
        <w:rPr>
          <w:rFonts w:hint="eastAsia"/>
          <w:highlight w:val="none"/>
        </w:rPr>
      </w:pPr>
      <w:r>
        <w:rPr>
          <w:rFonts w:hint="eastAsia"/>
          <w:highlight w:val="none"/>
        </w:rPr>
        <w:t>社会事业86</w:t>
      </w:r>
    </w:p>
    <w:p w14:paraId="5B230788">
      <w:pPr>
        <w:rPr>
          <w:rFonts w:hint="eastAsia"/>
          <w:highlight w:val="none"/>
        </w:rPr>
      </w:pPr>
      <w:r>
        <w:rPr>
          <w:rFonts w:hint="eastAsia"/>
          <w:highlight w:val="none"/>
        </w:rPr>
        <w:t>社会事业发展320 324 346 358</w:t>
      </w:r>
    </w:p>
    <w:p w14:paraId="3A2D7E8D">
      <w:pPr>
        <w:rPr>
          <w:rFonts w:hint="eastAsia"/>
          <w:highlight w:val="none"/>
        </w:rPr>
      </w:pPr>
      <w:r>
        <w:rPr>
          <w:rFonts w:hint="eastAsia"/>
          <w:highlight w:val="none"/>
        </w:rPr>
        <w:t>社会维稳344</w:t>
      </w:r>
    </w:p>
    <w:p w14:paraId="46F7FFF1">
      <w:pPr>
        <w:rPr>
          <w:rFonts w:hint="eastAsia"/>
          <w:highlight w:val="none"/>
        </w:rPr>
      </w:pPr>
      <w:r>
        <w:rPr>
          <w:rFonts w:hint="eastAsia"/>
          <w:highlight w:val="none"/>
        </w:rPr>
        <w:t>社会养老服务体系315</w:t>
      </w:r>
    </w:p>
    <w:p w14:paraId="41061705">
      <w:pPr>
        <w:rPr>
          <w:rFonts w:hint="eastAsia"/>
          <w:highlight w:val="none"/>
        </w:rPr>
      </w:pPr>
      <w:r>
        <w:rPr>
          <w:rFonts w:hint="eastAsia"/>
          <w:highlight w:val="none"/>
        </w:rPr>
        <w:t>社会治安防控138</w:t>
      </w:r>
    </w:p>
    <w:p w14:paraId="43DE10C6">
      <w:pPr>
        <w:rPr>
          <w:rFonts w:hint="eastAsia"/>
          <w:highlight w:val="none"/>
        </w:rPr>
      </w:pPr>
      <w:r>
        <w:rPr>
          <w:rFonts w:hint="eastAsia"/>
          <w:highlight w:val="none"/>
        </w:rPr>
        <w:t>社会治安综合治理347</w:t>
      </w:r>
    </w:p>
    <w:p w14:paraId="4704B668">
      <w:pPr>
        <w:rPr>
          <w:rFonts w:hint="eastAsia"/>
          <w:highlight w:val="none"/>
        </w:rPr>
      </w:pPr>
      <w:r>
        <w:rPr>
          <w:rFonts w:hint="eastAsia"/>
          <w:highlight w:val="none"/>
        </w:rPr>
        <w:t>社会治理376</w:t>
      </w:r>
    </w:p>
    <w:p w14:paraId="6D86A65C">
      <w:pPr>
        <w:rPr>
          <w:rFonts w:hint="eastAsia"/>
          <w:highlight w:val="none"/>
        </w:rPr>
      </w:pPr>
      <w:r>
        <w:rPr>
          <w:rFonts w:hint="eastAsia"/>
          <w:highlight w:val="none"/>
        </w:rPr>
        <w:t>社会主义新农村建设197</w:t>
      </w:r>
    </w:p>
    <w:p w14:paraId="6ED095BA">
      <w:pPr>
        <w:bidi w:val="0"/>
        <w:rPr>
          <w:rFonts w:hint="eastAsia"/>
          <w:highlight w:val="none"/>
          <w:lang w:val="en-US" w:eastAsia="zh-CN"/>
        </w:rPr>
      </w:pPr>
      <w:r>
        <w:rPr>
          <w:rFonts w:hint="eastAsia"/>
          <w:highlight w:val="none"/>
          <w:lang w:val="en-US" w:eastAsia="zh-CN"/>
        </w:rPr>
        <w:t>社会综合治理374</w:t>
      </w:r>
    </w:p>
    <w:p w14:paraId="2235B741">
      <w:pPr>
        <w:bidi w:val="0"/>
        <w:rPr>
          <w:rFonts w:hint="eastAsia"/>
          <w:highlight w:val="none"/>
          <w:lang w:val="en-US" w:eastAsia="zh-CN"/>
        </w:rPr>
      </w:pPr>
      <w:r>
        <w:rPr>
          <w:rFonts w:hint="eastAsia"/>
          <w:highlight w:val="none"/>
          <w:lang w:val="en-US" w:eastAsia="zh-CN"/>
        </w:rPr>
        <w:t>社科课题研究和项目申报133</w:t>
      </w:r>
    </w:p>
    <w:p w14:paraId="5E044EAA">
      <w:pPr>
        <w:bidi w:val="0"/>
        <w:rPr>
          <w:rFonts w:hint="eastAsia"/>
          <w:highlight w:val="none"/>
          <w:lang w:val="en-US" w:eastAsia="zh-CN"/>
        </w:rPr>
      </w:pPr>
      <w:r>
        <w:rPr>
          <w:rFonts w:hint="eastAsia"/>
          <w:highlight w:val="none"/>
          <w:lang w:val="en-US" w:eastAsia="zh-CN"/>
        </w:rPr>
        <w:t>社科联132</w:t>
      </w:r>
    </w:p>
    <w:p w14:paraId="0874CC89">
      <w:pPr>
        <w:bidi w:val="0"/>
        <w:rPr>
          <w:rFonts w:hint="eastAsia"/>
          <w:highlight w:val="none"/>
          <w:lang w:val="en-US" w:eastAsia="zh-CN"/>
        </w:rPr>
      </w:pPr>
      <w:r>
        <w:rPr>
          <w:rFonts w:hint="eastAsia"/>
          <w:highlight w:val="none"/>
          <w:lang w:val="en-US" w:eastAsia="zh-CN"/>
        </w:rPr>
        <w:t>社区共管207 209</w:t>
      </w:r>
    </w:p>
    <w:p w14:paraId="566317F1">
      <w:pPr>
        <w:bidi w:val="0"/>
        <w:rPr>
          <w:rFonts w:hint="eastAsia"/>
          <w:highlight w:val="none"/>
          <w:lang w:val="en-US" w:eastAsia="zh-CN"/>
        </w:rPr>
      </w:pPr>
      <w:r>
        <w:rPr>
          <w:rFonts w:hint="eastAsia"/>
          <w:highlight w:val="none"/>
          <w:lang w:val="en-US" w:eastAsia="zh-CN"/>
        </w:rPr>
        <w:t>社区矫正148</w:t>
      </w:r>
    </w:p>
    <w:p w14:paraId="7860AAB6">
      <w:pPr>
        <w:bidi w:val="0"/>
        <w:rPr>
          <w:rFonts w:hint="eastAsia"/>
          <w:highlight w:val="none"/>
          <w:lang w:val="en-US" w:eastAsia="zh-CN"/>
        </w:rPr>
      </w:pPr>
      <w:r>
        <w:rPr>
          <w:rFonts w:hint="eastAsia"/>
          <w:highlight w:val="none"/>
          <w:lang w:val="en-US" w:eastAsia="zh-CN"/>
        </w:rPr>
        <w:t>深化财政管理改革259</w:t>
      </w:r>
    </w:p>
    <w:p w14:paraId="516C4BD4">
      <w:pPr>
        <w:bidi w:val="0"/>
        <w:rPr>
          <w:rFonts w:hint="eastAsia"/>
          <w:highlight w:val="none"/>
          <w:lang w:val="en-US" w:eastAsia="zh-CN"/>
        </w:rPr>
      </w:pPr>
      <w:r>
        <w:rPr>
          <w:rFonts w:hint="eastAsia"/>
          <w:highlight w:val="none"/>
          <w:lang w:val="en-US" w:eastAsia="zh-CN"/>
        </w:rPr>
        <w:t>深化医药卫生体制改革283</w:t>
      </w:r>
    </w:p>
    <w:p w14:paraId="128444D5">
      <w:pPr>
        <w:bidi w:val="0"/>
        <w:rPr>
          <w:rFonts w:hint="eastAsia"/>
          <w:highlight w:val="none"/>
          <w:lang w:val="en-US" w:eastAsia="zh-CN"/>
        </w:rPr>
      </w:pPr>
      <w:r>
        <w:rPr>
          <w:rFonts w:hint="eastAsia"/>
          <w:highlight w:val="none"/>
          <w:lang w:val="en-US" w:eastAsia="zh-CN"/>
        </w:rPr>
        <w:t>深入推进和谐企业建设232</w:t>
      </w:r>
    </w:p>
    <w:p w14:paraId="7D2CEEC9">
      <w:pPr>
        <w:bidi w:val="0"/>
        <w:rPr>
          <w:rFonts w:hint="eastAsia"/>
          <w:highlight w:val="none"/>
          <w:lang w:val="en-US" w:eastAsia="zh-CN"/>
        </w:rPr>
      </w:pPr>
      <w:r>
        <w:rPr>
          <w:rFonts w:hint="eastAsia"/>
          <w:highlight w:val="none"/>
          <w:lang w:val="en-US" w:eastAsia="zh-CN"/>
        </w:rPr>
        <w:t>审查起诉140</w:t>
      </w:r>
    </w:p>
    <w:p w14:paraId="46A39A0C">
      <w:pPr>
        <w:bidi w:val="0"/>
        <w:rPr>
          <w:rFonts w:hint="eastAsia"/>
          <w:highlight w:val="none"/>
          <w:lang w:val="en-US" w:eastAsia="zh-CN"/>
        </w:rPr>
      </w:pPr>
      <w:r>
        <w:rPr>
          <w:rFonts w:hint="eastAsia"/>
          <w:highlight w:val="none"/>
          <w:lang w:val="en-US" w:eastAsia="zh-CN"/>
        </w:rPr>
        <w:t>审计167</w:t>
      </w:r>
    </w:p>
    <w:p w14:paraId="4F3C42D8">
      <w:pPr>
        <w:bidi w:val="0"/>
        <w:rPr>
          <w:rFonts w:hint="eastAsia"/>
          <w:highlight w:val="none"/>
          <w:lang w:val="en-US" w:eastAsia="zh-CN"/>
        </w:rPr>
      </w:pPr>
      <w:r>
        <w:rPr>
          <w:rFonts w:hint="eastAsia"/>
          <w:highlight w:val="none"/>
          <w:lang w:val="en-US" w:eastAsia="zh-CN"/>
        </w:rPr>
        <w:t>审计亮点工作168</w:t>
      </w:r>
    </w:p>
    <w:p w14:paraId="29C96E6B">
      <w:pPr>
        <w:bidi w:val="0"/>
        <w:rPr>
          <w:rFonts w:hint="eastAsia"/>
          <w:highlight w:val="none"/>
          <w:lang w:val="en-US" w:eastAsia="zh-CN"/>
        </w:rPr>
      </w:pPr>
      <w:r>
        <w:rPr>
          <w:rFonts w:hint="eastAsia"/>
          <w:highlight w:val="none"/>
          <w:lang w:val="en-US" w:eastAsia="zh-CN"/>
        </w:rPr>
        <w:t>审判143</w:t>
      </w:r>
    </w:p>
    <w:p w14:paraId="42B0C179">
      <w:pPr>
        <w:bidi w:val="0"/>
        <w:rPr>
          <w:rFonts w:hint="eastAsia"/>
          <w:highlight w:val="none"/>
          <w:lang w:val="en-US" w:eastAsia="zh-CN"/>
        </w:rPr>
      </w:pPr>
      <w:r>
        <w:rPr>
          <w:rFonts w:hint="eastAsia"/>
          <w:highlight w:val="none"/>
          <w:lang w:val="en-US" w:eastAsia="zh-CN"/>
        </w:rPr>
        <w:t>审判管理144</w:t>
      </w:r>
    </w:p>
    <w:p w14:paraId="687D3269">
      <w:pPr>
        <w:bidi w:val="0"/>
        <w:rPr>
          <w:rFonts w:hint="eastAsia"/>
          <w:highlight w:val="none"/>
          <w:lang w:val="en-US" w:eastAsia="zh-CN"/>
        </w:rPr>
      </w:pPr>
      <w:r>
        <w:rPr>
          <w:rFonts w:hint="eastAsia"/>
          <w:highlight w:val="none"/>
          <w:lang w:val="en-US" w:eastAsia="zh-CN"/>
        </w:rPr>
        <w:t>生活饮用水卫生监督管理290</w:t>
      </w:r>
    </w:p>
    <w:p w14:paraId="5CEA4114">
      <w:pPr>
        <w:bidi w:val="0"/>
        <w:rPr>
          <w:rFonts w:hint="eastAsia"/>
          <w:highlight w:val="none"/>
          <w:lang w:val="en-US" w:eastAsia="zh-CN"/>
        </w:rPr>
      </w:pPr>
      <w:r>
        <w:rPr>
          <w:rFonts w:hint="eastAsia"/>
          <w:highlight w:val="none"/>
          <w:lang w:val="en-US" w:eastAsia="zh-CN"/>
        </w:rPr>
        <w:t>生活资料购销250</w:t>
      </w:r>
    </w:p>
    <w:p w14:paraId="6ED79861">
      <w:pPr>
        <w:bidi w:val="0"/>
        <w:rPr>
          <w:rFonts w:hint="eastAsia"/>
          <w:highlight w:val="none"/>
          <w:lang w:val="en-US" w:eastAsia="zh-CN"/>
        </w:rPr>
      </w:pPr>
      <w:r>
        <w:rPr>
          <w:rFonts w:hint="eastAsia"/>
          <w:highlight w:val="none"/>
          <w:lang w:val="en-US" w:eastAsia="zh-CN"/>
        </w:rPr>
        <w:t>生态环境86</w:t>
      </w:r>
    </w:p>
    <w:p w14:paraId="3CDCE3F6">
      <w:pPr>
        <w:bidi w:val="0"/>
        <w:rPr>
          <w:rFonts w:hint="eastAsia"/>
          <w:highlight w:val="none"/>
          <w:lang w:val="en-US" w:eastAsia="zh-CN"/>
        </w:rPr>
      </w:pPr>
      <w:r>
        <w:rPr>
          <w:rFonts w:hint="eastAsia"/>
          <w:highlight w:val="none"/>
          <w:lang w:val="en-US" w:eastAsia="zh-CN"/>
        </w:rPr>
        <w:t>生态建设344</w:t>
      </w:r>
    </w:p>
    <w:p w14:paraId="2ED529BD">
      <w:pPr>
        <w:bidi w:val="0"/>
        <w:rPr>
          <w:rFonts w:hint="eastAsia"/>
          <w:highlight w:val="none"/>
          <w:lang w:val="en-US" w:eastAsia="zh-CN"/>
        </w:rPr>
      </w:pPr>
      <w:r>
        <w:rPr>
          <w:rFonts w:hint="eastAsia"/>
          <w:highlight w:val="none"/>
          <w:lang w:val="en-US" w:eastAsia="zh-CN"/>
        </w:rPr>
        <w:t>生态林业373</w:t>
      </w:r>
    </w:p>
    <w:p w14:paraId="33DB8BF2">
      <w:pPr>
        <w:bidi w:val="0"/>
        <w:rPr>
          <w:rFonts w:hint="eastAsia"/>
          <w:highlight w:val="none"/>
          <w:lang w:val="en-US" w:eastAsia="zh-CN"/>
        </w:rPr>
      </w:pPr>
      <w:r>
        <w:rPr>
          <w:rFonts w:hint="eastAsia"/>
          <w:highlight w:val="none"/>
          <w:lang w:val="en-US" w:eastAsia="zh-CN"/>
        </w:rPr>
        <w:t>生态林业建设347</w:t>
      </w:r>
    </w:p>
    <w:p w14:paraId="6579D05B">
      <w:pPr>
        <w:bidi w:val="0"/>
        <w:rPr>
          <w:rFonts w:hint="eastAsia"/>
          <w:highlight w:val="none"/>
          <w:lang w:val="en-US" w:eastAsia="zh-CN"/>
        </w:rPr>
      </w:pPr>
      <w:r>
        <w:rPr>
          <w:rFonts w:hint="eastAsia"/>
          <w:highlight w:val="none"/>
          <w:lang w:val="en-US" w:eastAsia="zh-CN"/>
        </w:rPr>
        <w:t>生态旅游205</w:t>
      </w:r>
    </w:p>
    <w:p w14:paraId="7C7CE586">
      <w:pPr>
        <w:bidi w:val="0"/>
        <w:rPr>
          <w:rFonts w:hint="eastAsia"/>
          <w:highlight w:val="none"/>
          <w:lang w:val="en-US" w:eastAsia="zh-CN"/>
        </w:rPr>
      </w:pPr>
      <w:r>
        <w:rPr>
          <w:rFonts w:hint="eastAsia"/>
          <w:highlight w:val="none"/>
          <w:lang w:val="en-US" w:eastAsia="zh-CN"/>
        </w:rPr>
        <w:t>生育保险314</w:t>
      </w:r>
    </w:p>
    <w:p w14:paraId="2E29A918">
      <w:pPr>
        <w:bidi w:val="0"/>
        <w:rPr>
          <w:rFonts w:hint="eastAsia"/>
          <w:highlight w:val="none"/>
          <w:lang w:val="en-US" w:eastAsia="zh-CN"/>
        </w:rPr>
      </w:pPr>
      <w:r>
        <w:rPr>
          <w:rFonts w:hint="eastAsia"/>
          <w:highlight w:val="none"/>
          <w:lang w:val="en-US" w:eastAsia="zh-CN"/>
        </w:rPr>
        <w:t>生猪定点屠宰管理、经营250</w:t>
      </w:r>
    </w:p>
    <w:p w14:paraId="78DDFC4F">
      <w:pPr>
        <w:bidi w:val="0"/>
        <w:rPr>
          <w:rFonts w:hint="eastAsia"/>
          <w:highlight w:val="none"/>
          <w:lang w:val="en-US" w:eastAsia="zh-CN"/>
        </w:rPr>
      </w:pPr>
      <w:r>
        <w:rPr>
          <w:rFonts w:hint="eastAsia"/>
          <w:highlight w:val="none"/>
          <w:lang w:val="en-US" w:eastAsia="zh-CN"/>
        </w:rPr>
        <w:t>声环境质量246</w:t>
      </w:r>
    </w:p>
    <w:p w14:paraId="0A85269D">
      <w:pPr>
        <w:bidi w:val="0"/>
        <w:rPr>
          <w:rFonts w:hint="eastAsia"/>
          <w:highlight w:val="none"/>
          <w:lang w:val="en-US" w:eastAsia="zh-CN"/>
        </w:rPr>
      </w:pPr>
      <w:r>
        <w:rPr>
          <w:rFonts w:hint="eastAsia"/>
          <w:highlight w:val="none"/>
          <w:lang w:val="en-US" w:eastAsia="zh-CN"/>
        </w:rPr>
        <w:t>失业保险313</w:t>
      </w:r>
    </w:p>
    <w:p w14:paraId="047A821E">
      <w:pPr>
        <w:bidi w:val="0"/>
        <w:rPr>
          <w:rFonts w:hint="eastAsia"/>
          <w:highlight w:val="none"/>
          <w:lang w:val="en-US" w:eastAsia="zh-CN"/>
        </w:rPr>
      </w:pPr>
      <w:r>
        <w:rPr>
          <w:rFonts w:hint="eastAsia"/>
          <w:highlight w:val="none"/>
          <w:lang w:val="en-US" w:eastAsia="zh-CN"/>
        </w:rPr>
        <w:t>湿地保护206</w:t>
      </w:r>
    </w:p>
    <w:p w14:paraId="388D532A">
      <w:pPr>
        <w:bidi w:val="0"/>
        <w:rPr>
          <w:rFonts w:hint="eastAsia"/>
          <w:highlight w:val="none"/>
          <w:lang w:val="en-US" w:eastAsia="zh-CN"/>
        </w:rPr>
      </w:pPr>
      <w:r>
        <w:rPr>
          <w:rFonts w:hint="eastAsia"/>
          <w:highlight w:val="none"/>
          <w:lang w:val="en-US" w:eastAsia="zh-CN"/>
        </w:rPr>
        <w:t>湿地科普宣教206</w:t>
      </w:r>
    </w:p>
    <w:p w14:paraId="09337204">
      <w:pPr>
        <w:bidi w:val="0"/>
        <w:rPr>
          <w:rFonts w:hint="eastAsia"/>
          <w:highlight w:val="none"/>
          <w:lang w:val="en-US" w:eastAsia="zh-CN"/>
        </w:rPr>
      </w:pPr>
      <w:r>
        <w:rPr>
          <w:rFonts w:hint="eastAsia"/>
          <w:highlight w:val="none"/>
          <w:lang w:val="en-US" w:eastAsia="zh-CN"/>
        </w:rPr>
        <w:t>湿地生态修复207</w:t>
      </w:r>
    </w:p>
    <w:p w14:paraId="1686BBE4">
      <w:pPr>
        <w:bidi w:val="0"/>
        <w:rPr>
          <w:rFonts w:hint="eastAsia"/>
          <w:highlight w:val="none"/>
          <w:lang w:val="en-US" w:eastAsia="zh-CN"/>
        </w:rPr>
      </w:pPr>
      <w:r>
        <w:rPr>
          <w:rFonts w:hint="eastAsia"/>
          <w:highlight w:val="none"/>
          <w:lang w:val="en-US" w:eastAsia="zh-CN"/>
        </w:rPr>
        <w:t>“十三五”规划161</w:t>
      </w:r>
    </w:p>
    <w:p w14:paraId="7326D5A8">
      <w:pPr>
        <w:bidi w:val="0"/>
        <w:rPr>
          <w:rFonts w:hint="eastAsia"/>
          <w:highlight w:val="none"/>
          <w:lang w:val="en-US" w:eastAsia="zh-CN"/>
        </w:rPr>
      </w:pPr>
      <w:r>
        <w:rPr>
          <w:rFonts w:hint="eastAsia"/>
          <w:highlight w:val="none"/>
          <w:lang w:val="en-US" w:eastAsia="zh-CN"/>
        </w:rPr>
        <w:t>十四届人大常委会二十八次会议73</w:t>
      </w:r>
    </w:p>
    <w:p w14:paraId="440BAA1B">
      <w:pPr>
        <w:bidi w:val="0"/>
        <w:rPr>
          <w:rFonts w:hint="eastAsia"/>
          <w:highlight w:val="none"/>
          <w:lang w:val="en-US" w:eastAsia="zh-CN"/>
        </w:rPr>
      </w:pPr>
      <w:r>
        <w:rPr>
          <w:rFonts w:hint="eastAsia"/>
          <w:highlight w:val="none"/>
          <w:lang w:val="en-US" w:eastAsia="zh-CN"/>
        </w:rPr>
        <w:t>十四届人大常委会二十九次会议73</w:t>
      </w:r>
    </w:p>
    <w:p w14:paraId="0F9CB70C">
      <w:pPr>
        <w:bidi w:val="0"/>
        <w:rPr>
          <w:rFonts w:hint="eastAsia"/>
          <w:highlight w:val="none"/>
          <w:lang w:val="en-US" w:eastAsia="zh-CN"/>
        </w:rPr>
      </w:pPr>
      <w:r>
        <w:rPr>
          <w:rFonts w:hint="eastAsia"/>
          <w:highlight w:val="none"/>
          <w:lang w:val="en-US" w:eastAsia="zh-CN"/>
        </w:rPr>
        <w:t>十四届人大常委会二十七次会议73</w:t>
      </w:r>
    </w:p>
    <w:p w14:paraId="18CE9DFD">
      <w:pPr>
        <w:bidi w:val="0"/>
        <w:rPr>
          <w:rFonts w:hint="eastAsia"/>
          <w:highlight w:val="none"/>
          <w:lang w:val="en-US" w:eastAsia="zh-CN"/>
        </w:rPr>
      </w:pPr>
      <w:r>
        <w:rPr>
          <w:rFonts w:hint="eastAsia"/>
          <w:highlight w:val="none"/>
          <w:lang w:val="en-US" w:eastAsia="zh-CN"/>
        </w:rPr>
        <w:t>十四届人大常委会三十次会议73</w:t>
      </w:r>
    </w:p>
    <w:p w14:paraId="5EF33B1D">
      <w:pPr>
        <w:bidi w:val="0"/>
        <w:rPr>
          <w:rFonts w:hint="eastAsia"/>
          <w:highlight w:val="none"/>
          <w:lang w:val="en-US" w:eastAsia="zh-CN"/>
        </w:rPr>
      </w:pPr>
      <w:r>
        <w:rPr>
          <w:rFonts w:hint="eastAsia"/>
          <w:highlight w:val="none"/>
          <w:lang w:val="en-US" w:eastAsia="zh-CN"/>
        </w:rPr>
        <w:t>十四届人大常委会三十二次会议74</w:t>
      </w:r>
    </w:p>
    <w:p w14:paraId="6699403F">
      <w:pPr>
        <w:bidi w:val="0"/>
        <w:rPr>
          <w:rFonts w:hint="eastAsia"/>
          <w:highlight w:val="none"/>
          <w:lang w:val="en-US" w:eastAsia="zh-CN"/>
        </w:rPr>
      </w:pPr>
      <w:r>
        <w:rPr>
          <w:rFonts w:hint="eastAsia"/>
          <w:highlight w:val="none"/>
          <w:lang w:val="en-US" w:eastAsia="zh-CN"/>
        </w:rPr>
        <w:t>十四届人大常委会三十三次会议74</w:t>
      </w:r>
    </w:p>
    <w:p w14:paraId="512EA6E8">
      <w:pPr>
        <w:bidi w:val="0"/>
        <w:rPr>
          <w:rFonts w:hint="eastAsia"/>
          <w:highlight w:val="none"/>
          <w:lang w:val="en-US" w:eastAsia="zh-CN"/>
        </w:rPr>
      </w:pPr>
      <w:r>
        <w:rPr>
          <w:rFonts w:hint="eastAsia"/>
          <w:highlight w:val="none"/>
          <w:lang w:val="en-US" w:eastAsia="zh-CN"/>
        </w:rPr>
        <w:t>十四届人大常委会三十一次会议74</w:t>
      </w:r>
    </w:p>
    <w:p w14:paraId="2CF039F4">
      <w:pPr>
        <w:bidi w:val="0"/>
        <w:rPr>
          <w:rFonts w:hint="eastAsia"/>
          <w:highlight w:val="none"/>
          <w:lang w:val="en-US" w:eastAsia="zh-CN"/>
        </w:rPr>
      </w:pPr>
      <w:r>
        <w:rPr>
          <w:rFonts w:hint="eastAsia"/>
          <w:highlight w:val="none"/>
          <w:lang w:val="en-US" w:eastAsia="zh-CN"/>
        </w:rPr>
        <w:t>十四届人大常委会三十四次会议75</w:t>
      </w:r>
    </w:p>
    <w:p w14:paraId="7BBB1C49">
      <w:pPr>
        <w:bidi w:val="0"/>
        <w:rPr>
          <w:rFonts w:hint="eastAsia"/>
          <w:highlight w:val="none"/>
          <w:lang w:val="en-US" w:eastAsia="zh-CN"/>
        </w:rPr>
      </w:pPr>
      <w:r>
        <w:rPr>
          <w:rFonts w:hint="eastAsia"/>
          <w:highlight w:val="none"/>
          <w:lang w:val="en-US" w:eastAsia="zh-CN"/>
        </w:rPr>
        <w:t>十四届人大常委会二十五次会议75</w:t>
      </w:r>
    </w:p>
    <w:p w14:paraId="5CC47DE1">
      <w:pPr>
        <w:bidi w:val="0"/>
        <w:rPr>
          <w:rFonts w:hint="eastAsia"/>
          <w:highlight w:val="none"/>
          <w:lang w:val="en-US" w:eastAsia="zh-CN"/>
        </w:rPr>
      </w:pPr>
      <w:r>
        <w:rPr>
          <w:rFonts w:hint="eastAsia"/>
          <w:highlight w:val="none"/>
          <w:lang w:val="en-US" w:eastAsia="zh-CN"/>
        </w:rPr>
        <w:t>十四届人大常委会三十六次会议75</w:t>
      </w:r>
    </w:p>
    <w:p w14:paraId="1D1BD734">
      <w:pPr>
        <w:bidi w:val="0"/>
        <w:rPr>
          <w:rFonts w:hint="eastAsia"/>
          <w:highlight w:val="none"/>
          <w:lang w:val="en-US" w:eastAsia="zh-CN"/>
        </w:rPr>
      </w:pPr>
      <w:r>
        <w:rPr>
          <w:rFonts w:hint="eastAsia"/>
          <w:highlight w:val="none"/>
          <w:lang w:val="en-US" w:eastAsia="zh-CN"/>
        </w:rPr>
        <w:t>十四届人大常委会三十八次会议76</w:t>
      </w:r>
    </w:p>
    <w:p w14:paraId="66C5A9AF">
      <w:pPr>
        <w:bidi w:val="0"/>
        <w:rPr>
          <w:rFonts w:hint="eastAsia"/>
          <w:highlight w:val="none"/>
          <w:lang w:val="en-US" w:eastAsia="zh-CN"/>
        </w:rPr>
      </w:pPr>
      <w:r>
        <w:rPr>
          <w:rFonts w:hint="eastAsia"/>
          <w:highlight w:val="none"/>
          <w:lang w:val="en-US" w:eastAsia="zh-CN"/>
        </w:rPr>
        <w:t>十四届人大常委会三十九次会议76</w:t>
      </w:r>
    </w:p>
    <w:p w14:paraId="4088DFD8">
      <w:pPr>
        <w:bidi w:val="0"/>
        <w:rPr>
          <w:rFonts w:hint="eastAsia"/>
          <w:highlight w:val="none"/>
          <w:lang w:val="en-US" w:eastAsia="zh-CN"/>
        </w:rPr>
      </w:pPr>
      <w:r>
        <w:rPr>
          <w:rFonts w:hint="eastAsia"/>
          <w:highlight w:val="none"/>
          <w:lang w:val="en-US" w:eastAsia="zh-CN"/>
        </w:rPr>
        <w:t>十四届人大常委会二十七次会议76</w:t>
      </w:r>
    </w:p>
    <w:p w14:paraId="28308722">
      <w:pPr>
        <w:bidi w:val="0"/>
        <w:rPr>
          <w:rFonts w:hint="eastAsia"/>
          <w:highlight w:val="none"/>
          <w:lang w:val="en-US" w:eastAsia="zh-CN"/>
        </w:rPr>
      </w:pPr>
      <w:r>
        <w:rPr>
          <w:rFonts w:hint="eastAsia"/>
          <w:highlight w:val="none"/>
          <w:lang w:val="en-US" w:eastAsia="zh-CN"/>
        </w:rPr>
        <w:t>十四届人大常委会四十次会议76</w:t>
      </w:r>
    </w:p>
    <w:p w14:paraId="76E8FDD9">
      <w:pPr>
        <w:bidi w:val="0"/>
        <w:rPr>
          <w:rFonts w:hint="eastAsia"/>
          <w:highlight w:val="none"/>
          <w:lang w:val="en-US" w:eastAsia="zh-CN"/>
        </w:rPr>
      </w:pPr>
      <w:r>
        <w:rPr>
          <w:rFonts w:hint="eastAsia"/>
          <w:highlight w:val="none"/>
          <w:lang w:val="en-US" w:eastAsia="zh-CN"/>
        </w:rPr>
        <w:t>十四届人大常委会四十二次会议77</w:t>
      </w:r>
    </w:p>
    <w:p w14:paraId="2ACCEA83">
      <w:pPr>
        <w:bidi w:val="0"/>
        <w:rPr>
          <w:rFonts w:hint="eastAsia"/>
          <w:highlight w:val="none"/>
          <w:lang w:val="en-US" w:eastAsia="zh-CN"/>
        </w:rPr>
      </w:pPr>
      <w:r>
        <w:rPr>
          <w:rFonts w:hint="eastAsia"/>
          <w:highlight w:val="none"/>
          <w:lang w:val="en-US" w:eastAsia="zh-CN"/>
        </w:rPr>
        <w:t>十四届人大常委会四十一次会议77</w:t>
      </w:r>
    </w:p>
    <w:p w14:paraId="6FB47C86">
      <w:pPr>
        <w:bidi w:val="0"/>
        <w:rPr>
          <w:rFonts w:hint="eastAsia"/>
          <w:highlight w:val="none"/>
          <w:lang w:val="en-US" w:eastAsia="zh-CN"/>
        </w:rPr>
      </w:pPr>
      <w:r>
        <w:rPr>
          <w:rFonts w:hint="eastAsia"/>
          <w:highlight w:val="none"/>
          <w:lang w:val="en-US" w:eastAsia="zh-CN"/>
        </w:rPr>
        <w:t>十四届人大六次会议75</w:t>
      </w:r>
    </w:p>
    <w:p w14:paraId="39C4A1C3">
      <w:pPr>
        <w:bidi w:val="0"/>
        <w:rPr>
          <w:rFonts w:hint="eastAsia"/>
          <w:highlight w:val="none"/>
          <w:lang w:val="en-US" w:eastAsia="zh-CN"/>
        </w:rPr>
      </w:pPr>
      <w:r>
        <w:rPr>
          <w:rFonts w:hint="eastAsia"/>
          <w:highlight w:val="none"/>
          <w:lang w:val="en-US" w:eastAsia="zh-CN"/>
        </w:rPr>
        <w:t>十四届人大五次会议74</w:t>
      </w:r>
    </w:p>
    <w:p w14:paraId="40980EA5">
      <w:pPr>
        <w:bidi w:val="0"/>
        <w:rPr>
          <w:rFonts w:hint="eastAsia"/>
          <w:highlight w:val="none"/>
          <w:lang w:val="en-US" w:eastAsia="zh-CN"/>
        </w:rPr>
      </w:pPr>
      <w:r>
        <w:rPr>
          <w:rFonts w:hint="eastAsia"/>
          <w:highlight w:val="none"/>
          <w:lang w:val="en-US" w:eastAsia="zh-CN"/>
        </w:rPr>
        <w:t>食品药品370</w:t>
      </w:r>
    </w:p>
    <w:p w14:paraId="3FB43D8B">
      <w:pPr>
        <w:bidi w:val="0"/>
        <w:rPr>
          <w:rFonts w:hint="eastAsia"/>
          <w:highlight w:val="none"/>
          <w:lang w:val="en-US" w:eastAsia="zh-CN"/>
        </w:rPr>
      </w:pPr>
      <w:r>
        <w:rPr>
          <w:rFonts w:hint="eastAsia"/>
          <w:highlight w:val="none"/>
          <w:lang w:val="en-US" w:eastAsia="zh-CN"/>
        </w:rPr>
        <w:t>食品药品安全监管177</w:t>
      </w:r>
    </w:p>
    <w:p w14:paraId="777D9188">
      <w:pPr>
        <w:bidi w:val="0"/>
        <w:rPr>
          <w:rFonts w:hint="eastAsia"/>
          <w:highlight w:val="none"/>
          <w:lang w:val="en-US" w:eastAsia="zh-CN"/>
        </w:rPr>
      </w:pPr>
      <w:r>
        <w:rPr>
          <w:rFonts w:hint="eastAsia"/>
          <w:highlight w:val="none"/>
          <w:lang w:val="en-US" w:eastAsia="zh-CN"/>
        </w:rPr>
        <w:t>食品药品风险监测178</w:t>
      </w:r>
    </w:p>
    <w:p w14:paraId="3370A7F1">
      <w:pPr>
        <w:bidi w:val="0"/>
        <w:rPr>
          <w:rFonts w:hint="eastAsia"/>
          <w:highlight w:val="none"/>
          <w:lang w:val="en-US" w:eastAsia="zh-CN"/>
        </w:rPr>
      </w:pPr>
      <w:r>
        <w:rPr>
          <w:rFonts w:hint="eastAsia"/>
          <w:highlight w:val="none"/>
          <w:lang w:val="en-US" w:eastAsia="zh-CN"/>
        </w:rPr>
        <w:t>食品药品监督管理177</w:t>
      </w:r>
    </w:p>
    <w:p w14:paraId="739BAC3C">
      <w:pPr>
        <w:bidi w:val="0"/>
        <w:rPr>
          <w:rFonts w:hint="eastAsia"/>
          <w:highlight w:val="none"/>
          <w:lang w:val="en-US" w:eastAsia="zh-CN"/>
        </w:rPr>
      </w:pPr>
      <w:r>
        <w:rPr>
          <w:rFonts w:hint="eastAsia"/>
          <w:highlight w:val="none"/>
          <w:lang w:val="en-US" w:eastAsia="zh-CN"/>
        </w:rPr>
        <w:t>食品药品监管示范创建179</w:t>
      </w:r>
    </w:p>
    <w:p w14:paraId="03EA26F9">
      <w:pPr>
        <w:bidi w:val="0"/>
        <w:rPr>
          <w:rFonts w:hint="eastAsia"/>
          <w:highlight w:val="none"/>
          <w:lang w:val="en-US" w:eastAsia="zh-CN"/>
        </w:rPr>
      </w:pPr>
      <w:r>
        <w:rPr>
          <w:rFonts w:hint="eastAsia"/>
          <w:highlight w:val="none"/>
          <w:lang w:val="en-US" w:eastAsia="zh-CN"/>
        </w:rPr>
        <w:t>食品药品监管信息化建设179</w:t>
      </w:r>
    </w:p>
    <w:p w14:paraId="1FEA6500">
      <w:pPr>
        <w:bidi w:val="0"/>
        <w:rPr>
          <w:rFonts w:hint="eastAsia"/>
          <w:highlight w:val="none"/>
          <w:lang w:val="en-US" w:eastAsia="zh-CN"/>
        </w:rPr>
      </w:pPr>
      <w:r>
        <w:rPr>
          <w:rFonts w:hint="eastAsia"/>
          <w:highlight w:val="none"/>
          <w:lang w:val="en-US" w:eastAsia="zh-CN"/>
        </w:rPr>
        <w:t>食品药品监管信用分级管理179</w:t>
      </w:r>
    </w:p>
    <w:p w14:paraId="63D6E2C4">
      <w:pPr>
        <w:bidi w:val="0"/>
        <w:rPr>
          <w:rFonts w:hint="eastAsia"/>
          <w:highlight w:val="none"/>
          <w:lang w:val="en-US" w:eastAsia="zh-CN"/>
        </w:rPr>
      </w:pPr>
      <w:r>
        <w:rPr>
          <w:rFonts w:hint="eastAsia"/>
          <w:highlight w:val="none"/>
          <w:lang w:val="en-US" w:eastAsia="zh-CN"/>
        </w:rPr>
        <w:t>食品药品教育培训179</w:t>
      </w:r>
    </w:p>
    <w:p w14:paraId="46DADC56">
      <w:pPr>
        <w:bidi w:val="0"/>
        <w:rPr>
          <w:rFonts w:hint="eastAsia"/>
          <w:highlight w:val="none"/>
          <w:lang w:val="en-US" w:eastAsia="zh-CN"/>
        </w:rPr>
      </w:pPr>
      <w:r>
        <w:rPr>
          <w:rFonts w:hint="eastAsia"/>
          <w:highlight w:val="none"/>
          <w:lang w:val="en-US" w:eastAsia="zh-CN"/>
        </w:rPr>
        <w:t>食品药品行政许可服务179</w:t>
      </w:r>
    </w:p>
    <w:p w14:paraId="47F5229E">
      <w:pPr>
        <w:bidi w:val="0"/>
        <w:rPr>
          <w:rFonts w:hint="eastAsia"/>
          <w:highlight w:val="none"/>
          <w:lang w:val="en-US" w:eastAsia="zh-CN"/>
        </w:rPr>
      </w:pPr>
      <w:r>
        <w:rPr>
          <w:rFonts w:hint="eastAsia"/>
          <w:highlight w:val="none"/>
          <w:lang w:val="en-US" w:eastAsia="zh-CN"/>
        </w:rPr>
        <w:t>食品药品宣传178</w:t>
      </w:r>
    </w:p>
    <w:p w14:paraId="78A984EF">
      <w:pPr>
        <w:bidi w:val="0"/>
        <w:rPr>
          <w:rFonts w:hint="eastAsia"/>
          <w:highlight w:val="none"/>
          <w:lang w:val="en-US" w:eastAsia="zh-CN"/>
        </w:rPr>
      </w:pPr>
      <w:r>
        <w:rPr>
          <w:rFonts w:hint="eastAsia"/>
          <w:highlight w:val="none"/>
          <w:lang w:val="en-US" w:eastAsia="zh-CN"/>
        </w:rPr>
        <w:t>食盐安全宣传251</w:t>
      </w:r>
    </w:p>
    <w:p w14:paraId="491B9897">
      <w:pPr>
        <w:bidi w:val="0"/>
        <w:rPr>
          <w:rFonts w:hint="eastAsia"/>
          <w:highlight w:val="none"/>
          <w:lang w:val="en-US" w:eastAsia="zh-CN"/>
        </w:rPr>
      </w:pPr>
      <w:r>
        <w:rPr>
          <w:rFonts w:hint="eastAsia"/>
          <w:highlight w:val="none"/>
          <w:lang w:val="en-US" w:eastAsia="zh-CN"/>
        </w:rPr>
        <w:t>史志工作63</w:t>
      </w:r>
    </w:p>
    <w:p w14:paraId="4A961564">
      <w:pPr>
        <w:bidi w:val="0"/>
        <w:rPr>
          <w:rFonts w:hint="eastAsia"/>
          <w:highlight w:val="none"/>
          <w:lang w:val="en-US" w:eastAsia="zh-CN"/>
        </w:rPr>
      </w:pPr>
      <w:r>
        <w:rPr>
          <w:rFonts w:hint="eastAsia"/>
          <w:highlight w:val="none"/>
          <w:lang w:val="en-US" w:eastAsia="zh-CN"/>
        </w:rPr>
        <w:t>世界读书日，服务宣传周活动305</w:t>
      </w:r>
    </w:p>
    <w:p w14:paraId="14B640CC">
      <w:pPr>
        <w:bidi w:val="0"/>
        <w:rPr>
          <w:rFonts w:hint="eastAsia"/>
          <w:highlight w:val="none"/>
          <w:lang w:val="en-US" w:eastAsia="zh-CN"/>
        </w:rPr>
      </w:pPr>
      <w:r>
        <w:rPr>
          <w:rFonts w:hint="eastAsia"/>
          <w:highlight w:val="none"/>
          <w:lang w:val="en-US" w:eastAsia="zh-CN"/>
        </w:rPr>
        <w:t>市长办公会议88</w:t>
      </w:r>
    </w:p>
    <w:p w14:paraId="3D742DED">
      <w:pPr>
        <w:bidi w:val="0"/>
        <w:rPr>
          <w:rFonts w:hint="eastAsia"/>
          <w:highlight w:val="none"/>
          <w:lang w:val="en-US" w:eastAsia="zh-CN"/>
        </w:rPr>
      </w:pPr>
      <w:r>
        <w:rPr>
          <w:rFonts w:hint="eastAsia"/>
          <w:highlight w:val="none"/>
          <w:lang w:val="en-US" w:eastAsia="zh-CN"/>
        </w:rPr>
        <w:t>市场监督管理169</w:t>
      </w:r>
    </w:p>
    <w:p w14:paraId="1A73E8AC">
      <w:pPr>
        <w:bidi w:val="0"/>
        <w:rPr>
          <w:rFonts w:hint="eastAsia"/>
          <w:highlight w:val="none"/>
          <w:lang w:val="en-US" w:eastAsia="zh-CN"/>
        </w:rPr>
      </w:pPr>
      <w:r>
        <w:rPr>
          <w:rFonts w:hint="eastAsia"/>
          <w:highlight w:val="none"/>
          <w:lang w:val="en-US" w:eastAsia="zh-CN"/>
        </w:rPr>
        <w:t>市场监管与执法171</w:t>
      </w:r>
    </w:p>
    <w:p w14:paraId="08E06A97">
      <w:pPr>
        <w:bidi w:val="0"/>
        <w:rPr>
          <w:rFonts w:hint="eastAsia"/>
          <w:highlight w:val="none"/>
          <w:lang w:val="en-US" w:eastAsia="zh-CN"/>
        </w:rPr>
      </w:pPr>
      <w:r>
        <w:rPr>
          <w:rFonts w:hint="eastAsia"/>
          <w:highlight w:val="none"/>
          <w:lang w:val="en-US" w:eastAsia="zh-CN"/>
        </w:rPr>
        <w:t>市场物业管理242</w:t>
      </w:r>
    </w:p>
    <w:p w14:paraId="609A7781">
      <w:pPr>
        <w:bidi w:val="0"/>
        <w:rPr>
          <w:rFonts w:hint="eastAsia"/>
          <w:highlight w:val="none"/>
          <w:lang w:val="en-US" w:eastAsia="zh-CN"/>
        </w:rPr>
      </w:pPr>
      <w:r>
        <w:rPr>
          <w:rFonts w:hint="eastAsia"/>
          <w:highlight w:val="none"/>
          <w:lang w:val="en-US" w:eastAsia="zh-CN"/>
        </w:rPr>
        <w:t>市公共汽车有限公司2015年亏损229</w:t>
      </w:r>
    </w:p>
    <w:p w14:paraId="1967C459">
      <w:pPr>
        <w:bidi w:val="0"/>
        <w:rPr>
          <w:rFonts w:hint="eastAsia"/>
          <w:highlight w:val="none"/>
          <w:lang w:val="en-US" w:eastAsia="zh-CN"/>
        </w:rPr>
      </w:pPr>
      <w:r>
        <w:rPr>
          <w:rFonts w:hint="eastAsia"/>
          <w:highlight w:val="none"/>
          <w:lang w:val="en-US" w:eastAsia="zh-CN"/>
        </w:rPr>
        <w:t>市人大及其常委会重要会议73</w:t>
      </w:r>
    </w:p>
    <w:p w14:paraId="53B8306C">
      <w:pPr>
        <w:bidi w:val="0"/>
        <w:rPr>
          <w:rFonts w:hint="eastAsia"/>
          <w:highlight w:val="none"/>
          <w:lang w:val="en-US" w:eastAsia="zh-CN"/>
        </w:rPr>
      </w:pPr>
      <w:r>
        <w:rPr>
          <w:rFonts w:hint="eastAsia"/>
          <w:highlight w:val="none"/>
          <w:lang w:val="en-US" w:eastAsia="zh-CN"/>
        </w:rPr>
        <w:t>市政府常务会议87</w:t>
      </w:r>
    </w:p>
    <w:p w14:paraId="504B289D">
      <w:pPr>
        <w:bidi w:val="0"/>
        <w:rPr>
          <w:rFonts w:hint="eastAsia"/>
          <w:highlight w:val="none"/>
          <w:lang w:val="en-US" w:eastAsia="zh-CN"/>
        </w:rPr>
      </w:pPr>
      <w:r>
        <w:rPr>
          <w:rFonts w:hint="eastAsia"/>
          <w:highlight w:val="none"/>
          <w:lang w:val="en-US" w:eastAsia="zh-CN"/>
        </w:rPr>
        <w:t>市政府工作会议89</w:t>
      </w:r>
    </w:p>
    <w:p w14:paraId="4788EDCF">
      <w:pPr>
        <w:bidi w:val="0"/>
        <w:rPr>
          <w:rFonts w:hint="eastAsia"/>
          <w:highlight w:val="none"/>
          <w:lang w:val="en-US" w:eastAsia="zh-CN"/>
        </w:rPr>
      </w:pPr>
      <w:r>
        <w:rPr>
          <w:rFonts w:hint="eastAsia"/>
          <w:highlight w:val="none"/>
          <w:lang w:val="en-US" w:eastAsia="zh-CN"/>
        </w:rPr>
        <w:t>市政府经济形势分析会89</w:t>
      </w:r>
    </w:p>
    <w:p w14:paraId="77C4DE76">
      <w:pPr>
        <w:bidi w:val="0"/>
        <w:rPr>
          <w:rFonts w:hint="eastAsia"/>
          <w:highlight w:val="none"/>
          <w:lang w:val="en-US" w:eastAsia="zh-CN"/>
        </w:rPr>
      </w:pPr>
      <w:r>
        <w:rPr>
          <w:rFonts w:hint="eastAsia"/>
          <w:highlight w:val="none"/>
          <w:lang w:val="en-US" w:eastAsia="zh-CN"/>
        </w:rPr>
        <w:t>市政设施维护242</w:t>
      </w:r>
    </w:p>
    <w:p w14:paraId="637B2496">
      <w:pPr>
        <w:bidi w:val="0"/>
        <w:rPr>
          <w:rFonts w:hint="eastAsia"/>
          <w:highlight w:val="none"/>
          <w:lang w:val="en-US" w:eastAsia="zh-CN"/>
        </w:rPr>
      </w:pPr>
      <w:r>
        <w:rPr>
          <w:rFonts w:hint="eastAsia"/>
          <w:highlight w:val="none"/>
          <w:lang w:val="en-US" w:eastAsia="zh-CN"/>
        </w:rPr>
        <w:t>市政协、联谊会重要会议和工作98</w:t>
      </w:r>
    </w:p>
    <w:p w14:paraId="00D0B075">
      <w:pPr>
        <w:bidi w:val="0"/>
        <w:rPr>
          <w:rFonts w:hint="eastAsia"/>
          <w:highlight w:val="none"/>
          <w:lang w:val="en-US" w:eastAsia="zh-CN"/>
        </w:rPr>
      </w:pPr>
      <w:r>
        <w:rPr>
          <w:rFonts w:hint="eastAsia"/>
          <w:highlight w:val="none"/>
          <w:lang w:val="en-US" w:eastAsia="zh-CN"/>
        </w:rPr>
        <w:t>市直属医疗卫生机构293</w:t>
      </w:r>
    </w:p>
    <w:p w14:paraId="3E9C0109">
      <w:pPr>
        <w:bidi w:val="0"/>
        <w:rPr>
          <w:rFonts w:hint="eastAsia"/>
          <w:highlight w:val="none"/>
          <w:lang w:val="en-US" w:eastAsia="zh-CN"/>
        </w:rPr>
      </w:pPr>
      <w:r>
        <w:rPr>
          <w:rFonts w:hint="eastAsia"/>
          <w:highlight w:val="none"/>
          <w:lang w:val="en-US" w:eastAsia="zh-CN"/>
        </w:rPr>
        <w:t>事业单位登记管理60</w:t>
      </w:r>
    </w:p>
    <w:p w14:paraId="4394E6B4">
      <w:pPr>
        <w:bidi w:val="0"/>
        <w:rPr>
          <w:rFonts w:hint="eastAsia"/>
          <w:highlight w:val="none"/>
          <w:lang w:val="en-US" w:eastAsia="zh-CN"/>
        </w:rPr>
      </w:pPr>
      <w:r>
        <w:rPr>
          <w:rFonts w:hint="eastAsia"/>
          <w:highlight w:val="none"/>
          <w:lang w:val="en-US" w:eastAsia="zh-CN"/>
        </w:rPr>
        <w:t>事业发展331</w:t>
      </w:r>
    </w:p>
    <w:p w14:paraId="2B3FE30E">
      <w:pPr>
        <w:bidi w:val="0"/>
        <w:rPr>
          <w:rFonts w:hint="eastAsia"/>
          <w:highlight w:val="none"/>
          <w:lang w:val="en-US" w:eastAsia="zh-CN"/>
        </w:rPr>
      </w:pPr>
      <w:r>
        <w:rPr>
          <w:rFonts w:hint="eastAsia"/>
          <w:highlight w:val="none"/>
          <w:lang w:val="en-US" w:eastAsia="zh-CN"/>
        </w:rPr>
        <w:t>试点工作取得阶段性成果68</w:t>
      </w:r>
    </w:p>
    <w:p w14:paraId="07560A29">
      <w:pPr>
        <w:bidi w:val="0"/>
        <w:rPr>
          <w:rFonts w:hint="eastAsia"/>
          <w:highlight w:val="none"/>
          <w:lang w:val="en-US" w:eastAsia="zh-CN"/>
        </w:rPr>
      </w:pPr>
      <w:r>
        <w:rPr>
          <w:rFonts w:hint="eastAsia"/>
          <w:highlight w:val="none"/>
          <w:lang w:val="en-US" w:eastAsia="zh-CN"/>
        </w:rPr>
        <w:t>双联双促125</w:t>
      </w:r>
    </w:p>
    <w:p w14:paraId="753B5CE3">
      <w:pPr>
        <w:bidi w:val="0"/>
        <w:rPr>
          <w:rFonts w:hint="eastAsia"/>
          <w:highlight w:val="none"/>
          <w:lang w:val="en-US" w:eastAsia="zh-CN"/>
        </w:rPr>
      </w:pPr>
      <w:r>
        <w:rPr>
          <w:rFonts w:hint="eastAsia"/>
          <w:highlight w:val="none"/>
          <w:lang w:val="en-US" w:eastAsia="zh-CN"/>
        </w:rPr>
        <w:t>“双学双比”活动203</w:t>
      </w:r>
    </w:p>
    <w:p w14:paraId="5D32CEB4">
      <w:pPr>
        <w:bidi w:val="0"/>
        <w:rPr>
          <w:rFonts w:hint="eastAsia"/>
          <w:highlight w:val="none"/>
          <w:lang w:val="en-US" w:eastAsia="zh-CN"/>
        </w:rPr>
      </w:pPr>
      <w:r>
        <w:rPr>
          <w:rFonts w:hint="eastAsia"/>
          <w:highlight w:val="none"/>
          <w:lang w:val="en-US" w:eastAsia="zh-CN"/>
        </w:rPr>
        <w:t>“双学双比”主题实践活动47</w:t>
      </w:r>
    </w:p>
    <w:p w14:paraId="58E8CCFC">
      <w:pPr>
        <w:bidi w:val="0"/>
        <w:rPr>
          <w:rFonts w:hint="eastAsia"/>
          <w:highlight w:val="none"/>
          <w:lang w:val="en-US" w:eastAsia="zh-CN"/>
        </w:rPr>
      </w:pPr>
      <w:r>
        <w:rPr>
          <w:rFonts w:hint="eastAsia"/>
          <w:highlight w:val="none"/>
          <w:lang w:val="en-US" w:eastAsia="zh-CN"/>
        </w:rPr>
        <w:t>双拥共建153</w:t>
      </w:r>
    </w:p>
    <w:p w14:paraId="3C67AF96">
      <w:pPr>
        <w:bidi w:val="0"/>
        <w:rPr>
          <w:rFonts w:hint="eastAsia"/>
          <w:highlight w:val="none"/>
          <w:lang w:val="en-US" w:eastAsia="zh-CN"/>
        </w:rPr>
      </w:pPr>
      <w:r>
        <w:rPr>
          <w:rFonts w:hint="eastAsia"/>
          <w:highlight w:val="none"/>
          <w:lang w:val="en-US" w:eastAsia="zh-CN"/>
        </w:rPr>
        <w:t>水环境质量245</w:t>
      </w:r>
    </w:p>
    <w:p w14:paraId="6698F71A">
      <w:pPr>
        <w:bidi w:val="0"/>
        <w:rPr>
          <w:rFonts w:hint="eastAsia"/>
          <w:highlight w:val="none"/>
          <w:lang w:val="en-US" w:eastAsia="zh-CN"/>
        </w:rPr>
      </w:pPr>
      <w:r>
        <w:rPr>
          <w:rFonts w:hint="eastAsia"/>
          <w:highlight w:val="none"/>
          <w:lang w:val="en-US" w:eastAsia="zh-CN"/>
        </w:rPr>
        <w:t>水口镇323</w:t>
      </w:r>
    </w:p>
    <w:p w14:paraId="58BCB3FA">
      <w:pPr>
        <w:bidi w:val="0"/>
        <w:rPr>
          <w:rFonts w:hint="eastAsia"/>
          <w:highlight w:val="none"/>
          <w:lang w:val="en-US" w:eastAsia="zh-CN"/>
        </w:rPr>
      </w:pPr>
      <w:r>
        <w:rPr>
          <w:rFonts w:hint="eastAsia"/>
          <w:highlight w:val="none"/>
          <w:lang w:val="en-US" w:eastAsia="zh-CN"/>
        </w:rPr>
        <w:t>水库移民214</w:t>
      </w:r>
    </w:p>
    <w:p w14:paraId="5B95799D">
      <w:pPr>
        <w:bidi w:val="0"/>
        <w:rPr>
          <w:rFonts w:hint="eastAsia"/>
          <w:highlight w:val="none"/>
          <w:lang w:val="en-US" w:eastAsia="zh-CN"/>
        </w:rPr>
      </w:pPr>
      <w:r>
        <w:rPr>
          <w:rFonts w:hint="eastAsia"/>
          <w:highlight w:val="none"/>
          <w:lang w:val="en-US" w:eastAsia="zh-CN"/>
        </w:rPr>
        <w:t>水力发电205</w:t>
      </w:r>
    </w:p>
    <w:p w14:paraId="1CC5CDC9">
      <w:pPr>
        <w:bidi w:val="0"/>
        <w:rPr>
          <w:rFonts w:hint="eastAsia"/>
          <w:highlight w:val="none"/>
          <w:lang w:val="en-US" w:eastAsia="zh-CN"/>
        </w:rPr>
      </w:pPr>
      <w:r>
        <w:rPr>
          <w:rFonts w:hint="eastAsia"/>
          <w:highlight w:val="none"/>
          <w:lang w:val="en-US" w:eastAsia="zh-CN"/>
        </w:rPr>
        <w:t>水利工程213</w:t>
      </w:r>
    </w:p>
    <w:p w14:paraId="0E106C03">
      <w:pPr>
        <w:bidi w:val="0"/>
        <w:rPr>
          <w:rFonts w:hint="eastAsia"/>
          <w:highlight w:val="none"/>
          <w:lang w:val="en-US" w:eastAsia="zh-CN"/>
        </w:rPr>
      </w:pPr>
      <w:r>
        <w:rPr>
          <w:rFonts w:hint="eastAsia"/>
          <w:highlight w:val="none"/>
          <w:lang w:val="en-US" w:eastAsia="zh-CN"/>
        </w:rPr>
        <w:t>水土保持219</w:t>
      </w:r>
    </w:p>
    <w:p w14:paraId="33A95E5F">
      <w:pPr>
        <w:bidi w:val="0"/>
        <w:rPr>
          <w:rFonts w:hint="eastAsia"/>
          <w:highlight w:val="none"/>
          <w:lang w:val="en-US" w:eastAsia="zh-CN"/>
        </w:rPr>
      </w:pPr>
      <w:r>
        <w:rPr>
          <w:rFonts w:hint="eastAsia"/>
          <w:highlight w:val="none"/>
          <w:lang w:val="en-US" w:eastAsia="zh-CN"/>
        </w:rPr>
        <w:t>水土保持治理成果220</w:t>
      </w:r>
    </w:p>
    <w:p w14:paraId="3859ADCA">
      <w:pPr>
        <w:bidi w:val="0"/>
        <w:rPr>
          <w:rFonts w:hint="eastAsia"/>
          <w:highlight w:val="none"/>
          <w:lang w:val="en-US" w:eastAsia="zh-CN"/>
        </w:rPr>
      </w:pPr>
      <w:r>
        <w:rPr>
          <w:rFonts w:hint="eastAsia"/>
          <w:highlight w:val="none"/>
          <w:lang w:val="en-US" w:eastAsia="zh-CN"/>
        </w:rPr>
        <w:t>水土流失监测220</w:t>
      </w:r>
    </w:p>
    <w:p w14:paraId="1CC0656C">
      <w:pPr>
        <w:bidi w:val="0"/>
        <w:rPr>
          <w:rFonts w:hint="eastAsia"/>
          <w:highlight w:val="none"/>
          <w:lang w:val="en-US" w:eastAsia="zh-CN"/>
        </w:rPr>
      </w:pPr>
      <w:r>
        <w:rPr>
          <w:rFonts w:hint="eastAsia"/>
          <w:highlight w:val="none"/>
          <w:lang w:val="en-US" w:eastAsia="zh-CN"/>
        </w:rPr>
        <w:t>水务212</w:t>
      </w:r>
    </w:p>
    <w:p w14:paraId="5FF59469">
      <w:pPr>
        <w:bidi w:val="0"/>
        <w:rPr>
          <w:rFonts w:hint="eastAsia"/>
          <w:highlight w:val="none"/>
          <w:lang w:val="en-US" w:eastAsia="zh-CN"/>
        </w:rPr>
      </w:pPr>
      <w:r>
        <w:rPr>
          <w:rFonts w:hint="eastAsia"/>
          <w:highlight w:val="none"/>
          <w:lang w:val="en-US" w:eastAsia="zh-CN"/>
        </w:rPr>
        <w:t>水政执法214</w:t>
      </w:r>
    </w:p>
    <w:p w14:paraId="2782CAD4">
      <w:pPr>
        <w:bidi w:val="0"/>
        <w:rPr>
          <w:rFonts w:hint="eastAsia"/>
          <w:highlight w:val="none"/>
          <w:lang w:val="en-US" w:eastAsia="zh-CN"/>
        </w:rPr>
      </w:pPr>
      <w:r>
        <w:rPr>
          <w:rFonts w:hint="eastAsia"/>
          <w:highlight w:val="none"/>
          <w:lang w:val="en-US" w:eastAsia="zh-CN"/>
        </w:rPr>
        <w:t>水资源管理214</w:t>
      </w:r>
    </w:p>
    <w:p w14:paraId="2A163B2F">
      <w:pPr>
        <w:bidi w:val="0"/>
        <w:rPr>
          <w:rFonts w:hint="eastAsia"/>
          <w:highlight w:val="none"/>
          <w:lang w:val="en-US" w:eastAsia="zh-CN"/>
        </w:rPr>
      </w:pPr>
      <w:r>
        <w:rPr>
          <w:rFonts w:hint="eastAsia"/>
          <w:highlight w:val="none"/>
          <w:lang w:val="en-US" w:eastAsia="zh-CN"/>
        </w:rPr>
        <w:t>税费收入263</w:t>
      </w:r>
    </w:p>
    <w:p w14:paraId="4D7560A9">
      <w:pPr>
        <w:bidi w:val="0"/>
        <w:rPr>
          <w:rFonts w:hint="eastAsia"/>
          <w:highlight w:val="none"/>
          <w:lang w:val="en-US" w:eastAsia="zh-CN"/>
        </w:rPr>
      </w:pPr>
      <w:r>
        <w:rPr>
          <w:rFonts w:hint="eastAsia"/>
          <w:highlight w:val="none"/>
          <w:lang w:val="en-US" w:eastAsia="zh-CN"/>
        </w:rPr>
        <w:t>税收收入261</w:t>
      </w:r>
    </w:p>
    <w:p w14:paraId="59059B85">
      <w:pPr>
        <w:bidi w:val="0"/>
        <w:rPr>
          <w:rFonts w:hint="eastAsia"/>
          <w:highlight w:val="none"/>
          <w:lang w:val="en-US" w:eastAsia="zh-CN"/>
        </w:rPr>
      </w:pPr>
      <w:r>
        <w:rPr>
          <w:rFonts w:hint="eastAsia"/>
          <w:highlight w:val="none"/>
          <w:lang w:val="en-US" w:eastAsia="zh-CN"/>
        </w:rPr>
        <w:t>税收征管263</w:t>
      </w:r>
    </w:p>
    <w:p w14:paraId="2808112D">
      <w:pPr>
        <w:bidi w:val="0"/>
        <w:rPr>
          <w:rFonts w:hint="eastAsia"/>
          <w:highlight w:val="none"/>
          <w:lang w:val="en-US" w:eastAsia="zh-CN"/>
        </w:rPr>
      </w:pPr>
      <w:r>
        <w:rPr>
          <w:rFonts w:hint="eastAsia"/>
          <w:highlight w:val="none"/>
          <w:lang w:val="en-US" w:eastAsia="zh-CN"/>
        </w:rPr>
        <w:t>税源情况261</w:t>
      </w:r>
    </w:p>
    <w:p w14:paraId="51203A41">
      <w:pPr>
        <w:bidi w:val="0"/>
        <w:rPr>
          <w:rFonts w:hint="eastAsia"/>
          <w:highlight w:val="none"/>
          <w:lang w:val="en-US" w:eastAsia="zh-CN"/>
        </w:rPr>
      </w:pPr>
      <w:r>
        <w:rPr>
          <w:rFonts w:hint="eastAsia"/>
          <w:highlight w:val="none"/>
          <w:lang w:val="en-US" w:eastAsia="zh-CN"/>
        </w:rPr>
        <w:t>司法行政146</w:t>
      </w:r>
    </w:p>
    <w:p w14:paraId="23F5CFCA">
      <w:pPr>
        <w:bidi w:val="0"/>
        <w:rPr>
          <w:rFonts w:hint="eastAsia"/>
          <w:highlight w:val="none"/>
          <w:lang w:val="en-US" w:eastAsia="zh-CN"/>
        </w:rPr>
      </w:pPr>
      <w:r>
        <w:rPr>
          <w:rFonts w:hint="eastAsia"/>
          <w:highlight w:val="none"/>
          <w:lang w:val="en-US" w:eastAsia="zh-CN"/>
        </w:rPr>
        <w:t>思想建设113 115</w:t>
      </w:r>
    </w:p>
    <w:p w14:paraId="7BD3310C">
      <w:pPr>
        <w:bidi w:val="0"/>
        <w:rPr>
          <w:rFonts w:hint="eastAsia"/>
          <w:highlight w:val="none"/>
          <w:lang w:val="en-US" w:eastAsia="zh-CN"/>
        </w:rPr>
      </w:pPr>
      <w:r>
        <w:rPr>
          <w:rFonts w:hint="eastAsia"/>
          <w:highlight w:val="none"/>
          <w:lang w:val="en-US" w:eastAsia="zh-CN"/>
        </w:rPr>
        <w:t>思想引领119</w:t>
      </w:r>
    </w:p>
    <w:p w14:paraId="73C602DC">
      <w:pPr>
        <w:bidi w:val="0"/>
        <w:rPr>
          <w:rFonts w:hint="eastAsia"/>
          <w:highlight w:val="none"/>
          <w:lang w:val="en-US" w:eastAsia="zh-CN"/>
        </w:rPr>
      </w:pPr>
      <w:r>
        <w:rPr>
          <w:rFonts w:hint="eastAsia"/>
          <w:highlight w:val="none"/>
          <w:lang w:val="en-US" w:eastAsia="zh-CN"/>
        </w:rPr>
        <w:t>思想政治152 154</w:t>
      </w:r>
    </w:p>
    <w:p w14:paraId="78C8A56F">
      <w:pPr>
        <w:bidi w:val="0"/>
        <w:rPr>
          <w:rFonts w:hint="eastAsia"/>
          <w:highlight w:val="none"/>
          <w:lang w:val="en-US" w:eastAsia="zh-CN"/>
        </w:rPr>
      </w:pPr>
      <w:r>
        <w:rPr>
          <w:rFonts w:hint="eastAsia"/>
          <w:highlight w:val="none"/>
          <w:lang w:val="en-US" w:eastAsia="zh-CN"/>
        </w:rPr>
        <w:t>送书下乡，设立“关爱留守儿童图书室”306</w:t>
      </w:r>
    </w:p>
    <w:p w14:paraId="12B19E5D">
      <w:pPr>
        <w:pStyle w:val="4"/>
        <w:bidi w:val="0"/>
        <w:rPr>
          <w:rFonts w:hint="eastAsia"/>
          <w:highlight w:val="none"/>
          <w:lang w:val="en-US" w:eastAsia="zh-CN"/>
        </w:rPr>
      </w:pPr>
      <w:r>
        <w:rPr>
          <w:rFonts w:hint="eastAsia"/>
          <w:highlight w:val="none"/>
          <w:lang w:val="en-US" w:eastAsia="zh-CN"/>
        </w:rPr>
        <w:t>T</w:t>
      </w:r>
    </w:p>
    <w:p w14:paraId="05BBCB00">
      <w:pPr>
        <w:bidi w:val="0"/>
        <w:rPr>
          <w:rFonts w:hint="eastAsia"/>
          <w:highlight w:val="none"/>
          <w:lang w:val="en-US" w:eastAsia="zh-CN"/>
        </w:rPr>
      </w:pPr>
      <w:r>
        <w:rPr>
          <w:rFonts w:hint="eastAsia"/>
          <w:highlight w:val="none"/>
          <w:lang w:val="en-US" w:eastAsia="zh-CN"/>
        </w:rPr>
        <w:t>探索网格化监管，完善监管体系177</w:t>
      </w:r>
    </w:p>
    <w:p w14:paraId="2ACE2DE1">
      <w:pPr>
        <w:bidi w:val="0"/>
        <w:rPr>
          <w:rFonts w:hint="eastAsia"/>
          <w:highlight w:val="none"/>
          <w:lang w:val="en-US" w:eastAsia="zh-CN"/>
        </w:rPr>
      </w:pPr>
      <w:r>
        <w:rPr>
          <w:rFonts w:hint="eastAsia"/>
          <w:highlight w:val="none"/>
          <w:lang w:val="en-US" w:eastAsia="zh-CN"/>
        </w:rPr>
        <w:t>特定统计服务163</w:t>
      </w:r>
    </w:p>
    <w:p w14:paraId="244C8E51">
      <w:pPr>
        <w:bidi w:val="0"/>
        <w:rPr>
          <w:rFonts w:hint="eastAsia"/>
          <w:highlight w:val="none"/>
          <w:lang w:val="en-US" w:eastAsia="zh-CN"/>
        </w:rPr>
      </w:pPr>
      <w:r>
        <w:rPr>
          <w:rFonts w:hint="eastAsia"/>
          <w:highlight w:val="none"/>
          <w:lang w:val="en-US" w:eastAsia="zh-CN"/>
        </w:rPr>
        <w:t>特色农业363</w:t>
      </w:r>
    </w:p>
    <w:p w14:paraId="2D227489">
      <w:pPr>
        <w:bidi w:val="0"/>
        <w:rPr>
          <w:rFonts w:hint="eastAsia"/>
          <w:highlight w:val="none"/>
          <w:lang w:val="en-US" w:eastAsia="zh-CN"/>
        </w:rPr>
      </w:pPr>
      <w:r>
        <w:rPr>
          <w:rFonts w:hint="eastAsia"/>
          <w:highlight w:val="none"/>
          <w:lang w:val="en-US" w:eastAsia="zh-CN"/>
        </w:rPr>
        <w:t>特殊教育273</w:t>
      </w:r>
    </w:p>
    <w:p w14:paraId="5B91A062">
      <w:pPr>
        <w:bidi w:val="0"/>
        <w:rPr>
          <w:rFonts w:hint="eastAsia"/>
          <w:highlight w:val="none"/>
          <w:lang w:val="en-US" w:eastAsia="zh-CN"/>
        </w:rPr>
      </w:pPr>
      <w:r>
        <w:rPr>
          <w:rFonts w:hint="eastAsia"/>
          <w:highlight w:val="none"/>
          <w:lang w:val="en-US" w:eastAsia="zh-CN"/>
        </w:rPr>
        <w:t>提案督办100</w:t>
      </w:r>
    </w:p>
    <w:p w14:paraId="26F3D0B5">
      <w:pPr>
        <w:bidi w:val="0"/>
        <w:rPr>
          <w:rFonts w:hint="eastAsia"/>
          <w:highlight w:val="none"/>
          <w:lang w:val="en-US" w:eastAsia="zh-CN"/>
        </w:rPr>
      </w:pPr>
      <w:r>
        <w:rPr>
          <w:rFonts w:hint="eastAsia"/>
          <w:highlight w:val="none"/>
          <w:lang w:val="en-US" w:eastAsia="zh-CN"/>
        </w:rPr>
        <w:t>提高财政监管水平260</w:t>
      </w:r>
    </w:p>
    <w:p w14:paraId="45448AE6">
      <w:pPr>
        <w:bidi w:val="0"/>
        <w:rPr>
          <w:rFonts w:hint="eastAsia"/>
          <w:highlight w:val="none"/>
          <w:lang w:val="en-US" w:eastAsia="zh-CN"/>
        </w:rPr>
      </w:pPr>
      <w:r>
        <w:rPr>
          <w:rFonts w:hint="eastAsia"/>
          <w:highlight w:val="none"/>
          <w:lang w:val="en-US" w:eastAsia="zh-CN"/>
        </w:rPr>
        <w:t>提高人员素质163</w:t>
      </w:r>
    </w:p>
    <w:p w14:paraId="54A2CBF7">
      <w:pPr>
        <w:bidi w:val="0"/>
        <w:rPr>
          <w:rFonts w:hint="eastAsia"/>
          <w:highlight w:val="none"/>
          <w:lang w:val="en-US" w:eastAsia="zh-CN"/>
        </w:rPr>
      </w:pPr>
      <w:r>
        <w:rPr>
          <w:rFonts w:hint="eastAsia"/>
          <w:highlight w:val="none"/>
          <w:lang w:val="en-US" w:eastAsia="zh-CN"/>
        </w:rPr>
        <w:t>提升财政综合实力258</w:t>
      </w:r>
    </w:p>
    <w:p w14:paraId="332A7051">
      <w:pPr>
        <w:bidi w:val="0"/>
        <w:rPr>
          <w:rFonts w:hint="eastAsia"/>
          <w:highlight w:val="none"/>
          <w:lang w:val="en-US" w:eastAsia="zh-CN"/>
        </w:rPr>
      </w:pPr>
      <w:r>
        <w:rPr>
          <w:rFonts w:hint="eastAsia"/>
          <w:highlight w:val="none"/>
          <w:lang w:val="en-US" w:eastAsia="zh-CN"/>
        </w:rPr>
        <w:t>提升业务能力156</w:t>
      </w:r>
    </w:p>
    <w:p w14:paraId="19810A68">
      <w:pPr>
        <w:bidi w:val="0"/>
        <w:rPr>
          <w:rFonts w:hint="eastAsia"/>
          <w:highlight w:val="none"/>
          <w:lang w:val="en-US" w:eastAsia="zh-CN"/>
        </w:rPr>
      </w:pPr>
      <w:r>
        <w:rPr>
          <w:rFonts w:hint="eastAsia"/>
          <w:highlight w:val="none"/>
          <w:lang w:val="en-US" w:eastAsia="zh-CN"/>
        </w:rPr>
        <w:t>体育300</w:t>
      </w:r>
    </w:p>
    <w:p w14:paraId="0CDDB3A2">
      <w:pPr>
        <w:bidi w:val="0"/>
        <w:rPr>
          <w:rFonts w:hint="eastAsia"/>
          <w:highlight w:val="none"/>
          <w:lang w:val="en-US" w:eastAsia="zh-CN"/>
        </w:rPr>
      </w:pPr>
      <w:r>
        <w:rPr>
          <w:rFonts w:hint="eastAsia"/>
          <w:highlight w:val="none"/>
          <w:lang w:val="en-US" w:eastAsia="zh-CN"/>
        </w:rPr>
        <w:t>体育经济持续发展301</w:t>
      </w:r>
    </w:p>
    <w:p w14:paraId="22F8AF60">
      <w:pPr>
        <w:bidi w:val="0"/>
        <w:rPr>
          <w:rFonts w:hint="eastAsia"/>
          <w:highlight w:val="none"/>
          <w:lang w:val="en-US" w:eastAsia="zh-CN"/>
        </w:rPr>
      </w:pPr>
      <w:r>
        <w:rPr>
          <w:rFonts w:hint="eastAsia"/>
          <w:highlight w:val="none"/>
          <w:lang w:val="en-US" w:eastAsia="zh-CN"/>
        </w:rPr>
        <w:t>体育设施建设300</w:t>
      </w:r>
    </w:p>
    <w:p w14:paraId="3DF2EDA6">
      <w:pPr>
        <w:bidi w:val="0"/>
        <w:rPr>
          <w:rFonts w:hint="eastAsia"/>
          <w:highlight w:val="none"/>
          <w:lang w:val="en-US" w:eastAsia="zh-CN"/>
        </w:rPr>
      </w:pPr>
      <w:r>
        <w:rPr>
          <w:rFonts w:hint="eastAsia"/>
          <w:highlight w:val="none"/>
          <w:lang w:val="en-US" w:eastAsia="zh-CN"/>
        </w:rPr>
        <w:t>统计161</w:t>
      </w:r>
    </w:p>
    <w:p w14:paraId="02AB3E64">
      <w:pPr>
        <w:bidi w:val="0"/>
        <w:rPr>
          <w:rFonts w:hint="eastAsia"/>
          <w:highlight w:val="none"/>
          <w:lang w:val="en-US" w:eastAsia="zh-CN"/>
        </w:rPr>
      </w:pPr>
      <w:r>
        <w:rPr>
          <w:rFonts w:hint="eastAsia"/>
          <w:highlight w:val="none"/>
          <w:lang w:val="en-US" w:eastAsia="zh-CN"/>
        </w:rPr>
        <w:t>统计服务166</w:t>
      </w:r>
    </w:p>
    <w:p w14:paraId="704B4043">
      <w:pPr>
        <w:bidi w:val="0"/>
        <w:rPr>
          <w:rFonts w:hint="eastAsia"/>
          <w:highlight w:val="none"/>
          <w:lang w:val="en-US" w:eastAsia="zh-CN"/>
        </w:rPr>
      </w:pPr>
      <w:r>
        <w:rPr>
          <w:rFonts w:hint="eastAsia"/>
          <w:highlight w:val="none"/>
          <w:lang w:val="en-US" w:eastAsia="zh-CN"/>
        </w:rPr>
        <w:t>统计工作360</w:t>
      </w:r>
    </w:p>
    <w:p w14:paraId="31586BD6">
      <w:pPr>
        <w:bidi w:val="0"/>
        <w:rPr>
          <w:rFonts w:hint="eastAsia"/>
          <w:highlight w:val="none"/>
          <w:lang w:val="en-US" w:eastAsia="zh-CN"/>
        </w:rPr>
      </w:pPr>
      <w:r>
        <w:rPr>
          <w:rFonts w:hint="eastAsia"/>
          <w:highlight w:val="none"/>
          <w:lang w:val="en-US" w:eastAsia="zh-CN"/>
        </w:rPr>
        <w:t>《统计之声》164</w:t>
      </w:r>
    </w:p>
    <w:p w14:paraId="54E6743F">
      <w:pPr>
        <w:bidi w:val="0"/>
        <w:rPr>
          <w:rFonts w:hint="eastAsia"/>
          <w:highlight w:val="none"/>
          <w:lang w:val="en-US" w:eastAsia="zh-CN"/>
        </w:rPr>
      </w:pPr>
      <w:r>
        <w:rPr>
          <w:rFonts w:hint="eastAsia"/>
          <w:highlight w:val="none"/>
          <w:lang w:val="en-US" w:eastAsia="zh-CN"/>
        </w:rPr>
        <w:t>统战工作54</w:t>
      </w:r>
    </w:p>
    <w:p w14:paraId="584875BC">
      <w:pPr>
        <w:bidi w:val="0"/>
        <w:rPr>
          <w:rFonts w:hint="eastAsia"/>
          <w:highlight w:val="none"/>
          <w:lang w:val="en-US" w:eastAsia="zh-CN"/>
        </w:rPr>
      </w:pPr>
      <w:r>
        <w:rPr>
          <w:rFonts w:hint="eastAsia"/>
          <w:highlight w:val="none"/>
          <w:lang w:val="en-US" w:eastAsia="zh-CN"/>
        </w:rPr>
        <w:t>图书管理304</w:t>
      </w:r>
    </w:p>
    <w:p w14:paraId="3D39E4CB">
      <w:pPr>
        <w:bidi w:val="0"/>
        <w:rPr>
          <w:rFonts w:hint="eastAsia"/>
          <w:highlight w:val="none"/>
          <w:lang w:val="en-US" w:eastAsia="zh-CN"/>
        </w:rPr>
      </w:pPr>
      <w:r>
        <w:rPr>
          <w:rFonts w:hint="eastAsia"/>
          <w:highlight w:val="none"/>
          <w:lang w:val="en-US" w:eastAsia="zh-CN"/>
        </w:rPr>
        <w:t>土地调控工作321</w:t>
      </w:r>
    </w:p>
    <w:p w14:paraId="26FFAD9E">
      <w:pPr>
        <w:bidi w:val="0"/>
        <w:rPr>
          <w:rFonts w:hint="eastAsia"/>
          <w:highlight w:val="none"/>
          <w:lang w:val="en-US" w:eastAsia="zh-CN"/>
        </w:rPr>
      </w:pPr>
      <w:r>
        <w:rPr>
          <w:rFonts w:hint="eastAsia"/>
          <w:highlight w:val="none"/>
          <w:lang w:val="en-US" w:eastAsia="zh-CN"/>
        </w:rPr>
        <w:t>土地供应及供后监管174</w:t>
      </w:r>
    </w:p>
    <w:p w14:paraId="712C0208">
      <w:pPr>
        <w:bidi w:val="0"/>
        <w:rPr>
          <w:rFonts w:hint="eastAsia"/>
          <w:highlight w:val="none"/>
          <w:lang w:val="en-US" w:eastAsia="zh-CN"/>
        </w:rPr>
      </w:pPr>
      <w:r>
        <w:rPr>
          <w:rFonts w:hint="eastAsia"/>
          <w:highlight w:val="none"/>
          <w:lang w:val="en-US" w:eastAsia="zh-CN"/>
        </w:rPr>
        <w:t>土地执法175</w:t>
      </w:r>
    </w:p>
    <w:p w14:paraId="1193A92D">
      <w:pPr>
        <w:bidi w:val="0"/>
        <w:rPr>
          <w:rFonts w:hint="eastAsia"/>
          <w:highlight w:val="none"/>
          <w:lang w:val="en-US" w:eastAsia="zh-CN"/>
        </w:rPr>
      </w:pPr>
      <w:r>
        <w:rPr>
          <w:rFonts w:hint="eastAsia"/>
          <w:highlight w:val="none"/>
          <w:lang w:val="en-US" w:eastAsia="zh-CN"/>
        </w:rPr>
        <w:t>推动业务提升61</w:t>
      </w:r>
    </w:p>
    <w:p w14:paraId="17F0B998">
      <w:pPr>
        <w:bidi w:val="0"/>
        <w:rPr>
          <w:rFonts w:hint="eastAsia"/>
          <w:highlight w:val="none"/>
          <w:lang w:val="en-US" w:eastAsia="zh-CN"/>
        </w:rPr>
      </w:pPr>
      <w:r>
        <w:rPr>
          <w:rFonts w:hint="eastAsia"/>
          <w:highlight w:val="none"/>
          <w:lang w:val="en-US" w:eastAsia="zh-CN"/>
        </w:rPr>
        <w:t>推广建筑节能238</w:t>
      </w:r>
    </w:p>
    <w:p w14:paraId="415C93F2">
      <w:pPr>
        <w:bidi w:val="0"/>
        <w:rPr>
          <w:rFonts w:hint="eastAsia"/>
          <w:highlight w:val="none"/>
          <w:lang w:val="en-US" w:eastAsia="zh-CN"/>
        </w:rPr>
      </w:pPr>
      <w:r>
        <w:rPr>
          <w:rFonts w:hint="eastAsia"/>
          <w:highlight w:val="none"/>
          <w:lang w:val="en-US" w:eastAsia="zh-CN"/>
        </w:rPr>
        <w:t>推进法治建设70</w:t>
      </w:r>
    </w:p>
    <w:p w14:paraId="56451F44">
      <w:pPr>
        <w:bidi w:val="0"/>
        <w:rPr>
          <w:rFonts w:hint="eastAsia"/>
          <w:highlight w:val="none"/>
          <w:lang w:val="en-US" w:eastAsia="zh-CN"/>
        </w:rPr>
      </w:pPr>
      <w:r>
        <w:rPr>
          <w:rFonts w:hint="eastAsia"/>
          <w:highlight w:val="none"/>
          <w:lang w:val="en-US" w:eastAsia="zh-CN"/>
        </w:rPr>
        <w:t>推进积案化解61</w:t>
      </w:r>
    </w:p>
    <w:p w14:paraId="1FD33AF8">
      <w:pPr>
        <w:bidi w:val="0"/>
        <w:rPr>
          <w:rFonts w:hint="eastAsia"/>
          <w:highlight w:val="none"/>
          <w:lang w:val="en-US" w:eastAsia="zh-CN"/>
        </w:rPr>
      </w:pPr>
      <w:r>
        <w:rPr>
          <w:rFonts w:hint="eastAsia"/>
          <w:highlight w:val="none"/>
          <w:lang w:val="en-US" w:eastAsia="zh-CN"/>
        </w:rPr>
        <w:t>推进司法体制改革145</w:t>
      </w:r>
    </w:p>
    <w:p w14:paraId="21DFB903">
      <w:pPr>
        <w:bidi w:val="0"/>
        <w:rPr>
          <w:rFonts w:hint="eastAsia"/>
          <w:highlight w:val="none"/>
          <w:lang w:val="en-US" w:eastAsia="zh-CN"/>
        </w:rPr>
      </w:pPr>
      <w:r>
        <w:rPr>
          <w:rFonts w:hint="eastAsia"/>
          <w:highlight w:val="none"/>
          <w:lang w:val="en-US" w:eastAsia="zh-CN"/>
        </w:rPr>
        <w:t>推进网上办事大厅南雄分厅的拓展和延伸97</w:t>
      </w:r>
    </w:p>
    <w:p w14:paraId="3A488F25">
      <w:pPr>
        <w:bidi w:val="0"/>
        <w:rPr>
          <w:rFonts w:hint="eastAsia"/>
          <w:highlight w:val="none"/>
          <w:lang w:val="en-US" w:eastAsia="zh-CN"/>
        </w:rPr>
      </w:pPr>
      <w:r>
        <w:rPr>
          <w:rFonts w:hint="eastAsia"/>
          <w:highlight w:val="none"/>
          <w:lang w:val="en-US" w:eastAsia="zh-CN"/>
        </w:rPr>
        <w:t>推开信访改革61</w:t>
      </w:r>
    </w:p>
    <w:p w14:paraId="6BA85D6A">
      <w:pPr>
        <w:bidi w:val="0"/>
        <w:rPr>
          <w:rFonts w:hint="eastAsia"/>
          <w:highlight w:val="none"/>
          <w:lang w:val="en-US" w:eastAsia="zh-CN"/>
        </w:rPr>
      </w:pPr>
      <w:r>
        <w:rPr>
          <w:rFonts w:hint="eastAsia"/>
          <w:highlight w:val="none"/>
          <w:lang w:val="en-US" w:eastAsia="zh-CN"/>
        </w:rPr>
        <w:t>推行网上信访60</w:t>
      </w:r>
    </w:p>
    <w:p w14:paraId="485432F8">
      <w:pPr>
        <w:pStyle w:val="4"/>
        <w:bidi w:val="0"/>
        <w:rPr>
          <w:rFonts w:hint="eastAsia"/>
          <w:highlight w:val="none"/>
          <w:lang w:val="en-US" w:eastAsia="zh-CN"/>
        </w:rPr>
      </w:pPr>
      <w:r>
        <w:rPr>
          <w:rFonts w:hint="eastAsia"/>
          <w:highlight w:val="none"/>
          <w:lang w:val="en-US" w:eastAsia="zh-CN"/>
        </w:rPr>
        <w:t>W</w:t>
      </w:r>
    </w:p>
    <w:p w14:paraId="308C1B49">
      <w:pPr>
        <w:bidi w:val="0"/>
        <w:rPr>
          <w:rFonts w:hint="eastAsia"/>
          <w:highlight w:val="none"/>
          <w:lang w:val="en-US" w:eastAsia="zh-CN"/>
        </w:rPr>
      </w:pPr>
      <w:r>
        <w:rPr>
          <w:rFonts w:hint="eastAsia"/>
          <w:highlight w:val="none"/>
          <w:lang w:val="en-US" w:eastAsia="zh-CN"/>
        </w:rPr>
        <w:t>外汇管理改革265</w:t>
      </w:r>
    </w:p>
    <w:p w14:paraId="1DE67EEE">
      <w:pPr>
        <w:bidi w:val="0"/>
        <w:rPr>
          <w:rFonts w:hint="eastAsia"/>
          <w:highlight w:val="none"/>
          <w:lang w:val="en-US" w:eastAsia="zh-CN"/>
        </w:rPr>
      </w:pPr>
      <w:r>
        <w:rPr>
          <w:rFonts w:hint="eastAsia"/>
          <w:highlight w:val="none"/>
          <w:lang w:val="en-US" w:eastAsia="zh-CN"/>
        </w:rPr>
        <w:t>外事侨务91</w:t>
      </w:r>
    </w:p>
    <w:p w14:paraId="0C23E08D">
      <w:pPr>
        <w:bidi w:val="0"/>
        <w:rPr>
          <w:rFonts w:hint="eastAsia"/>
          <w:highlight w:val="none"/>
          <w:lang w:val="en-US" w:eastAsia="zh-CN"/>
        </w:rPr>
      </w:pPr>
      <w:r>
        <w:rPr>
          <w:rFonts w:hint="eastAsia"/>
          <w:highlight w:val="none"/>
          <w:lang w:val="en-US" w:eastAsia="zh-CN"/>
        </w:rPr>
        <w:t>外事侨务工作91</w:t>
      </w:r>
    </w:p>
    <w:p w14:paraId="3BE3F50B">
      <w:pPr>
        <w:bidi w:val="0"/>
        <w:rPr>
          <w:rFonts w:hint="eastAsia"/>
          <w:highlight w:val="none"/>
          <w:lang w:val="en-US" w:eastAsia="zh-CN"/>
        </w:rPr>
      </w:pPr>
      <w:r>
        <w:rPr>
          <w:rFonts w:hint="eastAsia"/>
          <w:highlight w:val="none"/>
          <w:lang w:val="en-US" w:eastAsia="zh-CN"/>
        </w:rPr>
        <w:t>完成第一次全国可移动文物普查工作308</w:t>
      </w:r>
    </w:p>
    <w:p w14:paraId="15511C44">
      <w:pPr>
        <w:bidi w:val="0"/>
        <w:rPr>
          <w:rFonts w:hint="eastAsia"/>
          <w:highlight w:val="none"/>
          <w:lang w:val="en-US" w:eastAsia="zh-CN"/>
        </w:rPr>
      </w:pPr>
      <w:r>
        <w:rPr>
          <w:rFonts w:hint="eastAsia"/>
          <w:highlight w:val="none"/>
          <w:lang w:val="en-US" w:eastAsia="zh-CN"/>
        </w:rPr>
        <w:t>完善“爱国主义教育基地”建设318</w:t>
      </w:r>
    </w:p>
    <w:p w14:paraId="3305889D">
      <w:pPr>
        <w:bidi w:val="0"/>
        <w:rPr>
          <w:rFonts w:hint="eastAsia"/>
          <w:highlight w:val="none"/>
          <w:lang w:val="en-US" w:eastAsia="zh-CN"/>
        </w:rPr>
      </w:pPr>
      <w:r>
        <w:rPr>
          <w:rFonts w:hint="eastAsia"/>
          <w:highlight w:val="none"/>
          <w:lang w:val="en-US" w:eastAsia="zh-CN"/>
        </w:rPr>
        <w:t>完善侨情普查工作131</w:t>
      </w:r>
    </w:p>
    <w:p w14:paraId="7961B035">
      <w:pPr>
        <w:bidi w:val="0"/>
        <w:rPr>
          <w:rFonts w:hint="eastAsia"/>
          <w:highlight w:val="none"/>
          <w:lang w:val="en-US" w:eastAsia="zh-CN"/>
        </w:rPr>
      </w:pPr>
      <w:r>
        <w:rPr>
          <w:rFonts w:hint="eastAsia"/>
          <w:highlight w:val="none"/>
          <w:lang w:val="en-US" w:eastAsia="zh-CN"/>
        </w:rPr>
        <w:t>完善预案，提升安全生产应急处置能力181</w:t>
      </w:r>
    </w:p>
    <w:p w14:paraId="2FA80338">
      <w:pPr>
        <w:bidi w:val="0"/>
        <w:rPr>
          <w:rFonts w:hint="eastAsia"/>
          <w:highlight w:val="none"/>
          <w:lang w:val="en-US" w:eastAsia="zh-CN"/>
        </w:rPr>
      </w:pPr>
      <w:r>
        <w:rPr>
          <w:rFonts w:hint="eastAsia"/>
          <w:highlight w:val="none"/>
          <w:lang w:val="en-US" w:eastAsia="zh-CN"/>
        </w:rPr>
        <w:t>网络保障233</w:t>
      </w:r>
    </w:p>
    <w:p w14:paraId="57825A16">
      <w:pPr>
        <w:bidi w:val="0"/>
        <w:rPr>
          <w:rFonts w:hint="eastAsia"/>
          <w:highlight w:val="none"/>
          <w:lang w:val="en-US" w:eastAsia="zh-CN"/>
        </w:rPr>
      </w:pPr>
      <w:r>
        <w:rPr>
          <w:rFonts w:hint="eastAsia"/>
          <w:highlight w:val="none"/>
          <w:lang w:val="en-US" w:eastAsia="zh-CN"/>
        </w:rPr>
        <w:t>网络问政47</w:t>
      </w:r>
    </w:p>
    <w:p w14:paraId="20F91AA0">
      <w:pPr>
        <w:bidi w:val="0"/>
        <w:rPr>
          <w:rFonts w:hint="eastAsia"/>
          <w:highlight w:val="none"/>
          <w:lang w:val="en-US" w:eastAsia="zh-CN"/>
        </w:rPr>
      </w:pPr>
      <w:r>
        <w:rPr>
          <w:rFonts w:hint="eastAsia"/>
          <w:highlight w:val="none"/>
          <w:lang w:val="en-US" w:eastAsia="zh-CN"/>
        </w:rPr>
        <w:t>网络质量234</w:t>
      </w:r>
    </w:p>
    <w:p w14:paraId="2D57AE01">
      <w:pPr>
        <w:bidi w:val="0"/>
        <w:rPr>
          <w:rFonts w:hint="eastAsia"/>
          <w:highlight w:val="none"/>
          <w:lang w:val="en-US" w:eastAsia="zh-CN"/>
        </w:rPr>
      </w:pPr>
      <w:r>
        <w:rPr>
          <w:rFonts w:hint="eastAsia"/>
          <w:highlight w:val="none"/>
          <w:lang w:val="en-US" w:eastAsia="zh-CN"/>
        </w:rPr>
        <w:t>网上名称管理60</w:t>
      </w:r>
    </w:p>
    <w:p w14:paraId="6841C652">
      <w:pPr>
        <w:bidi w:val="0"/>
        <w:rPr>
          <w:rFonts w:hint="eastAsia"/>
          <w:highlight w:val="none"/>
          <w:lang w:val="en-US" w:eastAsia="zh-CN"/>
        </w:rPr>
      </w:pPr>
      <w:r>
        <w:rPr>
          <w:rFonts w:hint="eastAsia"/>
          <w:highlight w:val="none"/>
          <w:lang w:val="en-US" w:eastAsia="zh-CN"/>
        </w:rPr>
        <w:t>危桥改建224</w:t>
      </w:r>
    </w:p>
    <w:p w14:paraId="1073CF77">
      <w:pPr>
        <w:bidi w:val="0"/>
        <w:rPr>
          <w:rFonts w:hint="eastAsia"/>
          <w:highlight w:val="none"/>
          <w:lang w:val="en-US" w:eastAsia="zh-CN"/>
        </w:rPr>
      </w:pPr>
      <w:r>
        <w:rPr>
          <w:rFonts w:hint="eastAsia"/>
          <w:highlight w:val="none"/>
          <w:lang w:val="en-US" w:eastAsia="zh-CN"/>
        </w:rPr>
        <w:t>为制定南雄市“十三五”策318</w:t>
      </w:r>
    </w:p>
    <w:p w14:paraId="447B76A3">
      <w:pPr>
        <w:bidi w:val="0"/>
        <w:rPr>
          <w:rFonts w:hint="eastAsia"/>
          <w:highlight w:val="none"/>
          <w:lang w:val="en-US" w:eastAsia="zh-CN"/>
        </w:rPr>
      </w:pPr>
      <w:r>
        <w:rPr>
          <w:rFonts w:hint="eastAsia"/>
          <w:highlight w:val="none"/>
          <w:lang w:val="en-US" w:eastAsia="zh-CN"/>
        </w:rPr>
        <w:t>维护青少年权益121</w:t>
      </w:r>
    </w:p>
    <w:p w14:paraId="73A527BB">
      <w:pPr>
        <w:bidi w:val="0"/>
        <w:rPr>
          <w:rFonts w:hint="eastAsia"/>
          <w:highlight w:val="none"/>
          <w:lang w:val="en-US" w:eastAsia="zh-CN"/>
        </w:rPr>
      </w:pPr>
      <w:r>
        <w:rPr>
          <w:rFonts w:hint="eastAsia"/>
          <w:highlight w:val="none"/>
          <w:lang w:val="en-US" w:eastAsia="zh-CN"/>
        </w:rPr>
        <w:t>维护辖区金融稳定265</w:t>
      </w:r>
    </w:p>
    <w:p w14:paraId="2931548E">
      <w:pPr>
        <w:bidi w:val="0"/>
        <w:rPr>
          <w:rFonts w:hint="eastAsia"/>
          <w:highlight w:val="none"/>
          <w:lang w:val="en-US" w:eastAsia="zh-CN"/>
        </w:rPr>
      </w:pPr>
      <w:r>
        <w:rPr>
          <w:rFonts w:hint="eastAsia"/>
          <w:highlight w:val="none"/>
          <w:lang w:val="en-US" w:eastAsia="zh-CN"/>
        </w:rPr>
        <w:t>维稳处突138</w:t>
      </w:r>
    </w:p>
    <w:p w14:paraId="056833A7">
      <w:pPr>
        <w:bidi w:val="0"/>
        <w:rPr>
          <w:rFonts w:hint="eastAsia"/>
          <w:highlight w:val="none"/>
          <w:lang w:val="en-US" w:eastAsia="zh-CN"/>
        </w:rPr>
      </w:pPr>
      <w:r>
        <w:rPr>
          <w:rFonts w:hint="eastAsia"/>
          <w:highlight w:val="none"/>
          <w:lang w:val="en-US" w:eastAsia="zh-CN"/>
        </w:rPr>
        <w:t>卫生283</w:t>
      </w:r>
    </w:p>
    <w:p w14:paraId="43DB47D9">
      <w:pPr>
        <w:bidi w:val="0"/>
        <w:rPr>
          <w:rFonts w:hint="eastAsia"/>
          <w:highlight w:val="none"/>
          <w:lang w:val="en-US" w:eastAsia="zh-CN"/>
        </w:rPr>
      </w:pPr>
      <w:r>
        <w:rPr>
          <w:rFonts w:hint="eastAsia"/>
          <w:highlight w:val="none"/>
          <w:lang w:val="en-US" w:eastAsia="zh-CN"/>
        </w:rPr>
        <w:t>卫生概况283</w:t>
      </w:r>
    </w:p>
    <w:p w14:paraId="45C7F175">
      <w:pPr>
        <w:bidi w:val="0"/>
        <w:rPr>
          <w:rFonts w:hint="eastAsia"/>
          <w:highlight w:val="none"/>
          <w:lang w:val="en-US" w:eastAsia="zh-CN"/>
        </w:rPr>
      </w:pPr>
      <w:r>
        <w:rPr>
          <w:rFonts w:hint="eastAsia"/>
          <w:highlight w:val="none"/>
          <w:lang w:val="en-US" w:eastAsia="zh-CN"/>
        </w:rPr>
        <w:t>卫生监督协管管理291</w:t>
      </w:r>
    </w:p>
    <w:p w14:paraId="60DB216C">
      <w:pPr>
        <w:bidi w:val="0"/>
        <w:rPr>
          <w:rFonts w:hint="eastAsia"/>
          <w:highlight w:val="none"/>
          <w:lang w:val="en-US" w:eastAsia="zh-CN"/>
        </w:rPr>
      </w:pPr>
      <w:r>
        <w:rPr>
          <w:rFonts w:hint="eastAsia"/>
          <w:highlight w:val="none"/>
          <w:lang w:val="en-US" w:eastAsia="zh-CN"/>
        </w:rPr>
        <w:t>卫生监督执法289</w:t>
      </w:r>
    </w:p>
    <w:p w14:paraId="5D577F28">
      <w:pPr>
        <w:bidi w:val="0"/>
        <w:rPr>
          <w:rFonts w:hint="eastAsia"/>
          <w:highlight w:val="none"/>
          <w:lang w:val="en-US" w:eastAsia="zh-CN"/>
        </w:rPr>
      </w:pPr>
      <w:r>
        <w:rPr>
          <w:rFonts w:hint="eastAsia"/>
          <w:highlight w:val="none"/>
          <w:lang w:val="en-US" w:eastAsia="zh-CN"/>
        </w:rPr>
        <w:t>位置34</w:t>
      </w:r>
    </w:p>
    <w:p w14:paraId="52978906">
      <w:pPr>
        <w:bidi w:val="0"/>
        <w:rPr>
          <w:rFonts w:hint="eastAsia"/>
          <w:highlight w:val="none"/>
          <w:lang w:val="en-US" w:eastAsia="zh-CN"/>
        </w:rPr>
      </w:pPr>
      <w:r>
        <w:rPr>
          <w:rFonts w:hint="eastAsia"/>
          <w:highlight w:val="none"/>
          <w:lang w:val="en-US" w:eastAsia="zh-CN"/>
        </w:rPr>
        <w:t>文化工作53</w:t>
      </w:r>
    </w:p>
    <w:p w14:paraId="393098D6">
      <w:pPr>
        <w:bidi w:val="0"/>
        <w:rPr>
          <w:rFonts w:hint="eastAsia"/>
          <w:highlight w:val="none"/>
          <w:lang w:val="en-US" w:eastAsia="zh-CN"/>
        </w:rPr>
      </w:pPr>
      <w:r>
        <w:rPr>
          <w:rFonts w:hint="eastAsia"/>
          <w:highlight w:val="none"/>
          <w:lang w:val="en-US" w:eastAsia="zh-CN"/>
        </w:rPr>
        <w:t>文化惠民活动302</w:t>
      </w:r>
    </w:p>
    <w:p w14:paraId="0274E6A3">
      <w:pPr>
        <w:bidi w:val="0"/>
        <w:rPr>
          <w:rFonts w:hint="eastAsia"/>
          <w:highlight w:val="none"/>
          <w:lang w:val="en-US" w:eastAsia="zh-CN"/>
        </w:rPr>
      </w:pPr>
      <w:r>
        <w:rPr>
          <w:rFonts w:hint="eastAsia"/>
          <w:highlight w:val="none"/>
          <w:lang w:val="en-US" w:eastAsia="zh-CN"/>
        </w:rPr>
        <w:t>文化建设134 235</w:t>
      </w:r>
    </w:p>
    <w:p w14:paraId="72AAC6FF">
      <w:pPr>
        <w:bidi w:val="0"/>
        <w:rPr>
          <w:rFonts w:hint="eastAsia"/>
          <w:highlight w:val="none"/>
          <w:lang w:val="en-US" w:eastAsia="zh-CN"/>
        </w:rPr>
      </w:pPr>
      <w:r>
        <w:rPr>
          <w:rFonts w:hint="eastAsia"/>
          <w:highlight w:val="none"/>
          <w:lang w:val="en-US" w:eastAsia="zh-CN"/>
        </w:rPr>
        <w:t>文化教育351</w:t>
      </w:r>
    </w:p>
    <w:p w14:paraId="30A9AF27">
      <w:pPr>
        <w:bidi w:val="0"/>
        <w:rPr>
          <w:rFonts w:hint="eastAsia"/>
          <w:highlight w:val="none"/>
          <w:lang w:val="en-US" w:eastAsia="zh-CN"/>
        </w:rPr>
      </w:pPr>
      <w:r>
        <w:rPr>
          <w:rFonts w:hint="eastAsia"/>
          <w:highlight w:val="none"/>
          <w:lang w:val="en-US" w:eastAsia="zh-CN"/>
        </w:rPr>
        <w:t>文化市场健康有序发展</w:t>
      </w:r>
    </w:p>
    <w:p w14:paraId="52C0EF00">
      <w:pPr>
        <w:bidi w:val="0"/>
        <w:rPr>
          <w:rFonts w:hint="eastAsia"/>
          <w:highlight w:val="none"/>
          <w:lang w:val="en-US" w:eastAsia="zh-CN"/>
        </w:rPr>
      </w:pPr>
      <w:r>
        <w:rPr>
          <w:rFonts w:hint="eastAsia"/>
          <w:highlight w:val="none"/>
          <w:lang w:val="en-US" w:eastAsia="zh-CN"/>
        </w:rPr>
        <w:t>文化遗产303</w:t>
      </w:r>
    </w:p>
    <w:p w14:paraId="5C59FC60">
      <w:pPr>
        <w:bidi w:val="0"/>
        <w:rPr>
          <w:rFonts w:hint="eastAsia"/>
          <w:highlight w:val="none"/>
          <w:lang w:val="en-US" w:eastAsia="zh-CN"/>
        </w:rPr>
      </w:pPr>
      <w:r>
        <w:rPr>
          <w:rFonts w:hint="eastAsia"/>
          <w:highlight w:val="none"/>
          <w:lang w:val="en-US" w:eastAsia="zh-CN"/>
        </w:rPr>
        <w:t>文化艺术307</w:t>
      </w:r>
    </w:p>
    <w:p w14:paraId="114F7FAF">
      <w:pPr>
        <w:bidi w:val="0"/>
        <w:rPr>
          <w:rFonts w:hint="eastAsia"/>
          <w:highlight w:val="none"/>
          <w:lang w:val="en-US" w:eastAsia="zh-CN"/>
        </w:rPr>
      </w:pPr>
      <w:r>
        <w:rPr>
          <w:rFonts w:hint="eastAsia"/>
          <w:highlight w:val="none"/>
          <w:lang w:val="en-US" w:eastAsia="zh-CN"/>
        </w:rPr>
        <w:t>文化重点工作顺利开展</w:t>
      </w:r>
    </w:p>
    <w:p w14:paraId="6CD53A57">
      <w:pPr>
        <w:bidi w:val="0"/>
        <w:rPr>
          <w:rFonts w:hint="eastAsia"/>
          <w:highlight w:val="none"/>
          <w:lang w:val="en-US" w:eastAsia="zh-CN"/>
        </w:rPr>
      </w:pPr>
      <w:r>
        <w:rPr>
          <w:rFonts w:hint="eastAsia"/>
          <w:highlight w:val="none"/>
          <w:lang w:val="en-US" w:eastAsia="zh-CN"/>
        </w:rPr>
        <w:t>文化综述302</w:t>
      </w:r>
    </w:p>
    <w:p w14:paraId="6EF7965A">
      <w:pPr>
        <w:bidi w:val="0"/>
        <w:rPr>
          <w:rFonts w:hint="eastAsia"/>
          <w:highlight w:val="none"/>
          <w:lang w:val="en-US" w:eastAsia="zh-CN"/>
        </w:rPr>
      </w:pPr>
      <w:r>
        <w:rPr>
          <w:rFonts w:hint="eastAsia"/>
          <w:highlight w:val="none"/>
          <w:lang w:val="en-US" w:eastAsia="zh-CN"/>
        </w:rPr>
        <w:t>文教体卫376</w:t>
      </w:r>
    </w:p>
    <w:p w14:paraId="1B1E8A7E">
      <w:pPr>
        <w:bidi w:val="0"/>
        <w:rPr>
          <w:rFonts w:hint="eastAsia"/>
          <w:highlight w:val="none"/>
          <w:lang w:val="en-US" w:eastAsia="zh-CN"/>
        </w:rPr>
      </w:pPr>
      <w:r>
        <w:rPr>
          <w:rFonts w:hint="eastAsia"/>
          <w:highlight w:val="none"/>
          <w:lang w:val="en-US" w:eastAsia="zh-CN"/>
        </w:rPr>
        <w:t>文教卫生366</w:t>
      </w:r>
    </w:p>
    <w:p w14:paraId="1BE0387E">
      <w:pPr>
        <w:bidi w:val="0"/>
        <w:rPr>
          <w:rFonts w:hint="eastAsia"/>
          <w:highlight w:val="none"/>
          <w:lang w:val="en-US" w:eastAsia="zh-CN"/>
        </w:rPr>
      </w:pPr>
      <w:r>
        <w:rPr>
          <w:rFonts w:hint="eastAsia"/>
          <w:highlight w:val="none"/>
          <w:lang w:val="en-US" w:eastAsia="zh-CN"/>
        </w:rPr>
        <w:t>文教卫生事业325</w:t>
      </w:r>
    </w:p>
    <w:p w14:paraId="2899ACB7">
      <w:pPr>
        <w:bidi w:val="0"/>
        <w:rPr>
          <w:rFonts w:hint="eastAsia"/>
          <w:highlight w:val="none"/>
          <w:lang w:val="en-US" w:eastAsia="zh-CN"/>
        </w:rPr>
      </w:pPr>
      <w:r>
        <w:rPr>
          <w:rFonts w:hint="eastAsia"/>
          <w:highlight w:val="none"/>
          <w:lang w:val="en-US" w:eastAsia="zh-CN"/>
        </w:rPr>
        <w:t>文联133</w:t>
      </w:r>
    </w:p>
    <w:p w14:paraId="6BC25A73">
      <w:pPr>
        <w:bidi w:val="0"/>
        <w:rPr>
          <w:rFonts w:hint="eastAsia"/>
          <w:highlight w:val="none"/>
          <w:lang w:val="en-US" w:eastAsia="zh-CN"/>
        </w:rPr>
      </w:pPr>
      <w:r>
        <w:rPr>
          <w:rFonts w:hint="eastAsia"/>
          <w:highlight w:val="none"/>
          <w:lang w:val="en-US" w:eastAsia="zh-CN"/>
        </w:rPr>
        <w:t>文明法治村69</w:t>
      </w:r>
    </w:p>
    <w:p w14:paraId="69FE6D09">
      <w:pPr>
        <w:bidi w:val="0"/>
        <w:rPr>
          <w:rFonts w:hint="eastAsia"/>
          <w:highlight w:val="none"/>
          <w:lang w:val="en-US" w:eastAsia="zh-CN"/>
        </w:rPr>
      </w:pPr>
      <w:r>
        <w:rPr>
          <w:rFonts w:hint="eastAsia"/>
          <w:highlight w:val="none"/>
          <w:lang w:val="en-US" w:eastAsia="zh-CN"/>
        </w:rPr>
        <w:t>文体活动332</w:t>
      </w:r>
    </w:p>
    <w:p w14:paraId="2B72F02B">
      <w:pPr>
        <w:bidi w:val="0"/>
        <w:rPr>
          <w:rFonts w:hint="eastAsia"/>
          <w:highlight w:val="none"/>
          <w:lang w:val="en-US" w:eastAsia="zh-CN"/>
        </w:rPr>
      </w:pPr>
      <w:r>
        <w:rPr>
          <w:rFonts w:hint="eastAsia"/>
          <w:highlight w:val="none"/>
          <w:lang w:val="en-US" w:eastAsia="zh-CN"/>
        </w:rPr>
        <w:t>文物保护309</w:t>
      </w:r>
    </w:p>
    <w:p w14:paraId="48A08C9D">
      <w:pPr>
        <w:bidi w:val="0"/>
        <w:rPr>
          <w:rFonts w:hint="eastAsia"/>
          <w:highlight w:val="none"/>
          <w:lang w:val="en-US" w:eastAsia="zh-CN"/>
        </w:rPr>
      </w:pPr>
      <w:r>
        <w:rPr>
          <w:rFonts w:hint="eastAsia"/>
          <w:highlight w:val="none"/>
          <w:lang w:val="en-US" w:eastAsia="zh-CN"/>
        </w:rPr>
        <w:t>文物古迹308</w:t>
      </w:r>
    </w:p>
    <w:p w14:paraId="50E017FE">
      <w:pPr>
        <w:bidi w:val="0"/>
        <w:rPr>
          <w:rFonts w:hint="eastAsia"/>
          <w:highlight w:val="none"/>
          <w:lang w:val="en-US" w:eastAsia="zh-CN"/>
        </w:rPr>
      </w:pPr>
      <w:r>
        <w:rPr>
          <w:rFonts w:hint="eastAsia"/>
          <w:highlight w:val="none"/>
          <w:lang w:val="en-US" w:eastAsia="zh-CN"/>
        </w:rPr>
        <w:t>文物修复309</w:t>
      </w:r>
    </w:p>
    <w:p w14:paraId="3B5F3FFD">
      <w:pPr>
        <w:bidi w:val="0"/>
        <w:rPr>
          <w:rFonts w:hint="eastAsia"/>
          <w:highlight w:val="none"/>
          <w:lang w:val="en-US" w:eastAsia="zh-CN"/>
        </w:rPr>
      </w:pPr>
      <w:r>
        <w:rPr>
          <w:rFonts w:hint="eastAsia"/>
          <w:highlight w:val="none"/>
          <w:lang w:val="en-US" w:eastAsia="zh-CN"/>
        </w:rPr>
        <w:t>文学艺术活动134</w:t>
      </w:r>
    </w:p>
    <w:p w14:paraId="2EE8DCC7">
      <w:pPr>
        <w:bidi w:val="0"/>
        <w:rPr>
          <w:rFonts w:hint="eastAsia"/>
          <w:highlight w:val="none"/>
          <w:lang w:val="en-US" w:eastAsia="zh-CN"/>
        </w:rPr>
      </w:pPr>
      <w:r>
        <w:rPr>
          <w:rFonts w:hint="eastAsia"/>
          <w:highlight w:val="none"/>
          <w:lang w:val="en-US" w:eastAsia="zh-CN"/>
        </w:rPr>
        <w:t>文艺创作与交流307</w:t>
      </w:r>
    </w:p>
    <w:p w14:paraId="0421AF63">
      <w:pPr>
        <w:bidi w:val="0"/>
        <w:rPr>
          <w:rFonts w:hint="eastAsia"/>
          <w:highlight w:val="none"/>
          <w:lang w:val="en-US" w:eastAsia="zh-CN"/>
        </w:rPr>
      </w:pPr>
      <w:r>
        <w:rPr>
          <w:rFonts w:hint="eastAsia"/>
          <w:highlight w:val="none"/>
          <w:lang w:val="en-US" w:eastAsia="zh-CN"/>
        </w:rPr>
        <w:t>文艺交流134</w:t>
      </w:r>
    </w:p>
    <w:p w14:paraId="7DB51AFC">
      <w:pPr>
        <w:bidi w:val="0"/>
        <w:rPr>
          <w:rFonts w:hint="eastAsia"/>
          <w:highlight w:val="none"/>
          <w:lang w:val="en-US" w:eastAsia="zh-CN"/>
        </w:rPr>
      </w:pPr>
      <w:r>
        <w:rPr>
          <w:rFonts w:hint="eastAsia"/>
          <w:highlight w:val="none"/>
          <w:lang w:val="en-US" w:eastAsia="zh-CN"/>
        </w:rPr>
        <w:t>文艺协会133</w:t>
      </w:r>
    </w:p>
    <w:p w14:paraId="486B77F1">
      <w:pPr>
        <w:bidi w:val="0"/>
        <w:rPr>
          <w:rFonts w:hint="eastAsia"/>
          <w:highlight w:val="none"/>
          <w:lang w:val="en-US" w:eastAsia="zh-CN"/>
        </w:rPr>
      </w:pPr>
      <w:r>
        <w:rPr>
          <w:rFonts w:hint="eastAsia"/>
          <w:highlight w:val="none"/>
          <w:lang w:val="en-US" w:eastAsia="zh-CN"/>
        </w:rPr>
        <w:t>文艺宣传135</w:t>
      </w:r>
    </w:p>
    <w:p w14:paraId="098DF5C2">
      <w:pPr>
        <w:bidi w:val="0"/>
        <w:rPr>
          <w:rFonts w:hint="eastAsia"/>
          <w:highlight w:val="none"/>
          <w:lang w:val="en-US" w:eastAsia="zh-CN"/>
        </w:rPr>
      </w:pPr>
      <w:r>
        <w:rPr>
          <w:rFonts w:hint="eastAsia"/>
          <w:highlight w:val="none"/>
          <w:lang w:val="en-US" w:eastAsia="zh-CN"/>
        </w:rPr>
        <w:t>稳增长跟踪审计168</w:t>
      </w:r>
    </w:p>
    <w:p w14:paraId="5E9BE767">
      <w:pPr>
        <w:bidi w:val="0"/>
        <w:rPr>
          <w:rFonts w:hint="eastAsia"/>
          <w:highlight w:val="none"/>
          <w:lang w:val="en-US" w:eastAsia="zh-CN"/>
        </w:rPr>
      </w:pPr>
      <w:r>
        <w:rPr>
          <w:rFonts w:hint="eastAsia"/>
          <w:highlight w:val="none"/>
          <w:lang w:val="en-US" w:eastAsia="zh-CN"/>
        </w:rPr>
        <w:t>乌迳镇327</w:t>
      </w:r>
    </w:p>
    <w:p w14:paraId="705E5AAA">
      <w:pPr>
        <w:bidi w:val="0"/>
        <w:rPr>
          <w:rFonts w:hint="eastAsia"/>
          <w:highlight w:val="none"/>
          <w:lang w:val="en-US" w:eastAsia="zh-CN"/>
        </w:rPr>
      </w:pPr>
      <w:r>
        <w:rPr>
          <w:rFonts w:hint="eastAsia"/>
          <w:highlight w:val="none"/>
          <w:lang w:val="en-US" w:eastAsia="zh-CN"/>
        </w:rPr>
        <w:t>乌迳中学282</w:t>
      </w:r>
    </w:p>
    <w:p w14:paraId="1ADC572A">
      <w:pPr>
        <w:bidi w:val="0"/>
        <w:rPr>
          <w:rFonts w:hint="eastAsia"/>
          <w:highlight w:val="none"/>
          <w:lang w:val="en-US" w:eastAsia="zh-CN"/>
        </w:rPr>
      </w:pPr>
      <w:r>
        <w:rPr>
          <w:rFonts w:hint="eastAsia"/>
          <w:highlight w:val="none"/>
          <w:lang w:val="en-US" w:eastAsia="zh-CN"/>
        </w:rPr>
        <w:t>污染防治244</w:t>
      </w:r>
    </w:p>
    <w:p w14:paraId="5B204A10">
      <w:pPr>
        <w:bidi w:val="0"/>
        <w:rPr>
          <w:rFonts w:hint="eastAsia"/>
          <w:highlight w:val="none"/>
          <w:lang w:val="en-US" w:eastAsia="zh-CN"/>
        </w:rPr>
      </w:pPr>
      <w:r>
        <w:rPr>
          <w:rFonts w:hint="eastAsia"/>
          <w:highlight w:val="none"/>
          <w:lang w:val="en-US" w:eastAsia="zh-CN"/>
        </w:rPr>
        <w:t>老区发展规划献无偿献血288</w:t>
      </w:r>
    </w:p>
    <w:p w14:paraId="0A389C7C">
      <w:pPr>
        <w:bidi w:val="0"/>
        <w:rPr>
          <w:rFonts w:hint="eastAsia"/>
          <w:highlight w:val="none"/>
          <w:lang w:val="en-US" w:eastAsia="zh-CN"/>
        </w:rPr>
      </w:pPr>
      <w:r>
        <w:rPr>
          <w:rFonts w:hint="eastAsia"/>
          <w:highlight w:val="none"/>
          <w:lang w:val="en-US" w:eastAsia="zh-CN"/>
        </w:rPr>
        <w:t>五保315</w:t>
      </w:r>
    </w:p>
    <w:p w14:paraId="5C0B391F">
      <w:pPr>
        <w:bidi w:val="0"/>
        <w:rPr>
          <w:rFonts w:hint="eastAsia"/>
          <w:highlight w:val="none"/>
          <w:lang w:val="en-US" w:eastAsia="zh-CN"/>
        </w:rPr>
      </w:pPr>
      <w:r>
        <w:rPr>
          <w:rFonts w:hint="eastAsia"/>
          <w:highlight w:val="none"/>
          <w:lang w:val="en-US" w:eastAsia="zh-CN"/>
        </w:rPr>
        <w:t>武警154</w:t>
      </w:r>
    </w:p>
    <w:p w14:paraId="0287FD2B">
      <w:pPr>
        <w:bidi w:val="0"/>
        <w:rPr>
          <w:rFonts w:hint="eastAsia"/>
          <w:highlight w:val="none"/>
          <w:lang w:val="en-US" w:eastAsia="zh-CN"/>
        </w:rPr>
      </w:pPr>
      <w:r>
        <w:rPr>
          <w:rFonts w:hint="eastAsia"/>
          <w:highlight w:val="none"/>
          <w:lang w:val="en-US" w:eastAsia="zh-CN"/>
        </w:rPr>
        <w:t>武装工作66</w:t>
      </w:r>
    </w:p>
    <w:p w14:paraId="6EA95123">
      <w:pPr>
        <w:pStyle w:val="4"/>
        <w:bidi w:val="0"/>
        <w:rPr>
          <w:rFonts w:hint="eastAsia"/>
          <w:highlight w:val="none"/>
          <w:lang w:val="en-US" w:eastAsia="zh-CN"/>
        </w:rPr>
      </w:pPr>
      <w:r>
        <w:rPr>
          <w:rFonts w:hint="eastAsia"/>
          <w:highlight w:val="none"/>
          <w:lang w:val="en-US" w:eastAsia="zh-CN"/>
        </w:rPr>
        <w:t>X</w:t>
      </w:r>
    </w:p>
    <w:p w14:paraId="0678D397">
      <w:pPr>
        <w:bidi w:val="0"/>
        <w:rPr>
          <w:rFonts w:hint="eastAsia"/>
          <w:highlight w:val="none"/>
          <w:lang w:val="en-US" w:eastAsia="zh-CN"/>
        </w:rPr>
      </w:pPr>
      <w:r>
        <w:rPr>
          <w:rFonts w:hint="eastAsia"/>
          <w:highlight w:val="none"/>
          <w:lang w:val="en-US" w:eastAsia="zh-CN"/>
        </w:rPr>
        <w:t>县级机构建设162</w:t>
      </w:r>
    </w:p>
    <w:p w14:paraId="39DD4BF7">
      <w:pPr>
        <w:bidi w:val="0"/>
        <w:rPr>
          <w:rFonts w:hint="eastAsia"/>
          <w:highlight w:val="none"/>
          <w:lang w:val="en-US" w:eastAsia="zh-CN"/>
        </w:rPr>
      </w:pPr>
      <w:r>
        <w:rPr>
          <w:rFonts w:hint="eastAsia"/>
          <w:highlight w:val="none"/>
          <w:lang w:val="en-US" w:eastAsia="zh-CN"/>
        </w:rPr>
        <w:t>县域经济社会科学发展考核161</w:t>
      </w:r>
    </w:p>
    <w:p w14:paraId="1F232D2E">
      <w:pPr>
        <w:bidi w:val="0"/>
        <w:rPr>
          <w:rFonts w:hint="eastAsia"/>
          <w:highlight w:val="none"/>
          <w:lang w:val="en-US" w:eastAsia="zh-CN"/>
        </w:rPr>
      </w:pPr>
      <w:r>
        <w:rPr>
          <w:rFonts w:hint="eastAsia"/>
          <w:highlight w:val="none"/>
          <w:lang w:val="en-US" w:eastAsia="zh-CN"/>
        </w:rPr>
        <w:t>乡镇人大建设72</w:t>
      </w:r>
    </w:p>
    <w:p w14:paraId="60DB7CD3">
      <w:pPr>
        <w:bidi w:val="0"/>
        <w:rPr>
          <w:rFonts w:hint="eastAsia"/>
          <w:highlight w:val="none"/>
          <w:lang w:val="en-US" w:eastAsia="zh-CN"/>
        </w:rPr>
      </w:pPr>
      <w:r>
        <w:rPr>
          <w:rFonts w:hint="eastAsia"/>
          <w:highlight w:val="none"/>
          <w:lang w:val="en-US" w:eastAsia="zh-CN"/>
        </w:rPr>
        <w:t>项目工程建设201</w:t>
      </w:r>
    </w:p>
    <w:p w14:paraId="2B567CFE">
      <w:pPr>
        <w:bidi w:val="0"/>
        <w:rPr>
          <w:rFonts w:hint="eastAsia"/>
          <w:highlight w:val="none"/>
          <w:lang w:val="en-US" w:eastAsia="zh-CN"/>
        </w:rPr>
      </w:pPr>
      <w:r>
        <w:rPr>
          <w:rFonts w:hint="eastAsia"/>
          <w:highlight w:val="none"/>
          <w:lang w:val="en-US" w:eastAsia="zh-CN"/>
        </w:rPr>
        <w:t>消防156</w:t>
      </w:r>
    </w:p>
    <w:p w14:paraId="0B715664">
      <w:pPr>
        <w:bidi w:val="0"/>
        <w:rPr>
          <w:rFonts w:hint="eastAsia"/>
          <w:highlight w:val="none"/>
          <w:lang w:val="en-US" w:eastAsia="zh-CN"/>
        </w:rPr>
      </w:pPr>
      <w:r>
        <w:rPr>
          <w:rFonts w:hint="eastAsia"/>
          <w:highlight w:val="none"/>
          <w:lang w:val="en-US" w:eastAsia="zh-CN"/>
        </w:rPr>
        <w:t>消费维权与民生170</w:t>
      </w:r>
    </w:p>
    <w:p w14:paraId="627B2E11">
      <w:pPr>
        <w:bidi w:val="0"/>
        <w:rPr>
          <w:rFonts w:hint="eastAsia"/>
          <w:highlight w:val="none"/>
          <w:lang w:val="en-US" w:eastAsia="zh-CN"/>
        </w:rPr>
      </w:pPr>
      <w:r>
        <w:rPr>
          <w:rFonts w:hint="eastAsia"/>
          <w:highlight w:val="none"/>
          <w:lang w:val="en-US" w:eastAsia="zh-CN"/>
        </w:rPr>
        <w:t>小额信贷服务122</w:t>
      </w:r>
    </w:p>
    <w:p w14:paraId="02CB4E3A">
      <w:pPr>
        <w:bidi w:val="0"/>
        <w:rPr>
          <w:rFonts w:hint="eastAsia"/>
          <w:highlight w:val="none"/>
          <w:lang w:val="en-US" w:eastAsia="zh-CN"/>
        </w:rPr>
      </w:pPr>
      <w:r>
        <w:rPr>
          <w:rFonts w:hint="eastAsia"/>
          <w:highlight w:val="none"/>
          <w:lang w:val="en-US" w:eastAsia="zh-CN"/>
        </w:rPr>
        <w:t>小流坑一青嶂山省级自然保护区管理处208</w:t>
      </w:r>
    </w:p>
    <w:p w14:paraId="3D11A975">
      <w:pPr>
        <w:bidi w:val="0"/>
        <w:rPr>
          <w:rFonts w:hint="eastAsia"/>
          <w:highlight w:val="none"/>
          <w:lang w:val="en-US" w:eastAsia="zh-CN"/>
        </w:rPr>
      </w:pPr>
      <w:r>
        <w:rPr>
          <w:rFonts w:hint="eastAsia"/>
          <w:highlight w:val="none"/>
          <w:lang w:val="en-US" w:eastAsia="zh-CN"/>
        </w:rPr>
        <w:t>小水电214</w:t>
      </w:r>
    </w:p>
    <w:p w14:paraId="65A99769">
      <w:pPr>
        <w:bidi w:val="0"/>
        <w:rPr>
          <w:rFonts w:hint="eastAsia"/>
          <w:highlight w:val="none"/>
          <w:lang w:val="en-US" w:eastAsia="zh-CN"/>
        </w:rPr>
      </w:pPr>
      <w:r>
        <w:rPr>
          <w:rFonts w:hint="eastAsia"/>
          <w:highlight w:val="none"/>
          <w:lang w:val="en-US" w:eastAsia="zh-CN"/>
        </w:rPr>
        <w:t>协调和接访96</w:t>
      </w:r>
    </w:p>
    <w:p w14:paraId="431FA7A6">
      <w:pPr>
        <w:bidi w:val="0"/>
        <w:rPr>
          <w:rFonts w:hint="eastAsia"/>
          <w:highlight w:val="none"/>
          <w:lang w:val="en-US" w:eastAsia="zh-CN"/>
        </w:rPr>
      </w:pPr>
      <w:r>
        <w:rPr>
          <w:rFonts w:hint="eastAsia"/>
          <w:highlight w:val="none"/>
          <w:lang w:val="en-US" w:eastAsia="zh-CN"/>
        </w:rPr>
        <w:t>协调事务90</w:t>
      </w:r>
    </w:p>
    <w:p w14:paraId="6D815F66">
      <w:pPr>
        <w:bidi w:val="0"/>
        <w:rPr>
          <w:rFonts w:hint="eastAsia"/>
          <w:highlight w:val="none"/>
          <w:lang w:val="en-US" w:eastAsia="zh-CN"/>
        </w:rPr>
      </w:pPr>
      <w:r>
        <w:rPr>
          <w:rFonts w:hint="eastAsia"/>
          <w:highlight w:val="none"/>
          <w:lang w:val="en-US" w:eastAsia="zh-CN"/>
        </w:rPr>
        <w:t>新党员教育培训工作66</w:t>
      </w:r>
    </w:p>
    <w:p w14:paraId="26A603BB">
      <w:pPr>
        <w:bidi w:val="0"/>
        <w:rPr>
          <w:rFonts w:hint="eastAsia"/>
          <w:highlight w:val="none"/>
          <w:lang w:val="en-US" w:eastAsia="zh-CN"/>
        </w:rPr>
      </w:pPr>
      <w:r>
        <w:rPr>
          <w:rFonts w:hint="eastAsia"/>
          <w:highlight w:val="none"/>
          <w:lang w:val="en-US" w:eastAsia="zh-CN"/>
        </w:rPr>
        <w:t>新档案馆建设开工93</w:t>
      </w:r>
    </w:p>
    <w:p w14:paraId="0EB0A9DD">
      <w:pPr>
        <w:bidi w:val="0"/>
        <w:rPr>
          <w:rFonts w:hint="eastAsia"/>
          <w:highlight w:val="none"/>
          <w:lang w:val="en-US" w:eastAsia="zh-CN"/>
        </w:rPr>
      </w:pPr>
      <w:r>
        <w:rPr>
          <w:rFonts w:hint="eastAsia"/>
          <w:highlight w:val="none"/>
          <w:lang w:val="en-US" w:eastAsia="zh-CN"/>
        </w:rPr>
        <w:t>新两纲年度监测统计124</w:t>
      </w:r>
    </w:p>
    <w:p w14:paraId="609E140B">
      <w:pPr>
        <w:bidi w:val="0"/>
        <w:rPr>
          <w:rFonts w:hint="eastAsia"/>
          <w:highlight w:val="none"/>
          <w:lang w:val="en-US" w:eastAsia="zh-CN"/>
        </w:rPr>
      </w:pPr>
      <w:r>
        <w:rPr>
          <w:rFonts w:hint="eastAsia"/>
          <w:highlight w:val="none"/>
          <w:lang w:val="en-US" w:eastAsia="zh-CN"/>
        </w:rPr>
        <w:t>新农村建设366 375</w:t>
      </w:r>
    </w:p>
    <w:p w14:paraId="1B15AE88">
      <w:pPr>
        <w:bidi w:val="0"/>
        <w:rPr>
          <w:rFonts w:hint="eastAsia"/>
          <w:highlight w:val="none"/>
          <w:lang w:val="en-US" w:eastAsia="zh-CN"/>
        </w:rPr>
      </w:pPr>
      <w:r>
        <w:rPr>
          <w:rFonts w:hint="eastAsia"/>
          <w:highlight w:val="none"/>
          <w:lang w:val="en-US" w:eastAsia="zh-CN"/>
        </w:rPr>
        <w:t>新闻信息调研46</w:t>
      </w:r>
    </w:p>
    <w:p w14:paraId="4EF56684">
      <w:pPr>
        <w:bidi w:val="0"/>
        <w:rPr>
          <w:rFonts w:hint="eastAsia"/>
          <w:highlight w:val="none"/>
          <w:lang w:val="en-US" w:eastAsia="zh-CN"/>
        </w:rPr>
      </w:pPr>
      <w:r>
        <w:rPr>
          <w:rFonts w:hint="eastAsia"/>
          <w:highlight w:val="none"/>
          <w:lang w:val="en-US" w:eastAsia="zh-CN"/>
        </w:rPr>
        <w:t>信访工作47 60</w:t>
      </w:r>
    </w:p>
    <w:p w14:paraId="02FE19F7">
      <w:pPr>
        <w:bidi w:val="0"/>
        <w:rPr>
          <w:rFonts w:hint="eastAsia"/>
          <w:highlight w:val="none"/>
          <w:lang w:val="en-US" w:eastAsia="zh-CN"/>
        </w:rPr>
      </w:pPr>
      <w:r>
        <w:rPr>
          <w:rFonts w:hint="eastAsia"/>
          <w:highlight w:val="none"/>
          <w:lang w:val="en-US" w:eastAsia="zh-CN"/>
        </w:rPr>
        <w:t>信访维稳176 226 336</w:t>
      </w:r>
    </w:p>
    <w:p w14:paraId="5B62200E">
      <w:pPr>
        <w:bidi w:val="0"/>
        <w:rPr>
          <w:rFonts w:hint="eastAsia"/>
          <w:highlight w:val="none"/>
          <w:lang w:val="en-US" w:eastAsia="zh-CN"/>
        </w:rPr>
      </w:pPr>
      <w:r>
        <w:rPr>
          <w:rFonts w:hint="eastAsia"/>
          <w:highlight w:val="none"/>
          <w:lang w:val="en-US" w:eastAsia="zh-CN"/>
        </w:rPr>
        <w:t>信访维稳工作202</w:t>
      </w:r>
    </w:p>
    <w:p w14:paraId="5B8D1C18">
      <w:pPr>
        <w:bidi w:val="0"/>
        <w:rPr>
          <w:rFonts w:hint="eastAsia"/>
          <w:highlight w:val="none"/>
          <w:lang w:val="en-US" w:eastAsia="zh-CN"/>
        </w:rPr>
      </w:pPr>
      <w:r>
        <w:rPr>
          <w:rFonts w:hint="eastAsia"/>
          <w:highlight w:val="none"/>
          <w:lang w:val="en-US" w:eastAsia="zh-CN"/>
        </w:rPr>
        <w:t>信息公开94</w:t>
      </w:r>
    </w:p>
    <w:p w14:paraId="765AD664">
      <w:pPr>
        <w:bidi w:val="0"/>
        <w:rPr>
          <w:rFonts w:hint="eastAsia"/>
          <w:highlight w:val="none"/>
          <w:lang w:val="en-US" w:eastAsia="zh-CN"/>
        </w:rPr>
      </w:pPr>
      <w:r>
        <w:rPr>
          <w:rFonts w:hint="eastAsia"/>
          <w:highlight w:val="none"/>
          <w:lang w:val="en-US" w:eastAsia="zh-CN"/>
        </w:rPr>
        <w:t>信息化工作协调推进183</w:t>
      </w:r>
    </w:p>
    <w:p w14:paraId="7345A663">
      <w:pPr>
        <w:bidi w:val="0"/>
        <w:rPr>
          <w:rFonts w:hint="eastAsia"/>
          <w:highlight w:val="none"/>
          <w:lang w:val="en-US" w:eastAsia="zh-CN"/>
        </w:rPr>
      </w:pPr>
      <w:r>
        <w:rPr>
          <w:rFonts w:hint="eastAsia"/>
          <w:highlight w:val="none"/>
          <w:lang w:val="en-US" w:eastAsia="zh-CN"/>
        </w:rPr>
        <w:t>信息化建设291</w:t>
      </w:r>
    </w:p>
    <w:p w14:paraId="3FDD5D1C">
      <w:pPr>
        <w:bidi w:val="0"/>
        <w:rPr>
          <w:rFonts w:hint="eastAsia"/>
          <w:highlight w:val="none"/>
          <w:lang w:val="en-US" w:eastAsia="zh-CN"/>
        </w:rPr>
      </w:pPr>
      <w:r>
        <w:rPr>
          <w:rFonts w:hint="eastAsia"/>
          <w:highlight w:val="none"/>
          <w:lang w:val="en-US" w:eastAsia="zh-CN"/>
        </w:rPr>
        <w:t>信息中心96</w:t>
      </w:r>
    </w:p>
    <w:p w14:paraId="050F644D">
      <w:pPr>
        <w:bidi w:val="0"/>
        <w:rPr>
          <w:rFonts w:hint="eastAsia"/>
          <w:highlight w:val="none"/>
          <w:lang w:val="en-US" w:eastAsia="zh-CN"/>
        </w:rPr>
      </w:pPr>
      <w:r>
        <w:rPr>
          <w:rFonts w:hint="eastAsia"/>
          <w:highlight w:val="none"/>
          <w:lang w:val="en-US" w:eastAsia="zh-CN"/>
        </w:rPr>
        <w:t>刑事审判143</w:t>
      </w:r>
    </w:p>
    <w:p w14:paraId="06BBC6CE">
      <w:pPr>
        <w:bidi w:val="0"/>
        <w:rPr>
          <w:rFonts w:hint="eastAsia"/>
          <w:highlight w:val="none"/>
          <w:lang w:val="en-US" w:eastAsia="zh-CN"/>
        </w:rPr>
      </w:pPr>
      <w:r>
        <w:rPr>
          <w:rFonts w:hint="eastAsia"/>
          <w:highlight w:val="none"/>
          <w:lang w:val="en-US" w:eastAsia="zh-CN"/>
        </w:rPr>
        <w:t>行政裁决和应诉96</w:t>
      </w:r>
    </w:p>
    <w:p w14:paraId="64E5672C">
      <w:pPr>
        <w:bidi w:val="0"/>
        <w:rPr>
          <w:rFonts w:hint="eastAsia"/>
          <w:highlight w:val="none"/>
          <w:lang w:val="en-US" w:eastAsia="zh-CN"/>
        </w:rPr>
      </w:pPr>
      <w:r>
        <w:rPr>
          <w:rFonts w:hint="eastAsia"/>
          <w:highlight w:val="none"/>
          <w:lang w:val="en-US" w:eastAsia="zh-CN"/>
        </w:rPr>
        <w:t>行政服务94</w:t>
      </w:r>
    </w:p>
    <w:p w14:paraId="2B9577CD">
      <w:pPr>
        <w:bidi w:val="0"/>
        <w:rPr>
          <w:rFonts w:hint="eastAsia"/>
          <w:highlight w:val="none"/>
          <w:lang w:val="en-US" w:eastAsia="zh-CN"/>
        </w:rPr>
      </w:pPr>
      <w:r>
        <w:rPr>
          <w:rFonts w:hint="eastAsia"/>
          <w:highlight w:val="none"/>
          <w:lang w:val="en-US" w:eastAsia="zh-CN"/>
        </w:rPr>
        <w:t>行政复议95</w:t>
      </w:r>
    </w:p>
    <w:p w14:paraId="27554F48">
      <w:pPr>
        <w:bidi w:val="0"/>
        <w:rPr>
          <w:rFonts w:hint="eastAsia"/>
          <w:highlight w:val="none"/>
          <w:lang w:val="en-US" w:eastAsia="zh-CN"/>
        </w:rPr>
      </w:pPr>
      <w:r>
        <w:rPr>
          <w:rFonts w:hint="eastAsia"/>
          <w:highlight w:val="none"/>
          <w:lang w:val="en-US" w:eastAsia="zh-CN"/>
        </w:rPr>
        <w:t>行政管理155</w:t>
      </w:r>
    </w:p>
    <w:p w14:paraId="00DBEC73">
      <w:pPr>
        <w:bidi w:val="0"/>
        <w:rPr>
          <w:rFonts w:hint="eastAsia"/>
          <w:highlight w:val="none"/>
          <w:lang w:val="en-US" w:eastAsia="zh-CN"/>
        </w:rPr>
      </w:pPr>
      <w:r>
        <w:rPr>
          <w:rFonts w:hint="eastAsia"/>
          <w:highlight w:val="none"/>
          <w:lang w:val="en-US" w:eastAsia="zh-CN"/>
        </w:rPr>
        <w:t>行政区划35</w:t>
      </w:r>
    </w:p>
    <w:p w14:paraId="6F1AFD35">
      <w:pPr>
        <w:bidi w:val="0"/>
        <w:rPr>
          <w:rFonts w:hint="eastAsia"/>
          <w:highlight w:val="none"/>
          <w:lang w:val="en-US" w:eastAsia="zh-CN"/>
        </w:rPr>
      </w:pPr>
      <w:r>
        <w:rPr>
          <w:rFonts w:hint="eastAsia"/>
          <w:highlight w:val="none"/>
          <w:lang w:val="en-US" w:eastAsia="zh-CN"/>
        </w:rPr>
        <w:t>行政审判143 225</w:t>
      </w:r>
    </w:p>
    <w:p w14:paraId="41FD26FB">
      <w:pPr>
        <w:bidi w:val="0"/>
        <w:rPr>
          <w:rFonts w:hint="eastAsia"/>
          <w:highlight w:val="none"/>
          <w:lang w:val="en-US" w:eastAsia="zh-CN"/>
        </w:rPr>
      </w:pPr>
      <w:r>
        <w:rPr>
          <w:rFonts w:hint="eastAsia"/>
          <w:highlight w:val="none"/>
          <w:lang w:val="en-US" w:eastAsia="zh-CN"/>
        </w:rPr>
        <w:t>行政审批制度改革5</w:t>
      </w:r>
    </w:p>
    <w:p w14:paraId="39176AD4">
      <w:pPr>
        <w:bidi w:val="0"/>
        <w:rPr>
          <w:rFonts w:hint="eastAsia"/>
          <w:highlight w:val="none"/>
          <w:lang w:val="en-US" w:eastAsia="zh-CN"/>
        </w:rPr>
      </w:pPr>
      <w:r>
        <w:rPr>
          <w:rFonts w:hint="eastAsia"/>
          <w:highlight w:val="none"/>
          <w:lang w:val="en-US" w:eastAsia="zh-CN"/>
        </w:rPr>
        <w:t>行政许可180</w:t>
      </w:r>
    </w:p>
    <w:p w14:paraId="415DD426">
      <w:pPr>
        <w:bidi w:val="0"/>
        <w:rPr>
          <w:rFonts w:hint="eastAsia"/>
          <w:highlight w:val="none"/>
          <w:lang w:val="en-US" w:eastAsia="zh-CN"/>
        </w:rPr>
      </w:pPr>
      <w:r>
        <w:rPr>
          <w:rFonts w:hint="eastAsia"/>
          <w:highlight w:val="none"/>
          <w:lang w:val="en-US" w:eastAsia="zh-CN"/>
        </w:rPr>
        <w:t>行政执法225</w:t>
      </w:r>
    </w:p>
    <w:p w14:paraId="54D39D4F">
      <w:pPr>
        <w:bidi w:val="0"/>
        <w:rPr>
          <w:rFonts w:hint="eastAsia"/>
          <w:highlight w:val="none"/>
          <w:lang w:val="en-US" w:eastAsia="zh-CN"/>
        </w:rPr>
      </w:pPr>
      <w:r>
        <w:rPr>
          <w:rFonts w:hint="eastAsia"/>
          <w:highlight w:val="none"/>
          <w:lang w:val="en-US" w:eastAsia="zh-CN"/>
        </w:rPr>
        <w:t>行政执法监督协调96</w:t>
      </w:r>
    </w:p>
    <w:p w14:paraId="2EB4C773">
      <w:pPr>
        <w:bidi w:val="0"/>
        <w:rPr>
          <w:rFonts w:hint="eastAsia"/>
          <w:highlight w:val="none"/>
          <w:lang w:val="en-US" w:eastAsia="zh-CN"/>
        </w:rPr>
      </w:pPr>
      <w:r>
        <w:rPr>
          <w:rFonts w:hint="eastAsia"/>
          <w:highlight w:val="none"/>
          <w:lang w:val="en-US" w:eastAsia="zh-CN"/>
        </w:rPr>
        <w:t>雄州街道320</w:t>
      </w:r>
    </w:p>
    <w:p w14:paraId="66E58FAA">
      <w:pPr>
        <w:bidi w:val="0"/>
        <w:rPr>
          <w:rFonts w:hint="eastAsia"/>
          <w:highlight w:val="none"/>
          <w:lang w:val="en-US" w:eastAsia="zh-CN"/>
        </w:rPr>
      </w:pPr>
      <w:r>
        <w:rPr>
          <w:rFonts w:hint="eastAsia"/>
          <w:highlight w:val="none"/>
          <w:lang w:val="en-US" w:eastAsia="zh-CN"/>
        </w:rPr>
        <w:t>墟镇建设327</w:t>
      </w:r>
    </w:p>
    <w:p w14:paraId="3F03837B">
      <w:pPr>
        <w:bidi w:val="0"/>
        <w:rPr>
          <w:rFonts w:hint="eastAsia"/>
          <w:highlight w:val="none"/>
          <w:lang w:val="en-US" w:eastAsia="zh-CN"/>
        </w:rPr>
      </w:pPr>
      <w:r>
        <w:rPr>
          <w:rFonts w:hint="eastAsia"/>
          <w:highlight w:val="none"/>
          <w:lang w:val="en-US" w:eastAsia="zh-CN"/>
        </w:rPr>
        <w:t>畜牧发展361</w:t>
      </w:r>
    </w:p>
    <w:p w14:paraId="7A80C8F9">
      <w:pPr>
        <w:bidi w:val="0"/>
        <w:rPr>
          <w:rFonts w:hint="eastAsia"/>
          <w:highlight w:val="none"/>
          <w:lang w:val="en-US" w:eastAsia="zh-CN"/>
        </w:rPr>
      </w:pPr>
      <w:r>
        <w:rPr>
          <w:rFonts w:hint="eastAsia"/>
          <w:highlight w:val="none"/>
          <w:lang w:val="en-US" w:eastAsia="zh-CN"/>
        </w:rPr>
        <w:t>畜牧兽医水产200</w:t>
      </w:r>
    </w:p>
    <w:p w14:paraId="5E6B5220">
      <w:pPr>
        <w:bidi w:val="0"/>
        <w:rPr>
          <w:rFonts w:hint="eastAsia"/>
          <w:highlight w:val="none"/>
          <w:lang w:val="en-US" w:eastAsia="zh-CN"/>
        </w:rPr>
      </w:pPr>
      <w:r>
        <w:rPr>
          <w:rFonts w:hint="eastAsia"/>
          <w:highlight w:val="none"/>
          <w:lang w:val="en-US" w:eastAsia="zh-CN"/>
        </w:rPr>
        <w:t>畜牧水产368</w:t>
      </w:r>
    </w:p>
    <w:p w14:paraId="5997080B">
      <w:pPr>
        <w:bidi w:val="0"/>
        <w:rPr>
          <w:rFonts w:hint="eastAsia"/>
          <w:highlight w:val="none"/>
          <w:lang w:val="en-US" w:eastAsia="zh-CN"/>
        </w:rPr>
      </w:pPr>
      <w:r>
        <w:rPr>
          <w:rFonts w:hint="eastAsia"/>
          <w:highlight w:val="none"/>
          <w:lang w:val="en-US" w:eastAsia="zh-CN"/>
        </w:rPr>
        <w:t>宣传工作50</w:t>
      </w:r>
    </w:p>
    <w:p w14:paraId="0CA48909">
      <w:pPr>
        <w:bidi w:val="0"/>
        <w:rPr>
          <w:rFonts w:hint="eastAsia"/>
          <w:highlight w:val="none"/>
          <w:lang w:val="en-US" w:eastAsia="zh-CN"/>
        </w:rPr>
      </w:pPr>
      <w:r>
        <w:rPr>
          <w:rFonts w:hint="eastAsia"/>
          <w:highlight w:val="none"/>
          <w:lang w:val="en-US" w:eastAsia="zh-CN"/>
        </w:rPr>
        <w:t>宣传教育209</w:t>
      </w:r>
    </w:p>
    <w:p w14:paraId="640688CB">
      <w:pPr>
        <w:bidi w:val="0"/>
        <w:rPr>
          <w:rFonts w:hint="eastAsia"/>
          <w:highlight w:val="none"/>
          <w:lang w:val="en-US" w:eastAsia="zh-CN"/>
        </w:rPr>
      </w:pPr>
      <w:r>
        <w:rPr>
          <w:rFonts w:hint="eastAsia"/>
          <w:highlight w:val="none"/>
          <w:lang w:val="en-US" w:eastAsia="zh-CN"/>
        </w:rPr>
        <w:t>宣传文化队伍建设54</w:t>
      </w:r>
    </w:p>
    <w:p w14:paraId="2DD59E3E">
      <w:pPr>
        <w:bidi w:val="0"/>
        <w:rPr>
          <w:rFonts w:hint="eastAsia"/>
          <w:highlight w:val="none"/>
          <w:lang w:val="en-US" w:eastAsia="zh-CN"/>
        </w:rPr>
      </w:pPr>
      <w:r>
        <w:rPr>
          <w:rFonts w:hint="eastAsia"/>
          <w:highlight w:val="none"/>
          <w:lang w:val="en-US" w:eastAsia="zh-CN"/>
        </w:rPr>
        <w:t>宣传文史101</w:t>
      </w:r>
    </w:p>
    <w:p w14:paraId="0C651FCD">
      <w:pPr>
        <w:bidi w:val="0"/>
        <w:rPr>
          <w:rFonts w:hint="eastAsia"/>
          <w:highlight w:val="none"/>
          <w:lang w:val="en-US" w:eastAsia="zh-CN"/>
        </w:rPr>
      </w:pPr>
      <w:r>
        <w:rPr>
          <w:rFonts w:hint="eastAsia"/>
          <w:highlight w:val="none"/>
          <w:lang w:val="en-US" w:eastAsia="zh-CN"/>
        </w:rPr>
        <w:t>学刊用刊124</w:t>
      </w:r>
    </w:p>
    <w:p w14:paraId="43625447">
      <w:pPr>
        <w:bidi w:val="0"/>
        <w:rPr>
          <w:rFonts w:hint="eastAsia"/>
          <w:highlight w:val="none"/>
          <w:lang w:val="en-US" w:eastAsia="zh-CN"/>
        </w:rPr>
      </w:pPr>
      <w:r>
        <w:rPr>
          <w:rFonts w:hint="eastAsia"/>
          <w:highlight w:val="none"/>
          <w:lang w:val="en-US" w:eastAsia="zh-CN"/>
        </w:rPr>
        <w:t>学历教育63</w:t>
      </w:r>
    </w:p>
    <w:p w14:paraId="0808A105">
      <w:pPr>
        <w:bidi w:val="0"/>
        <w:rPr>
          <w:rFonts w:hint="eastAsia"/>
          <w:highlight w:val="none"/>
          <w:lang w:val="en-US" w:eastAsia="zh-CN"/>
        </w:rPr>
      </w:pPr>
      <w:r>
        <w:rPr>
          <w:rFonts w:hint="eastAsia"/>
          <w:highlight w:val="none"/>
          <w:lang w:val="en-US" w:eastAsia="zh-CN"/>
        </w:rPr>
        <w:t>学前教育272</w:t>
      </w:r>
    </w:p>
    <w:p w14:paraId="21A2AF52">
      <w:pPr>
        <w:bidi w:val="0"/>
        <w:rPr>
          <w:rFonts w:hint="eastAsia"/>
          <w:highlight w:val="none"/>
          <w:lang w:val="en-US" w:eastAsia="zh-CN"/>
        </w:rPr>
      </w:pPr>
      <w:r>
        <w:rPr>
          <w:rFonts w:hint="eastAsia"/>
          <w:highlight w:val="none"/>
          <w:lang w:val="en-US" w:eastAsia="zh-CN"/>
        </w:rPr>
        <w:t>学习贯彻《中国共产党廉洁自律准则》和《中国共产党纪律处分条例》报告会109</w:t>
      </w:r>
    </w:p>
    <w:p w14:paraId="3A369E06">
      <w:pPr>
        <w:bidi w:val="0"/>
        <w:rPr>
          <w:rFonts w:hint="eastAsia"/>
          <w:highlight w:val="none"/>
          <w:lang w:val="en-US" w:eastAsia="zh-CN"/>
        </w:rPr>
      </w:pPr>
      <w:r>
        <w:rPr>
          <w:rFonts w:hint="eastAsia"/>
          <w:highlight w:val="none"/>
          <w:lang w:val="en-US" w:eastAsia="zh-CN"/>
        </w:rPr>
        <w:t>学校卫生监督管理290</w:t>
      </w:r>
    </w:p>
    <w:p w14:paraId="6C37A66F">
      <w:pPr>
        <w:bidi w:val="0"/>
        <w:rPr>
          <w:rFonts w:hint="eastAsia"/>
          <w:highlight w:val="none"/>
          <w:lang w:val="en-US" w:eastAsia="zh-CN"/>
        </w:rPr>
      </w:pPr>
      <w:r>
        <w:rPr>
          <w:rFonts w:hint="eastAsia"/>
          <w:highlight w:val="none"/>
          <w:lang w:val="en-US" w:eastAsia="zh-CN"/>
        </w:rPr>
        <w:t>学校选介275</w:t>
      </w:r>
    </w:p>
    <w:p w14:paraId="40F9E7D6">
      <w:pPr>
        <w:bidi w:val="0"/>
        <w:rPr>
          <w:rFonts w:hint="eastAsia"/>
          <w:highlight w:val="none"/>
          <w:lang w:val="en-US" w:eastAsia="zh-CN"/>
        </w:rPr>
      </w:pPr>
      <w:r>
        <w:rPr>
          <w:rFonts w:hint="eastAsia"/>
          <w:highlight w:val="none"/>
          <w:lang w:val="en-US" w:eastAsia="zh-CN"/>
        </w:rPr>
        <w:t>血液安全专项检查291</w:t>
      </w:r>
    </w:p>
    <w:p w14:paraId="39FCC7C5">
      <w:pPr>
        <w:bidi w:val="0"/>
        <w:rPr>
          <w:rFonts w:hint="eastAsia"/>
          <w:highlight w:val="none"/>
          <w:lang w:val="en-US" w:eastAsia="zh-CN"/>
        </w:rPr>
      </w:pPr>
      <w:r>
        <w:rPr>
          <w:rFonts w:hint="eastAsia"/>
          <w:highlight w:val="none"/>
          <w:lang w:val="en-US" w:eastAsia="zh-CN"/>
        </w:rPr>
        <w:t>Y</w:t>
      </w:r>
    </w:p>
    <w:p w14:paraId="7FD654BC">
      <w:pPr>
        <w:bidi w:val="0"/>
        <w:rPr>
          <w:rFonts w:hint="eastAsia"/>
          <w:highlight w:val="none"/>
          <w:lang w:val="en-US" w:eastAsia="zh-CN"/>
        </w:rPr>
      </w:pPr>
      <w:r>
        <w:rPr>
          <w:rFonts w:hint="eastAsia"/>
          <w:highlight w:val="none"/>
          <w:lang w:val="en-US" w:eastAsia="zh-CN"/>
        </w:rPr>
        <w:t>烟花爆竹专项整治181</w:t>
      </w:r>
    </w:p>
    <w:p w14:paraId="44662786">
      <w:pPr>
        <w:bidi w:val="0"/>
        <w:rPr>
          <w:rFonts w:hint="eastAsia"/>
          <w:highlight w:val="none"/>
          <w:lang w:val="en-US" w:eastAsia="zh-CN"/>
        </w:rPr>
      </w:pPr>
      <w:r>
        <w:rPr>
          <w:rFonts w:hint="eastAsia"/>
          <w:highlight w:val="none"/>
          <w:lang w:val="en-US" w:eastAsia="zh-CN"/>
        </w:rPr>
        <w:t>烟叶生产收购与专卖220</w:t>
      </w:r>
    </w:p>
    <w:p w14:paraId="6F7795A0">
      <w:pPr>
        <w:bidi w:val="0"/>
        <w:rPr>
          <w:rFonts w:hint="eastAsia"/>
          <w:highlight w:val="none"/>
          <w:lang w:val="en-US" w:eastAsia="zh-CN"/>
        </w:rPr>
      </w:pPr>
      <w:r>
        <w:rPr>
          <w:rFonts w:hint="eastAsia"/>
          <w:highlight w:val="none"/>
          <w:lang w:val="en-US" w:eastAsia="zh-CN"/>
        </w:rPr>
        <w:t>盐业251</w:t>
      </w:r>
    </w:p>
    <w:p w14:paraId="186B8303">
      <w:pPr>
        <w:bidi w:val="0"/>
        <w:rPr>
          <w:rFonts w:hint="eastAsia"/>
          <w:highlight w:val="none"/>
          <w:lang w:val="en-US" w:eastAsia="zh-CN"/>
        </w:rPr>
      </w:pPr>
      <w:r>
        <w:rPr>
          <w:rFonts w:hint="eastAsia"/>
          <w:highlight w:val="none"/>
          <w:lang w:val="en-US" w:eastAsia="zh-CN"/>
        </w:rPr>
        <w:t>盐政管理251</w:t>
      </w:r>
    </w:p>
    <w:p w14:paraId="6836525C">
      <w:pPr>
        <w:bidi w:val="0"/>
        <w:rPr>
          <w:rFonts w:hint="eastAsia"/>
          <w:highlight w:val="none"/>
          <w:lang w:val="en-US" w:eastAsia="zh-CN"/>
        </w:rPr>
      </w:pPr>
      <w:r>
        <w:rPr>
          <w:rFonts w:hint="eastAsia"/>
          <w:highlight w:val="none"/>
          <w:lang w:val="en-US" w:eastAsia="zh-CN"/>
        </w:rPr>
        <w:t>养护管理226</w:t>
      </w:r>
    </w:p>
    <w:p w14:paraId="2A3E8CE2">
      <w:pPr>
        <w:bidi w:val="0"/>
        <w:rPr>
          <w:rFonts w:hint="eastAsia"/>
          <w:highlight w:val="none"/>
          <w:lang w:val="en-US" w:eastAsia="zh-CN"/>
        </w:rPr>
      </w:pPr>
      <w:r>
        <w:rPr>
          <w:rFonts w:hint="eastAsia"/>
          <w:highlight w:val="none"/>
          <w:lang w:val="en-US" w:eastAsia="zh-CN"/>
        </w:rPr>
        <w:t>养殖减排治理201</w:t>
      </w:r>
    </w:p>
    <w:p w14:paraId="4E7C02E5">
      <w:pPr>
        <w:bidi w:val="0"/>
        <w:rPr>
          <w:rFonts w:hint="eastAsia"/>
          <w:highlight w:val="none"/>
          <w:lang w:val="en-US" w:eastAsia="zh-CN"/>
        </w:rPr>
      </w:pPr>
      <w:r>
        <w:rPr>
          <w:rFonts w:hint="eastAsia"/>
          <w:highlight w:val="none"/>
          <w:lang w:val="en-US" w:eastAsia="zh-CN"/>
        </w:rPr>
        <w:t>野生动物保护203</w:t>
      </w:r>
    </w:p>
    <w:p w14:paraId="3F341B67">
      <w:pPr>
        <w:bidi w:val="0"/>
        <w:rPr>
          <w:rFonts w:hint="eastAsia"/>
          <w:highlight w:val="none"/>
          <w:lang w:val="en-US" w:eastAsia="zh-CN"/>
        </w:rPr>
      </w:pPr>
      <w:r>
        <w:rPr>
          <w:rFonts w:hint="eastAsia"/>
          <w:highlight w:val="none"/>
          <w:lang w:val="en-US" w:eastAsia="zh-CN"/>
        </w:rPr>
        <w:t>业务发展234</w:t>
      </w:r>
    </w:p>
    <w:p w14:paraId="3C043B80">
      <w:pPr>
        <w:bidi w:val="0"/>
        <w:rPr>
          <w:rFonts w:hint="eastAsia"/>
          <w:highlight w:val="none"/>
          <w:lang w:val="en-US" w:eastAsia="zh-CN"/>
        </w:rPr>
      </w:pPr>
      <w:r>
        <w:rPr>
          <w:rFonts w:hint="eastAsia"/>
          <w:highlight w:val="none"/>
          <w:lang w:val="en-US" w:eastAsia="zh-CN"/>
        </w:rPr>
        <w:t>业务经营情况271</w:t>
      </w:r>
    </w:p>
    <w:p w14:paraId="3DB1D70F">
      <w:pPr>
        <w:bidi w:val="0"/>
        <w:rPr>
          <w:rFonts w:hint="eastAsia"/>
          <w:highlight w:val="none"/>
          <w:lang w:val="en-US" w:eastAsia="zh-CN"/>
        </w:rPr>
      </w:pPr>
      <w:r>
        <w:rPr>
          <w:rFonts w:hint="eastAsia"/>
          <w:highlight w:val="none"/>
          <w:lang w:val="en-US" w:eastAsia="zh-CN"/>
        </w:rPr>
        <w:t>业务培训256</w:t>
      </w:r>
    </w:p>
    <w:p w14:paraId="0307E2F9">
      <w:pPr>
        <w:bidi w:val="0"/>
        <w:rPr>
          <w:rFonts w:hint="eastAsia"/>
          <w:highlight w:val="none"/>
          <w:lang w:val="en-US" w:eastAsia="zh-CN"/>
        </w:rPr>
      </w:pPr>
      <w:r>
        <w:rPr>
          <w:rFonts w:hint="eastAsia"/>
          <w:highlight w:val="none"/>
          <w:lang w:val="en-US" w:eastAsia="zh-CN"/>
        </w:rPr>
        <w:t>业务完成情况270</w:t>
      </w:r>
    </w:p>
    <w:p w14:paraId="7BF587ED">
      <w:pPr>
        <w:bidi w:val="0"/>
        <w:rPr>
          <w:rFonts w:hint="eastAsia"/>
          <w:highlight w:val="none"/>
          <w:lang w:val="en-US" w:eastAsia="zh-CN"/>
        </w:rPr>
      </w:pPr>
      <w:r>
        <w:rPr>
          <w:rFonts w:hint="eastAsia"/>
          <w:highlight w:val="none"/>
          <w:lang w:val="en-US" w:eastAsia="zh-CN"/>
        </w:rPr>
        <w:t>—村（社区）一法律顾冋147</w:t>
      </w:r>
    </w:p>
    <w:p w14:paraId="2BDE276B">
      <w:pPr>
        <w:bidi w:val="0"/>
        <w:rPr>
          <w:rFonts w:hint="eastAsia"/>
          <w:highlight w:val="none"/>
          <w:lang w:val="en-US" w:eastAsia="zh-CN"/>
        </w:rPr>
      </w:pPr>
      <w:r>
        <w:rPr>
          <w:rFonts w:hint="eastAsia"/>
          <w:highlight w:val="none"/>
          <w:lang w:val="en-US" w:eastAsia="zh-CN"/>
        </w:rPr>
        <w:t>医疗服务市场监管291</w:t>
      </w:r>
    </w:p>
    <w:p w14:paraId="4E03E81E">
      <w:pPr>
        <w:bidi w:val="0"/>
        <w:rPr>
          <w:rFonts w:hint="eastAsia"/>
          <w:highlight w:val="none"/>
          <w:lang w:val="en-US" w:eastAsia="zh-CN"/>
        </w:rPr>
      </w:pPr>
      <w:r>
        <w:rPr>
          <w:rFonts w:hint="eastAsia"/>
          <w:highlight w:val="none"/>
          <w:lang w:val="en-US" w:eastAsia="zh-CN"/>
        </w:rPr>
        <w:t>医疗机构监管290</w:t>
      </w:r>
    </w:p>
    <w:p w14:paraId="190B8A98">
      <w:pPr>
        <w:bidi w:val="0"/>
        <w:rPr>
          <w:rFonts w:hint="eastAsia"/>
          <w:highlight w:val="none"/>
          <w:lang w:val="en-US" w:eastAsia="zh-CN"/>
        </w:rPr>
      </w:pPr>
      <w:r>
        <w:rPr>
          <w:rFonts w:hint="eastAsia"/>
          <w:highlight w:val="none"/>
          <w:lang w:val="en-US" w:eastAsia="zh-CN"/>
        </w:rPr>
        <w:t>医疗救助315</w:t>
      </w:r>
    </w:p>
    <w:p w14:paraId="0689F406">
      <w:pPr>
        <w:bidi w:val="0"/>
        <w:rPr>
          <w:rFonts w:hint="eastAsia"/>
          <w:highlight w:val="none"/>
          <w:lang w:val="en-US" w:eastAsia="zh-CN"/>
        </w:rPr>
      </w:pPr>
      <w:r>
        <w:rPr>
          <w:rFonts w:hint="eastAsia"/>
          <w:highlight w:val="none"/>
          <w:lang w:val="en-US" w:eastAsia="zh-CN"/>
        </w:rPr>
        <w:t>医疗质量与医疗科研287</w:t>
      </w:r>
    </w:p>
    <w:p w14:paraId="42FBB56D">
      <w:pPr>
        <w:bidi w:val="0"/>
        <w:rPr>
          <w:rFonts w:hint="eastAsia"/>
          <w:highlight w:val="none"/>
          <w:lang w:val="en-US" w:eastAsia="zh-CN"/>
        </w:rPr>
      </w:pPr>
      <w:r>
        <w:rPr>
          <w:rFonts w:hint="eastAsia"/>
          <w:highlight w:val="none"/>
          <w:lang w:val="en-US" w:eastAsia="zh-CN"/>
        </w:rPr>
        <w:t>医学教育288</w:t>
      </w:r>
    </w:p>
    <w:p w14:paraId="75FCD90B">
      <w:pPr>
        <w:bidi w:val="0"/>
        <w:rPr>
          <w:rFonts w:hint="eastAsia"/>
          <w:highlight w:val="none"/>
          <w:lang w:val="en-US" w:eastAsia="zh-CN"/>
        </w:rPr>
      </w:pPr>
      <w:r>
        <w:rPr>
          <w:rFonts w:hint="eastAsia"/>
          <w:highlight w:val="none"/>
          <w:lang w:val="en-US" w:eastAsia="zh-CN"/>
        </w:rPr>
        <w:t>依法行政219 220</w:t>
      </w:r>
    </w:p>
    <w:p w14:paraId="6D35E2C7">
      <w:pPr>
        <w:bidi w:val="0"/>
        <w:rPr>
          <w:rFonts w:hint="eastAsia"/>
          <w:highlight w:val="none"/>
          <w:lang w:val="en-US" w:eastAsia="zh-CN"/>
        </w:rPr>
      </w:pPr>
      <w:r>
        <w:rPr>
          <w:rFonts w:hint="eastAsia"/>
          <w:highlight w:val="none"/>
          <w:lang w:val="en-US" w:eastAsia="zh-CN"/>
        </w:rPr>
        <w:t>依法行政考评会议68</w:t>
      </w:r>
    </w:p>
    <w:p w14:paraId="5D19108E">
      <w:pPr>
        <w:bidi w:val="0"/>
        <w:rPr>
          <w:rFonts w:hint="eastAsia"/>
          <w:highlight w:val="none"/>
          <w:lang w:val="en-US" w:eastAsia="zh-CN"/>
        </w:rPr>
      </w:pPr>
      <w:r>
        <w:rPr>
          <w:rFonts w:hint="eastAsia"/>
          <w:highlight w:val="none"/>
          <w:lang w:val="en-US" w:eastAsia="zh-CN"/>
        </w:rPr>
        <w:t>依法治企185</w:t>
      </w:r>
    </w:p>
    <w:p w14:paraId="34879330">
      <w:pPr>
        <w:bidi w:val="0"/>
        <w:rPr>
          <w:rFonts w:hint="eastAsia"/>
          <w:highlight w:val="none"/>
          <w:lang w:val="en-US" w:eastAsia="zh-CN"/>
        </w:rPr>
      </w:pPr>
      <w:r>
        <w:rPr>
          <w:rFonts w:hint="eastAsia"/>
          <w:highlight w:val="none"/>
          <w:lang w:val="en-US" w:eastAsia="zh-CN"/>
        </w:rPr>
        <w:t>依法治市67</w:t>
      </w:r>
    </w:p>
    <w:p w14:paraId="2002C485">
      <w:pPr>
        <w:bidi w:val="0"/>
        <w:rPr>
          <w:rFonts w:hint="eastAsia"/>
          <w:highlight w:val="none"/>
          <w:lang w:val="en-US" w:eastAsia="zh-CN"/>
        </w:rPr>
      </w:pPr>
      <w:r>
        <w:rPr>
          <w:rFonts w:hint="eastAsia"/>
          <w:highlight w:val="none"/>
          <w:lang w:val="en-US" w:eastAsia="zh-CN"/>
        </w:rPr>
        <w:t>依法治税166 262</w:t>
      </w:r>
    </w:p>
    <w:p w14:paraId="75286523">
      <w:pPr>
        <w:bidi w:val="0"/>
        <w:rPr>
          <w:rFonts w:hint="eastAsia"/>
          <w:highlight w:val="none"/>
          <w:lang w:val="en-US" w:eastAsia="zh-CN"/>
        </w:rPr>
      </w:pPr>
      <w:r>
        <w:rPr>
          <w:rFonts w:hint="eastAsia"/>
          <w:highlight w:val="none"/>
          <w:lang w:val="en-US" w:eastAsia="zh-CN"/>
        </w:rPr>
        <w:t>移动通信235</w:t>
      </w:r>
    </w:p>
    <w:p w14:paraId="1BA16CA8">
      <w:pPr>
        <w:bidi w:val="0"/>
        <w:rPr>
          <w:rFonts w:hint="eastAsia"/>
          <w:highlight w:val="none"/>
          <w:lang w:val="en-US" w:eastAsia="zh-CN"/>
        </w:rPr>
      </w:pPr>
      <w:r>
        <w:rPr>
          <w:rFonts w:hint="eastAsia"/>
          <w:highlight w:val="none"/>
          <w:lang w:val="en-US" w:eastAsia="zh-CN"/>
        </w:rPr>
        <w:t>以文辅政90</w:t>
      </w:r>
    </w:p>
    <w:p w14:paraId="4ED015A9">
      <w:pPr>
        <w:bidi w:val="0"/>
        <w:rPr>
          <w:rFonts w:hint="eastAsia"/>
          <w:highlight w:val="none"/>
          <w:lang w:val="en-US" w:eastAsia="zh-CN"/>
        </w:rPr>
      </w:pPr>
      <w:r>
        <w:rPr>
          <w:rFonts w:hint="eastAsia"/>
          <w:highlight w:val="none"/>
          <w:lang w:val="en-US" w:eastAsia="zh-CN"/>
        </w:rPr>
        <w:t>义务教育273</w:t>
      </w:r>
    </w:p>
    <w:p w14:paraId="2C7DB50D">
      <w:pPr>
        <w:bidi w:val="0"/>
        <w:rPr>
          <w:rFonts w:hint="eastAsia"/>
          <w:highlight w:val="none"/>
          <w:lang w:val="en-US" w:eastAsia="zh-CN"/>
        </w:rPr>
      </w:pPr>
      <w:r>
        <w:rPr>
          <w:rFonts w:hint="eastAsia"/>
          <w:highlight w:val="none"/>
          <w:lang w:val="en-US" w:eastAsia="zh-CN"/>
        </w:rPr>
        <w:t>引导老干部发挥作用58</w:t>
      </w:r>
    </w:p>
    <w:p w14:paraId="13C44D01">
      <w:pPr>
        <w:bidi w:val="0"/>
        <w:rPr>
          <w:rFonts w:hint="eastAsia"/>
          <w:highlight w:val="none"/>
          <w:lang w:val="en-US" w:eastAsia="zh-CN"/>
        </w:rPr>
      </w:pPr>
      <w:r>
        <w:rPr>
          <w:rFonts w:hint="eastAsia"/>
          <w:highlight w:val="none"/>
          <w:lang w:val="en-US" w:eastAsia="zh-CN"/>
        </w:rPr>
        <w:t>应对突发公共卫生事件机制284</w:t>
      </w:r>
    </w:p>
    <w:p w14:paraId="28EB2B4A">
      <w:pPr>
        <w:bidi w:val="0"/>
        <w:rPr>
          <w:rFonts w:hint="eastAsia"/>
          <w:highlight w:val="none"/>
          <w:lang w:val="en-US" w:eastAsia="zh-CN"/>
        </w:rPr>
      </w:pPr>
      <w:r>
        <w:rPr>
          <w:rFonts w:hint="eastAsia"/>
          <w:highlight w:val="none"/>
          <w:lang w:val="en-US" w:eastAsia="zh-CN"/>
        </w:rPr>
        <w:t>应急管理91</w:t>
      </w:r>
    </w:p>
    <w:p w14:paraId="27461E64">
      <w:pPr>
        <w:bidi w:val="0"/>
        <w:rPr>
          <w:rFonts w:hint="eastAsia"/>
          <w:highlight w:val="none"/>
          <w:lang w:val="en-US" w:eastAsia="zh-CN"/>
        </w:rPr>
      </w:pPr>
      <w:r>
        <w:rPr>
          <w:rFonts w:hint="eastAsia"/>
          <w:highlight w:val="none"/>
          <w:lang w:val="en-US" w:eastAsia="zh-CN"/>
        </w:rPr>
        <w:t>拥政爱民155</w:t>
      </w:r>
    </w:p>
    <w:p w14:paraId="7D18821F">
      <w:pPr>
        <w:bidi w:val="0"/>
        <w:rPr>
          <w:rFonts w:hint="eastAsia"/>
          <w:highlight w:val="none"/>
          <w:lang w:val="en-US" w:eastAsia="zh-CN"/>
        </w:rPr>
      </w:pPr>
      <w:r>
        <w:rPr>
          <w:rFonts w:hint="eastAsia"/>
          <w:highlight w:val="none"/>
          <w:lang w:val="en-US" w:eastAsia="zh-CN"/>
        </w:rPr>
        <w:t>用地报批174</w:t>
      </w:r>
    </w:p>
    <w:p w14:paraId="5F7FE286">
      <w:pPr>
        <w:bidi w:val="0"/>
        <w:rPr>
          <w:rFonts w:hint="eastAsia"/>
          <w:highlight w:val="none"/>
          <w:lang w:val="en-US" w:eastAsia="zh-CN"/>
        </w:rPr>
      </w:pPr>
      <w:r>
        <w:rPr>
          <w:rFonts w:hint="eastAsia"/>
          <w:highlight w:val="none"/>
          <w:lang w:val="en-US" w:eastAsia="zh-CN"/>
        </w:rPr>
        <w:t>优抚安置315</w:t>
      </w:r>
    </w:p>
    <w:p w14:paraId="1D90EEA8">
      <w:pPr>
        <w:bidi w:val="0"/>
        <w:rPr>
          <w:rFonts w:hint="eastAsia"/>
          <w:highlight w:val="none"/>
          <w:lang w:val="en-US" w:eastAsia="zh-CN"/>
        </w:rPr>
      </w:pPr>
      <w:r>
        <w:rPr>
          <w:rFonts w:hint="eastAsia"/>
          <w:highlight w:val="none"/>
          <w:lang w:val="en-US" w:eastAsia="zh-CN"/>
        </w:rPr>
        <w:t>优质稻推广368</w:t>
      </w:r>
    </w:p>
    <w:p w14:paraId="2CA94796">
      <w:pPr>
        <w:bidi w:val="0"/>
        <w:rPr>
          <w:rFonts w:hint="eastAsia"/>
          <w:highlight w:val="none"/>
          <w:lang w:val="en-US" w:eastAsia="zh-CN"/>
        </w:rPr>
      </w:pPr>
      <w:r>
        <w:rPr>
          <w:rFonts w:hint="eastAsia"/>
          <w:highlight w:val="none"/>
          <w:lang w:val="en-US" w:eastAsia="zh-CN"/>
        </w:rPr>
        <w:t>优质服务185</w:t>
      </w:r>
    </w:p>
    <w:p w14:paraId="31D9FE13">
      <w:pPr>
        <w:bidi w:val="0"/>
        <w:rPr>
          <w:rFonts w:hint="eastAsia"/>
          <w:highlight w:val="none"/>
          <w:lang w:val="en-US" w:eastAsia="zh-CN"/>
        </w:rPr>
      </w:pPr>
      <w:r>
        <w:rPr>
          <w:rFonts w:hint="eastAsia"/>
          <w:highlight w:val="none"/>
          <w:lang w:val="en-US" w:eastAsia="zh-CN"/>
        </w:rPr>
        <w:t>邮政231</w:t>
      </w:r>
    </w:p>
    <w:p w14:paraId="50B295CD">
      <w:pPr>
        <w:bidi w:val="0"/>
        <w:rPr>
          <w:rFonts w:hint="eastAsia"/>
          <w:highlight w:val="none"/>
          <w:lang w:val="en-US" w:eastAsia="zh-CN"/>
        </w:rPr>
      </w:pPr>
      <w:r>
        <w:rPr>
          <w:rFonts w:hint="eastAsia"/>
          <w:highlight w:val="none"/>
          <w:lang w:val="en-US" w:eastAsia="zh-CN"/>
        </w:rPr>
        <w:t>油山镇339</w:t>
      </w:r>
    </w:p>
    <w:p w14:paraId="4274CAFB">
      <w:pPr>
        <w:bidi w:val="0"/>
        <w:rPr>
          <w:rFonts w:hint="eastAsia"/>
          <w:highlight w:val="none"/>
          <w:lang w:val="en-US" w:eastAsia="zh-CN"/>
        </w:rPr>
      </w:pPr>
      <w:r>
        <w:rPr>
          <w:rFonts w:hint="eastAsia"/>
          <w:highlight w:val="none"/>
          <w:lang w:val="en-US" w:eastAsia="zh-CN"/>
        </w:rPr>
        <w:t>友城工作91</w:t>
      </w:r>
    </w:p>
    <w:p w14:paraId="6635AD43">
      <w:pPr>
        <w:bidi w:val="0"/>
        <w:rPr>
          <w:rFonts w:hint="eastAsia"/>
          <w:highlight w:val="none"/>
          <w:lang w:val="en-US" w:eastAsia="zh-CN"/>
        </w:rPr>
      </w:pPr>
      <w:r>
        <w:rPr>
          <w:rFonts w:hint="eastAsia"/>
          <w:highlight w:val="none"/>
          <w:lang w:val="en-US" w:eastAsia="zh-CN"/>
        </w:rPr>
        <w:t>渔政执法工作201</w:t>
      </w:r>
    </w:p>
    <w:p w14:paraId="5FC1C48F">
      <w:pPr>
        <w:bidi w:val="0"/>
        <w:rPr>
          <w:rFonts w:hint="eastAsia"/>
          <w:highlight w:val="none"/>
          <w:lang w:val="en-US" w:eastAsia="zh-CN"/>
        </w:rPr>
      </w:pPr>
      <w:r>
        <w:rPr>
          <w:rFonts w:hint="eastAsia"/>
          <w:highlight w:val="none"/>
          <w:lang w:val="en-US" w:eastAsia="zh-CN"/>
        </w:rPr>
        <w:t>舆论宣传51</w:t>
      </w:r>
    </w:p>
    <w:p w14:paraId="37E61CF5">
      <w:pPr>
        <w:bidi w:val="0"/>
        <w:rPr>
          <w:rFonts w:hint="eastAsia"/>
          <w:highlight w:val="none"/>
          <w:lang w:val="en-US" w:eastAsia="zh-CN"/>
        </w:rPr>
      </w:pPr>
      <w:r>
        <w:rPr>
          <w:rFonts w:hint="eastAsia"/>
          <w:highlight w:val="none"/>
          <w:lang w:val="en-US" w:eastAsia="zh-CN"/>
        </w:rPr>
        <w:t>预备役登记统计153</w:t>
      </w:r>
    </w:p>
    <w:p w14:paraId="129064C7">
      <w:pPr>
        <w:bidi w:val="0"/>
        <w:rPr>
          <w:rFonts w:hint="eastAsia"/>
          <w:highlight w:val="none"/>
          <w:lang w:val="en-US" w:eastAsia="zh-CN"/>
        </w:rPr>
      </w:pPr>
      <w:r>
        <w:rPr>
          <w:rFonts w:hint="eastAsia"/>
          <w:highlight w:val="none"/>
          <w:lang w:val="en-US" w:eastAsia="zh-CN"/>
        </w:rPr>
        <w:t>预防和查处职务犯罪141</w:t>
      </w:r>
    </w:p>
    <w:p w14:paraId="35731CD1">
      <w:pPr>
        <w:bidi w:val="0"/>
        <w:rPr>
          <w:rFonts w:hint="eastAsia"/>
          <w:highlight w:val="none"/>
          <w:lang w:val="en-US" w:eastAsia="zh-CN"/>
        </w:rPr>
      </w:pPr>
      <w:r>
        <w:rPr>
          <w:rFonts w:hint="eastAsia"/>
          <w:highlight w:val="none"/>
          <w:lang w:val="en-US" w:eastAsia="zh-CN"/>
        </w:rPr>
        <w:t>预算执行审计167</w:t>
      </w:r>
    </w:p>
    <w:p w14:paraId="2B10CB3E">
      <w:pPr>
        <w:bidi w:val="0"/>
        <w:rPr>
          <w:rFonts w:hint="eastAsia"/>
          <w:highlight w:val="none"/>
          <w:lang w:val="en-US" w:eastAsia="zh-CN"/>
        </w:rPr>
      </w:pPr>
      <w:r>
        <w:rPr>
          <w:rFonts w:hint="eastAsia"/>
          <w:highlight w:val="none"/>
          <w:lang w:val="en-US" w:eastAsia="zh-CN"/>
        </w:rPr>
        <w:t>园林绿化242</w:t>
      </w:r>
    </w:p>
    <w:p w14:paraId="11D8E87A">
      <w:pPr>
        <w:pStyle w:val="4"/>
        <w:bidi w:val="0"/>
        <w:rPr>
          <w:rFonts w:hint="eastAsia"/>
          <w:highlight w:val="none"/>
          <w:lang w:val="en-US" w:eastAsia="zh-CN"/>
        </w:rPr>
      </w:pPr>
      <w:r>
        <w:rPr>
          <w:rFonts w:hint="eastAsia"/>
          <w:highlight w:val="none"/>
          <w:lang w:val="en-US" w:eastAsia="zh-CN"/>
        </w:rPr>
        <w:t>Z</w:t>
      </w:r>
    </w:p>
    <w:p w14:paraId="070DEDDC">
      <w:pPr>
        <w:bidi w:val="0"/>
        <w:rPr>
          <w:rFonts w:hint="eastAsia"/>
          <w:highlight w:val="none"/>
          <w:lang w:val="en-US" w:eastAsia="zh-CN"/>
        </w:rPr>
      </w:pPr>
      <w:r>
        <w:rPr>
          <w:rFonts w:hint="eastAsia"/>
          <w:highlight w:val="none"/>
          <w:lang w:val="en-US" w:eastAsia="zh-CN"/>
        </w:rPr>
        <w:t>在职党员进社区服务工作65</w:t>
      </w:r>
    </w:p>
    <w:p w14:paraId="232A1B51">
      <w:pPr>
        <w:bidi w:val="0"/>
        <w:rPr>
          <w:rFonts w:hint="eastAsia"/>
          <w:highlight w:val="none"/>
          <w:lang w:val="en-US" w:eastAsia="zh-CN"/>
        </w:rPr>
      </w:pPr>
      <w:r>
        <w:rPr>
          <w:rFonts w:hint="eastAsia"/>
          <w:highlight w:val="none"/>
          <w:lang w:val="en-US" w:eastAsia="zh-CN"/>
        </w:rPr>
        <w:t>造林绿化202</w:t>
      </w:r>
    </w:p>
    <w:p w14:paraId="3F7C689D">
      <w:pPr>
        <w:bidi w:val="0"/>
        <w:rPr>
          <w:rFonts w:hint="eastAsia"/>
          <w:highlight w:val="none"/>
          <w:lang w:val="en-US" w:eastAsia="zh-CN"/>
        </w:rPr>
      </w:pPr>
      <w:r>
        <w:rPr>
          <w:rFonts w:hint="eastAsia"/>
          <w:highlight w:val="none"/>
          <w:lang w:val="en-US" w:eastAsia="zh-CN"/>
        </w:rPr>
        <w:t>增强财政保障能力258</w:t>
      </w:r>
    </w:p>
    <w:p w14:paraId="682ED3BE">
      <w:pPr>
        <w:bidi w:val="0"/>
        <w:rPr>
          <w:rFonts w:hint="eastAsia"/>
          <w:highlight w:val="none"/>
          <w:lang w:val="en-US" w:eastAsia="zh-CN"/>
        </w:rPr>
      </w:pPr>
      <w:r>
        <w:rPr>
          <w:rFonts w:hint="eastAsia"/>
          <w:highlight w:val="none"/>
          <w:lang w:val="en-US" w:eastAsia="zh-CN"/>
        </w:rPr>
        <w:t>增强基础设施建设204</w:t>
      </w:r>
    </w:p>
    <w:p w14:paraId="5B0682BE">
      <w:pPr>
        <w:bidi w:val="0"/>
        <w:rPr>
          <w:rFonts w:hint="eastAsia"/>
          <w:highlight w:val="none"/>
          <w:lang w:val="en-US" w:eastAsia="zh-CN"/>
        </w:rPr>
      </w:pPr>
      <w:r>
        <w:rPr>
          <w:rFonts w:hint="eastAsia"/>
          <w:highlight w:val="none"/>
          <w:lang w:val="en-US" w:eastAsia="zh-CN"/>
        </w:rPr>
        <w:t>增强农村妇女致富本领行动122</w:t>
      </w:r>
    </w:p>
    <w:p w14:paraId="488343C8">
      <w:pPr>
        <w:bidi w:val="0"/>
        <w:rPr>
          <w:rFonts w:hint="eastAsia"/>
          <w:highlight w:val="none"/>
          <w:lang w:val="en-US" w:eastAsia="zh-CN"/>
        </w:rPr>
      </w:pPr>
      <w:r>
        <w:rPr>
          <w:rFonts w:hint="eastAsia"/>
          <w:highlight w:val="none"/>
          <w:lang w:val="en-US" w:eastAsia="zh-CN"/>
        </w:rPr>
        <w:t>站场建设224</w:t>
      </w:r>
    </w:p>
    <w:p w14:paraId="2F56D288">
      <w:pPr>
        <w:bidi w:val="0"/>
        <w:rPr>
          <w:rFonts w:hint="eastAsia"/>
          <w:highlight w:val="none"/>
          <w:lang w:val="en-US" w:eastAsia="zh-CN"/>
        </w:rPr>
      </w:pPr>
      <w:r>
        <w:rPr>
          <w:rFonts w:hint="eastAsia"/>
          <w:highlight w:val="none"/>
          <w:lang w:val="en-US" w:eastAsia="zh-CN"/>
        </w:rPr>
        <w:t>招商引资95 187 343</w:t>
      </w:r>
    </w:p>
    <w:p w14:paraId="062A6DBD">
      <w:pPr>
        <w:bidi w:val="0"/>
        <w:rPr>
          <w:rFonts w:hint="eastAsia"/>
          <w:highlight w:val="none"/>
          <w:lang w:val="en-US" w:eastAsia="zh-CN"/>
        </w:rPr>
      </w:pPr>
      <w:r>
        <w:rPr>
          <w:rFonts w:hint="eastAsia"/>
          <w:highlight w:val="none"/>
          <w:lang w:val="en-US" w:eastAsia="zh-CN"/>
        </w:rPr>
        <w:t>阵地建设134</w:t>
      </w:r>
    </w:p>
    <w:p w14:paraId="1616E511">
      <w:pPr>
        <w:bidi w:val="0"/>
        <w:rPr>
          <w:rFonts w:hint="eastAsia"/>
          <w:highlight w:val="none"/>
          <w:lang w:val="en-US" w:eastAsia="zh-CN"/>
        </w:rPr>
      </w:pPr>
      <w:r>
        <w:rPr>
          <w:rFonts w:hint="eastAsia"/>
          <w:highlight w:val="none"/>
          <w:lang w:val="en-US" w:eastAsia="zh-CN"/>
        </w:rPr>
        <w:t>侦查监督140</w:t>
      </w:r>
    </w:p>
    <w:p w14:paraId="220CCD0C">
      <w:pPr>
        <w:bidi w:val="0"/>
        <w:rPr>
          <w:rFonts w:hint="eastAsia"/>
          <w:highlight w:val="none"/>
          <w:lang w:val="en-US" w:eastAsia="zh-CN"/>
        </w:rPr>
      </w:pPr>
      <w:r>
        <w:rPr>
          <w:rFonts w:hint="eastAsia"/>
          <w:highlight w:val="none"/>
          <w:lang w:val="en-US" w:eastAsia="zh-CN"/>
        </w:rPr>
        <w:t>帧江电业有限责任公司191</w:t>
      </w:r>
    </w:p>
    <w:p w14:paraId="008AE972">
      <w:pPr>
        <w:bidi w:val="0"/>
        <w:rPr>
          <w:rFonts w:hint="eastAsia"/>
          <w:highlight w:val="none"/>
          <w:lang w:val="en-US" w:eastAsia="zh-CN"/>
        </w:rPr>
      </w:pPr>
      <w:r>
        <w:rPr>
          <w:rFonts w:hint="eastAsia"/>
          <w:highlight w:val="none"/>
          <w:lang w:val="en-US" w:eastAsia="zh-CN"/>
        </w:rPr>
        <w:t>镇村休闲场所设施建设354</w:t>
      </w:r>
    </w:p>
    <w:p w14:paraId="3BB5363A">
      <w:pPr>
        <w:bidi w:val="0"/>
        <w:rPr>
          <w:rFonts w:hint="eastAsia"/>
          <w:highlight w:val="none"/>
          <w:lang w:val="en-US" w:eastAsia="zh-CN"/>
        </w:rPr>
      </w:pPr>
      <w:r>
        <w:rPr>
          <w:rFonts w:hint="eastAsia"/>
          <w:highlight w:val="none"/>
          <w:lang w:val="en-US" w:eastAsia="zh-CN"/>
        </w:rPr>
        <w:t>镇级机构建设162</w:t>
      </w:r>
    </w:p>
    <w:p w14:paraId="25F3F2EB">
      <w:pPr>
        <w:bidi w:val="0"/>
        <w:rPr>
          <w:rFonts w:hint="eastAsia"/>
          <w:highlight w:val="none"/>
          <w:lang w:val="en-US" w:eastAsia="zh-CN"/>
        </w:rPr>
      </w:pPr>
      <w:r>
        <w:rPr>
          <w:rFonts w:hint="eastAsia"/>
          <w:highlight w:val="none"/>
          <w:lang w:val="en-US" w:eastAsia="zh-CN"/>
        </w:rPr>
        <w:t>镇级亮点工作352</w:t>
      </w:r>
    </w:p>
    <w:p w14:paraId="4A0814ED">
      <w:pPr>
        <w:bidi w:val="0"/>
        <w:rPr>
          <w:rFonts w:hint="eastAsia"/>
          <w:highlight w:val="none"/>
          <w:lang w:val="en-US" w:eastAsia="zh-CN"/>
        </w:rPr>
      </w:pPr>
      <w:r>
        <w:rPr>
          <w:rFonts w:hint="eastAsia"/>
          <w:highlight w:val="none"/>
          <w:lang w:val="en-US" w:eastAsia="zh-CN"/>
        </w:rPr>
        <w:t>镇级农民体育健身工程300</w:t>
      </w:r>
    </w:p>
    <w:p w14:paraId="186FE2A6">
      <w:pPr>
        <w:bidi w:val="0"/>
        <w:rPr>
          <w:rFonts w:hint="eastAsia"/>
          <w:highlight w:val="none"/>
          <w:lang w:val="en-US" w:eastAsia="zh-CN"/>
        </w:rPr>
      </w:pPr>
      <w:r>
        <w:rPr>
          <w:rFonts w:hint="eastAsia"/>
          <w:highlight w:val="none"/>
          <w:lang w:val="en-US" w:eastAsia="zh-CN"/>
        </w:rPr>
        <w:t>镇区建设351</w:t>
      </w:r>
    </w:p>
    <w:p w14:paraId="0124A0D3">
      <w:pPr>
        <w:bidi w:val="0"/>
        <w:rPr>
          <w:rFonts w:hint="eastAsia"/>
          <w:highlight w:val="none"/>
          <w:lang w:val="en-US" w:eastAsia="zh-CN"/>
        </w:rPr>
      </w:pPr>
      <w:r>
        <w:rPr>
          <w:rFonts w:hint="eastAsia"/>
          <w:highlight w:val="none"/>
          <w:lang w:val="en-US" w:eastAsia="zh-CN"/>
        </w:rPr>
        <w:t>镇“十个一”亮点工作340</w:t>
      </w:r>
    </w:p>
    <w:p w14:paraId="0FB5D0E8">
      <w:pPr>
        <w:bidi w:val="0"/>
        <w:rPr>
          <w:rFonts w:hint="eastAsia"/>
          <w:highlight w:val="none"/>
          <w:lang w:val="en-US" w:eastAsia="zh-CN"/>
        </w:rPr>
      </w:pPr>
      <w:r>
        <w:rPr>
          <w:rFonts w:hint="eastAsia"/>
          <w:highlight w:val="none"/>
          <w:lang w:val="en-US" w:eastAsia="zh-CN"/>
        </w:rPr>
        <w:t>镇污水处理厂建成327</w:t>
      </w:r>
    </w:p>
    <w:p w14:paraId="5A097CC1">
      <w:pPr>
        <w:bidi w:val="0"/>
        <w:rPr>
          <w:rFonts w:hint="eastAsia"/>
          <w:highlight w:val="none"/>
          <w:lang w:val="en-US" w:eastAsia="zh-CN"/>
        </w:rPr>
      </w:pPr>
      <w:r>
        <w:rPr>
          <w:rFonts w:hint="eastAsia"/>
          <w:highlight w:val="none"/>
          <w:lang w:val="en-US" w:eastAsia="zh-CN"/>
        </w:rPr>
        <w:t>争取地质遗迹保护专项资金211</w:t>
      </w:r>
    </w:p>
    <w:p w14:paraId="19A06C10">
      <w:pPr>
        <w:bidi w:val="0"/>
        <w:rPr>
          <w:rFonts w:hint="eastAsia"/>
          <w:highlight w:val="none"/>
          <w:lang w:val="en-US" w:eastAsia="zh-CN"/>
        </w:rPr>
      </w:pPr>
      <w:r>
        <w:rPr>
          <w:rFonts w:hint="eastAsia"/>
          <w:highlight w:val="none"/>
          <w:lang w:val="en-US" w:eastAsia="zh-CN"/>
        </w:rPr>
        <w:t>争取老区发展专项资金318</w:t>
      </w:r>
    </w:p>
    <w:p w14:paraId="3357ABF1">
      <w:pPr>
        <w:bidi w:val="0"/>
        <w:rPr>
          <w:rFonts w:hint="eastAsia"/>
          <w:highlight w:val="none"/>
          <w:lang w:val="en-US" w:eastAsia="zh-CN"/>
        </w:rPr>
      </w:pPr>
      <w:r>
        <w:rPr>
          <w:rFonts w:hint="eastAsia"/>
          <w:highlight w:val="none"/>
          <w:lang w:val="en-US" w:eastAsia="zh-CN"/>
        </w:rPr>
        <w:t>争取项目198</w:t>
      </w:r>
    </w:p>
    <w:p w14:paraId="4AB90534">
      <w:pPr>
        <w:bidi w:val="0"/>
        <w:rPr>
          <w:rFonts w:hint="eastAsia"/>
          <w:highlight w:val="none"/>
          <w:lang w:val="en-US" w:eastAsia="zh-CN"/>
        </w:rPr>
      </w:pPr>
      <w:r>
        <w:rPr>
          <w:rFonts w:hint="eastAsia"/>
          <w:highlight w:val="none"/>
          <w:lang w:val="en-US" w:eastAsia="zh-CN"/>
        </w:rPr>
        <w:t>争取项目资金160</w:t>
      </w:r>
    </w:p>
    <w:p w14:paraId="677705AD">
      <w:pPr>
        <w:bidi w:val="0"/>
        <w:rPr>
          <w:rFonts w:hint="eastAsia"/>
          <w:highlight w:val="none"/>
          <w:lang w:val="en-US" w:eastAsia="zh-CN"/>
        </w:rPr>
      </w:pPr>
      <w:r>
        <w:rPr>
          <w:rFonts w:hint="eastAsia"/>
          <w:highlight w:val="none"/>
          <w:lang w:val="en-US" w:eastAsia="zh-CN"/>
        </w:rPr>
        <w:t>争先创优124</w:t>
      </w:r>
    </w:p>
    <w:p w14:paraId="0A534764">
      <w:pPr>
        <w:bidi w:val="0"/>
        <w:rPr>
          <w:rFonts w:hint="eastAsia"/>
          <w:highlight w:val="none"/>
          <w:lang w:val="en-US" w:eastAsia="zh-CN"/>
        </w:rPr>
      </w:pPr>
      <w:r>
        <w:rPr>
          <w:rFonts w:hint="eastAsia"/>
          <w:highlight w:val="none"/>
          <w:lang w:val="en-US" w:eastAsia="zh-CN"/>
        </w:rPr>
        <w:t>征兵工作153</w:t>
      </w:r>
    </w:p>
    <w:p w14:paraId="2AE089CD">
      <w:pPr>
        <w:bidi w:val="0"/>
        <w:rPr>
          <w:rFonts w:hint="eastAsia"/>
          <w:highlight w:val="none"/>
          <w:lang w:val="en-US" w:eastAsia="zh-CN"/>
        </w:rPr>
      </w:pPr>
      <w:r>
        <w:rPr>
          <w:rFonts w:hint="eastAsia"/>
          <w:highlight w:val="none"/>
          <w:lang w:val="en-US" w:eastAsia="zh-CN"/>
        </w:rPr>
        <w:t>征管改革261</w:t>
      </w:r>
    </w:p>
    <w:p w14:paraId="16C37015">
      <w:pPr>
        <w:bidi w:val="0"/>
        <w:rPr>
          <w:rFonts w:hint="eastAsia"/>
          <w:highlight w:val="none"/>
          <w:lang w:val="en-US" w:eastAsia="zh-CN"/>
        </w:rPr>
      </w:pPr>
      <w:r>
        <w:rPr>
          <w:rFonts w:hint="eastAsia"/>
          <w:highlight w:val="none"/>
          <w:lang w:val="en-US" w:eastAsia="zh-CN"/>
        </w:rPr>
        <w:t>整顿盐业市场252</w:t>
      </w:r>
    </w:p>
    <w:p w14:paraId="16E81574">
      <w:pPr>
        <w:bidi w:val="0"/>
        <w:rPr>
          <w:rFonts w:hint="eastAsia"/>
          <w:highlight w:val="none"/>
          <w:lang w:val="en-US" w:eastAsia="zh-CN"/>
        </w:rPr>
      </w:pPr>
      <w:r>
        <w:rPr>
          <w:rFonts w:hint="eastAsia"/>
          <w:highlight w:val="none"/>
          <w:lang w:val="en-US" w:eastAsia="zh-CN"/>
        </w:rPr>
        <w:t>整理归档与档案接收93</w:t>
      </w:r>
    </w:p>
    <w:p w14:paraId="78EE33E7">
      <w:pPr>
        <w:bidi w:val="0"/>
        <w:rPr>
          <w:rFonts w:hint="eastAsia"/>
          <w:highlight w:val="none"/>
          <w:lang w:val="en-US" w:eastAsia="zh-CN"/>
        </w:rPr>
      </w:pPr>
      <w:r>
        <w:rPr>
          <w:rFonts w:hint="eastAsia"/>
          <w:highlight w:val="none"/>
          <w:lang w:val="en-US" w:eastAsia="zh-CN"/>
        </w:rPr>
        <w:t>政策法规292</w:t>
      </w:r>
    </w:p>
    <w:p w14:paraId="08A0E477">
      <w:pPr>
        <w:bidi w:val="0"/>
        <w:rPr>
          <w:rFonts w:hint="eastAsia"/>
          <w:highlight w:val="none"/>
          <w:lang w:val="en-US" w:eastAsia="zh-CN"/>
        </w:rPr>
      </w:pPr>
      <w:r>
        <w:rPr>
          <w:rFonts w:hint="eastAsia"/>
          <w:highlight w:val="none"/>
          <w:lang w:val="en-US" w:eastAsia="zh-CN"/>
        </w:rPr>
        <w:t>政法委136</w:t>
      </w:r>
    </w:p>
    <w:p w14:paraId="7E61B122">
      <w:pPr>
        <w:bidi w:val="0"/>
        <w:rPr>
          <w:rFonts w:hint="eastAsia"/>
          <w:highlight w:val="none"/>
          <w:lang w:val="en-US" w:eastAsia="zh-CN"/>
        </w:rPr>
      </w:pPr>
      <w:r>
        <w:rPr>
          <w:rFonts w:hint="eastAsia"/>
          <w:highlight w:val="none"/>
          <w:lang w:val="en-US" w:eastAsia="zh-CN"/>
        </w:rPr>
        <w:t>政府办公室工作90</w:t>
      </w:r>
    </w:p>
    <w:p w14:paraId="10EA96BC">
      <w:pPr>
        <w:bidi w:val="0"/>
        <w:rPr>
          <w:rFonts w:hint="eastAsia"/>
          <w:highlight w:val="none"/>
          <w:lang w:val="en-US" w:eastAsia="zh-CN"/>
        </w:rPr>
      </w:pPr>
      <w:r>
        <w:rPr>
          <w:rFonts w:hint="eastAsia"/>
          <w:highlight w:val="none"/>
          <w:lang w:val="en-US" w:eastAsia="zh-CN"/>
        </w:rPr>
        <w:t>政府法律顾问96</w:t>
      </w:r>
    </w:p>
    <w:p w14:paraId="5D0FCF9D">
      <w:pPr>
        <w:bidi w:val="0"/>
        <w:rPr>
          <w:rFonts w:hint="eastAsia"/>
          <w:highlight w:val="none"/>
          <w:lang w:val="en-US" w:eastAsia="zh-CN"/>
        </w:rPr>
      </w:pPr>
      <w:r>
        <w:rPr>
          <w:rFonts w:hint="eastAsia"/>
          <w:highlight w:val="none"/>
          <w:lang w:val="en-US" w:eastAsia="zh-CN"/>
        </w:rPr>
        <w:t>政府工作报告13</w:t>
      </w:r>
    </w:p>
    <w:p w14:paraId="2EC99877">
      <w:pPr>
        <w:bidi w:val="0"/>
        <w:rPr>
          <w:rFonts w:hint="eastAsia"/>
          <w:highlight w:val="none"/>
          <w:lang w:val="en-US" w:eastAsia="zh-CN"/>
        </w:rPr>
      </w:pPr>
      <w:r>
        <w:rPr>
          <w:rFonts w:hint="eastAsia"/>
          <w:highlight w:val="none"/>
          <w:lang w:val="en-US" w:eastAsia="zh-CN"/>
        </w:rPr>
        <w:t>政府信息公开材料的接收管理94</w:t>
      </w:r>
    </w:p>
    <w:p w14:paraId="1BABC05A">
      <w:pPr>
        <w:bidi w:val="0"/>
        <w:rPr>
          <w:rFonts w:hint="eastAsia"/>
          <w:highlight w:val="none"/>
          <w:lang w:val="en-US" w:eastAsia="zh-CN"/>
        </w:rPr>
      </w:pPr>
      <w:r>
        <w:rPr>
          <w:rFonts w:hint="eastAsia"/>
          <w:highlight w:val="none"/>
          <w:lang w:val="en-US" w:eastAsia="zh-CN"/>
        </w:rPr>
        <w:t>政府职能转变和机构改革59</w:t>
      </w:r>
    </w:p>
    <w:p w14:paraId="43B27C19">
      <w:pPr>
        <w:bidi w:val="0"/>
        <w:rPr>
          <w:rFonts w:hint="eastAsia"/>
          <w:highlight w:val="none"/>
          <w:lang w:val="en-US" w:eastAsia="zh-CN"/>
        </w:rPr>
      </w:pPr>
      <w:r>
        <w:rPr>
          <w:rFonts w:hint="eastAsia"/>
          <w:highlight w:val="none"/>
          <w:lang w:val="en-US" w:eastAsia="zh-CN"/>
        </w:rPr>
        <w:t>政务信息公开352</w:t>
      </w:r>
    </w:p>
    <w:p w14:paraId="3146B44B">
      <w:pPr>
        <w:bidi w:val="0"/>
        <w:rPr>
          <w:rFonts w:hint="eastAsia"/>
          <w:highlight w:val="none"/>
          <w:lang w:val="en-US" w:eastAsia="zh-CN"/>
        </w:rPr>
      </w:pPr>
      <w:r>
        <w:rPr>
          <w:rFonts w:hint="eastAsia"/>
          <w:highlight w:val="none"/>
          <w:lang w:val="en-US" w:eastAsia="zh-CN"/>
        </w:rPr>
        <w:t>支部学习活动114</w:t>
      </w:r>
    </w:p>
    <w:p w14:paraId="3CD5C8E9">
      <w:pPr>
        <w:bidi w:val="0"/>
        <w:rPr>
          <w:rFonts w:hint="eastAsia"/>
          <w:highlight w:val="none"/>
          <w:lang w:val="en-US" w:eastAsia="zh-CN"/>
        </w:rPr>
      </w:pPr>
      <w:r>
        <w:rPr>
          <w:rFonts w:hint="eastAsia"/>
          <w:highlight w:val="none"/>
          <w:lang w:val="en-US" w:eastAsia="zh-CN"/>
        </w:rPr>
        <w:t>执法规范化建设139</w:t>
      </w:r>
    </w:p>
    <w:p w14:paraId="2EA338C0">
      <w:pPr>
        <w:bidi w:val="0"/>
        <w:rPr>
          <w:rFonts w:hint="eastAsia"/>
          <w:highlight w:val="none"/>
          <w:lang w:val="en-US" w:eastAsia="zh-CN"/>
        </w:rPr>
      </w:pPr>
      <w:r>
        <w:rPr>
          <w:rFonts w:hint="eastAsia"/>
          <w:highlight w:val="none"/>
          <w:lang w:val="en-US" w:eastAsia="zh-CN"/>
        </w:rPr>
        <w:t>执法监督220</w:t>
      </w:r>
    </w:p>
    <w:p w14:paraId="7BA1170F">
      <w:pPr>
        <w:bidi w:val="0"/>
        <w:rPr>
          <w:rFonts w:hint="eastAsia"/>
          <w:highlight w:val="none"/>
          <w:lang w:val="en-US" w:eastAsia="zh-CN"/>
        </w:rPr>
      </w:pPr>
      <w:r>
        <w:rPr>
          <w:rFonts w:hint="eastAsia"/>
          <w:highlight w:val="none"/>
          <w:lang w:val="en-US" w:eastAsia="zh-CN"/>
        </w:rPr>
        <w:t>执勤战备155</w:t>
      </w:r>
    </w:p>
    <w:p w14:paraId="395A88F4">
      <w:pPr>
        <w:bidi w:val="0"/>
        <w:rPr>
          <w:rFonts w:hint="eastAsia"/>
          <w:highlight w:val="none"/>
          <w:lang w:val="en-US" w:eastAsia="zh-CN"/>
        </w:rPr>
      </w:pPr>
      <w:r>
        <w:rPr>
          <w:rFonts w:hint="eastAsia"/>
          <w:highlight w:val="none"/>
          <w:lang w:val="en-US" w:eastAsia="zh-CN"/>
        </w:rPr>
        <w:t>执政能力提升87</w:t>
      </w:r>
    </w:p>
    <w:p w14:paraId="2DB7C3BF">
      <w:pPr>
        <w:bidi w:val="0"/>
        <w:rPr>
          <w:rFonts w:hint="eastAsia"/>
          <w:highlight w:val="none"/>
          <w:lang w:val="en-US" w:eastAsia="zh-CN"/>
        </w:rPr>
      </w:pPr>
      <w:r>
        <w:rPr>
          <w:rFonts w:hint="eastAsia"/>
          <w:highlight w:val="none"/>
          <w:lang w:val="en-US" w:eastAsia="zh-CN"/>
        </w:rPr>
        <w:t>职称工作312</w:t>
      </w:r>
    </w:p>
    <w:p w14:paraId="1ED60FA6">
      <w:pPr>
        <w:bidi w:val="0"/>
        <w:rPr>
          <w:rFonts w:hint="eastAsia"/>
          <w:highlight w:val="none"/>
          <w:lang w:val="en-US" w:eastAsia="zh-CN"/>
        </w:rPr>
      </w:pPr>
      <w:r>
        <w:rPr>
          <w:rFonts w:hint="eastAsia"/>
          <w:highlight w:val="none"/>
          <w:lang w:val="en-US" w:eastAsia="zh-CN"/>
        </w:rPr>
        <w:t>职工活动中心建设118</w:t>
      </w:r>
    </w:p>
    <w:p w14:paraId="705CB024">
      <w:pPr>
        <w:bidi w:val="0"/>
        <w:rPr>
          <w:rFonts w:hint="eastAsia"/>
          <w:highlight w:val="none"/>
          <w:lang w:val="en-US" w:eastAsia="zh-CN"/>
        </w:rPr>
      </w:pPr>
      <w:r>
        <w:rPr>
          <w:rFonts w:hint="eastAsia"/>
          <w:highlight w:val="none"/>
          <w:lang w:val="en-US" w:eastAsia="zh-CN"/>
        </w:rPr>
        <w:t>职工书画大赛118</w:t>
      </w:r>
    </w:p>
    <w:p w14:paraId="289C286A">
      <w:pPr>
        <w:bidi w:val="0"/>
        <w:rPr>
          <w:rFonts w:hint="eastAsia"/>
          <w:highlight w:val="none"/>
          <w:lang w:val="en-US" w:eastAsia="zh-CN"/>
        </w:rPr>
      </w:pPr>
      <w:r>
        <w:rPr>
          <w:rFonts w:hint="eastAsia"/>
          <w:highlight w:val="none"/>
          <w:lang w:val="en-US" w:eastAsia="zh-CN"/>
        </w:rPr>
        <w:t>职工养老保险313</w:t>
      </w:r>
    </w:p>
    <w:p w14:paraId="4C339CD4">
      <w:pPr>
        <w:bidi w:val="0"/>
        <w:rPr>
          <w:rFonts w:hint="eastAsia"/>
          <w:highlight w:val="none"/>
          <w:lang w:val="en-US" w:eastAsia="zh-CN"/>
        </w:rPr>
      </w:pPr>
      <w:r>
        <w:rPr>
          <w:rFonts w:hint="eastAsia"/>
          <w:highlight w:val="none"/>
          <w:lang w:val="en-US" w:eastAsia="zh-CN"/>
        </w:rPr>
        <w:t>职工医疗保险313</w:t>
      </w:r>
    </w:p>
    <w:p w14:paraId="6DF7885A">
      <w:pPr>
        <w:bidi w:val="0"/>
        <w:rPr>
          <w:rFonts w:hint="eastAsia"/>
          <w:highlight w:val="none"/>
          <w:lang w:val="en-US" w:eastAsia="zh-CN"/>
        </w:rPr>
      </w:pPr>
      <w:r>
        <w:rPr>
          <w:rFonts w:hint="eastAsia"/>
          <w:highlight w:val="none"/>
          <w:lang w:val="en-US" w:eastAsia="zh-CN"/>
        </w:rPr>
        <w:t>职业技能鉴定312</w:t>
      </w:r>
    </w:p>
    <w:p w14:paraId="5809EB65">
      <w:pPr>
        <w:bidi w:val="0"/>
        <w:rPr>
          <w:rFonts w:hint="eastAsia"/>
          <w:highlight w:val="none"/>
          <w:lang w:val="en-US" w:eastAsia="zh-CN"/>
        </w:rPr>
      </w:pPr>
      <w:r>
        <w:rPr>
          <w:rFonts w:hint="eastAsia"/>
          <w:highlight w:val="none"/>
          <w:lang w:val="en-US" w:eastAsia="zh-CN"/>
        </w:rPr>
        <w:t>职业卫生安全健康监管180</w:t>
      </w:r>
    </w:p>
    <w:p w14:paraId="45C7D5E1">
      <w:pPr>
        <w:bidi w:val="0"/>
        <w:rPr>
          <w:rFonts w:hint="eastAsia"/>
          <w:highlight w:val="none"/>
          <w:lang w:val="en-US" w:eastAsia="zh-CN"/>
        </w:rPr>
      </w:pPr>
      <w:r>
        <w:rPr>
          <w:rFonts w:hint="eastAsia"/>
          <w:highlight w:val="none"/>
          <w:lang w:val="en-US" w:eastAsia="zh-CN"/>
        </w:rPr>
        <w:t>指挥通讯系统158</w:t>
      </w:r>
    </w:p>
    <w:p w14:paraId="29443A8A">
      <w:pPr>
        <w:bidi w:val="0"/>
        <w:rPr>
          <w:rFonts w:hint="eastAsia"/>
          <w:highlight w:val="none"/>
          <w:lang w:val="en-US" w:eastAsia="zh-CN"/>
        </w:rPr>
      </w:pPr>
      <w:r>
        <w:rPr>
          <w:rFonts w:hint="eastAsia"/>
          <w:highlight w:val="none"/>
          <w:lang w:val="en-US" w:eastAsia="zh-CN"/>
        </w:rPr>
        <w:t>志愿活动120</w:t>
      </w:r>
    </w:p>
    <w:p w14:paraId="26E16ED9">
      <w:pPr>
        <w:bidi w:val="0"/>
        <w:rPr>
          <w:rFonts w:hint="eastAsia"/>
          <w:highlight w:val="none"/>
          <w:lang w:val="en-US" w:eastAsia="zh-CN"/>
        </w:rPr>
      </w:pPr>
      <w:r>
        <w:rPr>
          <w:rFonts w:hint="eastAsia"/>
          <w:highlight w:val="none"/>
          <w:lang w:val="en-US" w:eastAsia="zh-CN"/>
        </w:rPr>
        <w:t>制定水务“十三五”规划212</w:t>
      </w:r>
    </w:p>
    <w:p w14:paraId="4DAABB72">
      <w:pPr>
        <w:bidi w:val="0"/>
        <w:rPr>
          <w:rFonts w:hint="eastAsia"/>
          <w:highlight w:val="none"/>
          <w:lang w:val="en-US" w:eastAsia="zh-CN"/>
        </w:rPr>
      </w:pPr>
      <w:r>
        <w:rPr>
          <w:rFonts w:hint="eastAsia"/>
          <w:highlight w:val="none"/>
          <w:lang w:val="en-US" w:eastAsia="zh-CN"/>
        </w:rPr>
        <w:t>制度建设与宣传教育158</w:t>
      </w:r>
    </w:p>
    <w:p w14:paraId="2E73E646">
      <w:pPr>
        <w:bidi w:val="0"/>
        <w:rPr>
          <w:rFonts w:hint="eastAsia"/>
          <w:highlight w:val="none"/>
          <w:lang w:val="en-US" w:eastAsia="zh-CN"/>
        </w:rPr>
      </w:pPr>
      <w:r>
        <w:rPr>
          <w:rFonts w:hint="eastAsia"/>
          <w:highlight w:val="none"/>
          <w:lang w:val="en-US" w:eastAsia="zh-CN"/>
        </w:rPr>
        <w:t>中国工商银行股份有限公司南雄支行267</w:t>
      </w:r>
    </w:p>
    <w:p w14:paraId="219DD161">
      <w:pPr>
        <w:bidi w:val="0"/>
        <w:rPr>
          <w:rFonts w:hint="eastAsia"/>
          <w:highlight w:val="none"/>
          <w:lang w:val="en-US" w:eastAsia="zh-CN"/>
        </w:rPr>
      </w:pPr>
      <w:r>
        <w:rPr>
          <w:rFonts w:hint="eastAsia"/>
          <w:highlight w:val="none"/>
          <w:lang w:val="en-US" w:eastAsia="zh-CN"/>
        </w:rPr>
        <w:t>中国建设银行股份有限公司南雄支行269</w:t>
      </w:r>
    </w:p>
    <w:p w14:paraId="6FDC6128">
      <w:pPr>
        <w:bidi w:val="0"/>
        <w:rPr>
          <w:rFonts w:hint="eastAsia"/>
          <w:highlight w:val="none"/>
          <w:lang w:val="en-US" w:eastAsia="zh-CN"/>
        </w:rPr>
      </w:pPr>
      <w:r>
        <w:rPr>
          <w:rFonts w:hint="eastAsia"/>
          <w:highlight w:val="none"/>
          <w:lang w:val="en-US" w:eastAsia="zh-CN"/>
        </w:rPr>
        <w:t>中国农业银行股份有限公司南雄支行267</w:t>
      </w:r>
    </w:p>
    <w:p w14:paraId="118D7486">
      <w:pPr>
        <w:bidi w:val="0"/>
        <w:rPr>
          <w:rFonts w:hint="eastAsia"/>
          <w:highlight w:val="none"/>
          <w:lang w:val="en-US" w:eastAsia="zh-CN"/>
        </w:rPr>
      </w:pPr>
      <w:r>
        <w:rPr>
          <w:rFonts w:hint="eastAsia"/>
          <w:highlight w:val="none"/>
          <w:lang w:val="en-US" w:eastAsia="zh-CN"/>
        </w:rPr>
        <w:t>中国人民财产保险股份有限公司南雄支公司271</w:t>
      </w:r>
    </w:p>
    <w:p w14:paraId="6056B5BF">
      <w:pPr>
        <w:bidi w:val="0"/>
        <w:rPr>
          <w:rFonts w:hint="eastAsia"/>
          <w:highlight w:val="none"/>
          <w:lang w:val="en-US" w:eastAsia="zh-CN"/>
        </w:rPr>
      </w:pPr>
      <w:r>
        <w:rPr>
          <w:rFonts w:hint="eastAsia"/>
          <w:highlight w:val="none"/>
          <w:lang w:val="en-US" w:eastAsia="zh-CN"/>
        </w:rPr>
        <w:t>中国人民银行南雄市支行264</w:t>
      </w:r>
    </w:p>
    <w:p w14:paraId="381C0E9A">
      <w:pPr>
        <w:bidi w:val="0"/>
        <w:rPr>
          <w:rFonts w:hint="eastAsia"/>
          <w:highlight w:val="none"/>
          <w:lang w:val="en-US" w:eastAsia="zh-CN"/>
        </w:rPr>
      </w:pPr>
      <w:r>
        <w:rPr>
          <w:rFonts w:hint="eastAsia"/>
          <w:highlight w:val="none"/>
          <w:lang w:val="en-US" w:eastAsia="zh-CN"/>
        </w:rPr>
        <w:t>中国人寿保险股份有限公司南雄市支公司270</w:t>
      </w:r>
    </w:p>
    <w:p w14:paraId="378CDD58">
      <w:pPr>
        <w:bidi w:val="0"/>
        <w:rPr>
          <w:rFonts w:hint="eastAsia"/>
          <w:highlight w:val="none"/>
          <w:lang w:val="en-US" w:eastAsia="zh-CN"/>
        </w:rPr>
      </w:pPr>
      <w:r>
        <w:rPr>
          <w:rFonts w:hint="eastAsia"/>
          <w:highlight w:val="none"/>
          <w:lang w:val="en-US" w:eastAsia="zh-CN"/>
        </w:rPr>
        <w:t>中国银行股份有限公司韶关南雄支行268</w:t>
      </w:r>
    </w:p>
    <w:p w14:paraId="056F7997">
      <w:pPr>
        <w:bidi w:val="0"/>
        <w:rPr>
          <w:rFonts w:hint="eastAsia"/>
          <w:highlight w:val="none"/>
          <w:lang w:val="en-US" w:eastAsia="zh-CN"/>
        </w:rPr>
      </w:pPr>
      <w:r>
        <w:rPr>
          <w:rFonts w:hint="eastAsia"/>
          <w:highlight w:val="none"/>
          <w:lang w:val="en-US" w:eastAsia="zh-CN"/>
        </w:rPr>
        <w:t>中小河流治理212</w:t>
      </w:r>
    </w:p>
    <w:p w14:paraId="0474022E">
      <w:pPr>
        <w:bidi w:val="0"/>
        <w:rPr>
          <w:rFonts w:hint="eastAsia"/>
          <w:highlight w:val="none"/>
          <w:lang w:val="en-US" w:eastAsia="zh-CN"/>
        </w:rPr>
      </w:pPr>
      <w:r>
        <w:rPr>
          <w:rFonts w:hint="eastAsia"/>
          <w:highlight w:val="none"/>
          <w:lang w:val="en-US" w:eastAsia="zh-CN"/>
        </w:rPr>
        <w:t>中小企业快速发展182</w:t>
      </w:r>
    </w:p>
    <w:p w14:paraId="670E103D">
      <w:pPr>
        <w:bidi w:val="0"/>
        <w:rPr>
          <w:rFonts w:hint="eastAsia"/>
          <w:highlight w:val="none"/>
          <w:lang w:val="en-US" w:eastAsia="zh-CN"/>
        </w:rPr>
      </w:pPr>
      <w:r>
        <w:rPr>
          <w:rFonts w:hint="eastAsia"/>
          <w:highlight w:val="none"/>
          <w:lang w:val="en-US" w:eastAsia="zh-CN"/>
        </w:rPr>
        <w:t>种子站198</w:t>
      </w:r>
    </w:p>
    <w:p w14:paraId="2CFBFF88">
      <w:pPr>
        <w:bidi w:val="0"/>
        <w:rPr>
          <w:rFonts w:hint="eastAsia"/>
          <w:highlight w:val="none"/>
          <w:lang w:val="en-US" w:eastAsia="zh-CN"/>
        </w:rPr>
      </w:pPr>
      <w:r>
        <w:rPr>
          <w:rFonts w:hint="eastAsia"/>
          <w:highlight w:val="none"/>
          <w:lang w:val="en-US" w:eastAsia="zh-CN"/>
        </w:rPr>
        <w:t>重大疾病防控与突发公共卫生事件处置285</w:t>
      </w:r>
    </w:p>
    <w:p w14:paraId="141ACD08">
      <w:pPr>
        <w:bidi w:val="0"/>
        <w:rPr>
          <w:rFonts w:hint="eastAsia"/>
          <w:highlight w:val="none"/>
          <w:lang w:val="en-US" w:eastAsia="zh-CN"/>
        </w:rPr>
      </w:pPr>
      <w:r>
        <w:rPr>
          <w:rFonts w:hint="eastAsia"/>
          <w:highlight w:val="none"/>
          <w:lang w:val="en-US" w:eastAsia="zh-CN"/>
        </w:rPr>
        <w:t>重大教育民生工程建设272</w:t>
      </w:r>
    </w:p>
    <w:p w14:paraId="3778A49B">
      <w:pPr>
        <w:bidi w:val="0"/>
        <w:rPr>
          <w:rFonts w:hint="eastAsia"/>
          <w:highlight w:val="none"/>
          <w:lang w:val="en-US" w:eastAsia="zh-CN"/>
        </w:rPr>
      </w:pPr>
      <w:r>
        <w:rPr>
          <w:rFonts w:hint="eastAsia"/>
          <w:highlight w:val="none"/>
          <w:lang w:val="en-US" w:eastAsia="zh-CN"/>
        </w:rPr>
        <w:t>重大事件63</w:t>
      </w:r>
    </w:p>
    <w:p w14:paraId="097BBCDF">
      <w:pPr>
        <w:bidi w:val="0"/>
        <w:rPr>
          <w:rFonts w:hint="eastAsia"/>
          <w:highlight w:val="none"/>
          <w:lang w:val="en-US" w:eastAsia="zh-CN"/>
        </w:rPr>
      </w:pPr>
      <w:r>
        <w:rPr>
          <w:rFonts w:hint="eastAsia"/>
          <w:highlight w:val="none"/>
          <w:lang w:val="en-US" w:eastAsia="zh-CN"/>
        </w:rPr>
        <w:t>重大项目招商253</w:t>
      </w:r>
    </w:p>
    <w:p w14:paraId="6F19027B">
      <w:pPr>
        <w:bidi w:val="0"/>
        <w:rPr>
          <w:rFonts w:hint="eastAsia"/>
          <w:highlight w:val="none"/>
          <w:lang w:val="en-US" w:eastAsia="zh-CN"/>
        </w:rPr>
      </w:pPr>
      <w:r>
        <w:rPr>
          <w:rFonts w:hint="eastAsia"/>
          <w:highlight w:val="none"/>
          <w:lang w:val="en-US" w:eastAsia="zh-CN"/>
        </w:rPr>
        <w:t>重点、亮点、民生实事项目238</w:t>
      </w:r>
    </w:p>
    <w:p w14:paraId="0F902485">
      <w:pPr>
        <w:bidi w:val="0"/>
        <w:rPr>
          <w:rFonts w:hint="eastAsia"/>
          <w:highlight w:val="none"/>
          <w:lang w:val="en-US" w:eastAsia="zh-CN"/>
        </w:rPr>
      </w:pPr>
      <w:r>
        <w:rPr>
          <w:rFonts w:hint="eastAsia"/>
          <w:highlight w:val="none"/>
          <w:lang w:val="en-US" w:eastAsia="zh-CN"/>
        </w:rPr>
        <w:t>重点项目334 375</w:t>
      </w:r>
    </w:p>
    <w:p w14:paraId="0963C495">
      <w:pPr>
        <w:bidi w:val="0"/>
        <w:rPr>
          <w:rFonts w:hint="eastAsia"/>
          <w:highlight w:val="none"/>
          <w:lang w:val="en-US" w:eastAsia="zh-CN"/>
        </w:rPr>
      </w:pPr>
      <w:r>
        <w:rPr>
          <w:rFonts w:hint="eastAsia"/>
          <w:highlight w:val="none"/>
          <w:lang w:val="en-US" w:eastAsia="zh-CN"/>
        </w:rPr>
        <w:t>重点项目建设160 343 357 360</w:t>
      </w:r>
    </w:p>
    <w:p w14:paraId="5BE95BC1">
      <w:pPr>
        <w:bidi w:val="0"/>
        <w:rPr>
          <w:rFonts w:hint="eastAsia"/>
          <w:highlight w:val="none"/>
          <w:lang w:val="en-US" w:eastAsia="zh-CN"/>
        </w:rPr>
      </w:pPr>
      <w:r>
        <w:rPr>
          <w:rFonts w:hint="eastAsia"/>
          <w:highlight w:val="none"/>
          <w:lang w:val="en-US" w:eastAsia="zh-CN"/>
        </w:rPr>
        <w:t>重点项目建设及亮点工作182</w:t>
      </w:r>
    </w:p>
    <w:p w14:paraId="59F67238">
      <w:pPr>
        <w:bidi w:val="0"/>
        <w:rPr>
          <w:rFonts w:hint="eastAsia"/>
          <w:highlight w:val="none"/>
          <w:lang w:val="en-US" w:eastAsia="zh-CN"/>
        </w:rPr>
      </w:pPr>
      <w:r>
        <w:rPr>
          <w:rFonts w:hint="eastAsia"/>
          <w:highlight w:val="none"/>
          <w:lang w:val="en-US" w:eastAsia="zh-CN"/>
        </w:rPr>
        <w:t>重要会议44</w:t>
      </w:r>
    </w:p>
    <w:p w14:paraId="3D2FA24F">
      <w:pPr>
        <w:bidi w:val="0"/>
        <w:rPr>
          <w:rFonts w:hint="eastAsia"/>
          <w:highlight w:val="none"/>
          <w:lang w:val="en-US" w:eastAsia="zh-CN"/>
        </w:rPr>
      </w:pPr>
      <w:r>
        <w:rPr>
          <w:rFonts w:hint="eastAsia"/>
          <w:highlight w:val="none"/>
          <w:lang w:val="en-US" w:eastAsia="zh-CN"/>
        </w:rPr>
        <w:t>重要会议和活动107</w:t>
      </w:r>
    </w:p>
    <w:p w14:paraId="5FF9088F">
      <w:pPr>
        <w:bidi w:val="0"/>
        <w:rPr>
          <w:rFonts w:hint="eastAsia"/>
          <w:highlight w:val="none"/>
          <w:lang w:val="en-US" w:eastAsia="zh-CN"/>
        </w:rPr>
      </w:pPr>
      <w:r>
        <w:rPr>
          <w:rFonts w:hint="eastAsia"/>
          <w:highlight w:val="none"/>
          <w:lang w:val="en-US" w:eastAsia="zh-CN"/>
        </w:rPr>
        <w:t>重要活动及主要工作78</w:t>
      </w:r>
    </w:p>
    <w:p w14:paraId="4E95023D">
      <w:pPr>
        <w:bidi w:val="0"/>
        <w:rPr>
          <w:rFonts w:hint="eastAsia"/>
          <w:highlight w:val="none"/>
          <w:lang w:val="en-US" w:eastAsia="zh-CN"/>
        </w:rPr>
      </w:pPr>
      <w:r>
        <w:rPr>
          <w:rFonts w:hint="eastAsia"/>
          <w:highlight w:val="none"/>
          <w:lang w:val="en-US" w:eastAsia="zh-CN"/>
        </w:rPr>
        <w:t>重要政务85</w:t>
      </w:r>
    </w:p>
    <w:p w14:paraId="14AFA399">
      <w:pPr>
        <w:bidi w:val="0"/>
        <w:rPr>
          <w:rFonts w:hint="eastAsia"/>
          <w:highlight w:val="none"/>
          <w:lang w:val="en-US" w:eastAsia="zh-CN"/>
        </w:rPr>
      </w:pPr>
      <w:r>
        <w:rPr>
          <w:rFonts w:hint="eastAsia"/>
          <w:highlight w:val="none"/>
          <w:lang w:val="en-US" w:eastAsia="zh-CN"/>
        </w:rPr>
        <w:t>珠现镇374</w:t>
      </w:r>
    </w:p>
    <w:p w14:paraId="55F10DB1">
      <w:pPr>
        <w:bidi w:val="0"/>
        <w:rPr>
          <w:rFonts w:hint="eastAsia"/>
          <w:highlight w:val="none"/>
          <w:lang w:val="en-US" w:eastAsia="zh-CN"/>
        </w:rPr>
      </w:pPr>
      <w:r>
        <w:rPr>
          <w:rFonts w:hint="eastAsia"/>
          <w:highlight w:val="none"/>
          <w:lang w:val="en-US" w:eastAsia="zh-CN"/>
        </w:rPr>
        <w:t>主动融人珠二角加快建设粤北门户城市1</w:t>
      </w:r>
    </w:p>
    <w:p w14:paraId="48663CCD">
      <w:pPr>
        <w:bidi w:val="0"/>
        <w:rPr>
          <w:rFonts w:hint="eastAsia"/>
          <w:highlight w:val="none"/>
          <w:lang w:val="en-US" w:eastAsia="zh-CN"/>
        </w:rPr>
      </w:pPr>
      <w:r>
        <w:rPr>
          <w:rFonts w:hint="eastAsia"/>
          <w:highlight w:val="none"/>
          <w:lang w:val="en-US" w:eastAsia="zh-CN"/>
        </w:rPr>
        <w:t>主田镇342</w:t>
      </w:r>
    </w:p>
    <w:p w14:paraId="3C828590">
      <w:pPr>
        <w:bidi w:val="0"/>
        <w:rPr>
          <w:rFonts w:hint="eastAsia"/>
          <w:highlight w:val="none"/>
          <w:lang w:val="en-US" w:eastAsia="zh-CN"/>
        </w:rPr>
      </w:pPr>
      <w:r>
        <w:rPr>
          <w:rFonts w:hint="eastAsia"/>
          <w:highlight w:val="none"/>
          <w:lang w:val="en-US" w:eastAsia="zh-CN"/>
        </w:rPr>
        <w:t>主要工作110</w:t>
      </w:r>
    </w:p>
    <w:p w14:paraId="1BBECA6E">
      <w:pPr>
        <w:bidi w:val="0"/>
        <w:rPr>
          <w:rFonts w:hint="eastAsia"/>
          <w:highlight w:val="none"/>
          <w:lang w:val="en-US" w:eastAsia="zh-CN"/>
        </w:rPr>
      </w:pPr>
      <w:r>
        <w:rPr>
          <w:rFonts w:hint="eastAsia"/>
          <w:highlight w:val="none"/>
          <w:lang w:val="en-US" w:eastAsia="zh-CN"/>
        </w:rPr>
        <w:t>主要旅行社、星级酒店257</w:t>
      </w:r>
    </w:p>
    <w:p w14:paraId="43302D8D">
      <w:pPr>
        <w:bidi w:val="0"/>
        <w:rPr>
          <w:rFonts w:hint="eastAsia"/>
          <w:highlight w:val="none"/>
          <w:lang w:val="en-US" w:eastAsia="zh-CN"/>
        </w:rPr>
      </w:pPr>
      <w:r>
        <w:rPr>
          <w:rFonts w:hint="eastAsia"/>
          <w:highlight w:val="none"/>
          <w:lang w:val="en-US" w:eastAsia="zh-CN"/>
        </w:rPr>
        <w:t>主要业绩270</w:t>
      </w:r>
    </w:p>
    <w:p w14:paraId="7375DE82">
      <w:pPr>
        <w:bidi w:val="0"/>
        <w:rPr>
          <w:rFonts w:hint="eastAsia"/>
          <w:highlight w:val="none"/>
          <w:lang w:val="en-US" w:eastAsia="zh-CN"/>
        </w:rPr>
      </w:pPr>
      <w:r>
        <w:rPr>
          <w:rFonts w:hint="eastAsia"/>
          <w:highlight w:val="none"/>
          <w:lang w:val="en-US" w:eastAsia="zh-CN"/>
        </w:rPr>
        <w:t>主要业务267 269</w:t>
      </w:r>
    </w:p>
    <w:p w14:paraId="67923692">
      <w:pPr>
        <w:bidi w:val="0"/>
        <w:rPr>
          <w:rFonts w:hint="eastAsia"/>
          <w:highlight w:val="none"/>
          <w:lang w:val="en-US" w:eastAsia="zh-CN"/>
        </w:rPr>
      </w:pPr>
      <w:r>
        <w:rPr>
          <w:rFonts w:hint="eastAsia"/>
          <w:highlight w:val="none"/>
          <w:lang w:val="en-US" w:eastAsia="zh-CN"/>
        </w:rPr>
        <w:t>主要业务产品270</w:t>
      </w:r>
    </w:p>
    <w:p w14:paraId="46D36E7D">
      <w:pPr>
        <w:bidi w:val="0"/>
        <w:rPr>
          <w:rFonts w:hint="eastAsia"/>
          <w:highlight w:val="none"/>
          <w:lang w:val="en-US" w:eastAsia="zh-CN"/>
        </w:rPr>
      </w:pPr>
      <w:r>
        <w:rPr>
          <w:rFonts w:hint="eastAsia"/>
          <w:highlight w:val="none"/>
          <w:lang w:val="en-US" w:eastAsia="zh-CN"/>
        </w:rPr>
        <w:t>主要职责45 206</w:t>
      </w:r>
    </w:p>
    <w:p w14:paraId="068A643A">
      <w:pPr>
        <w:bidi w:val="0"/>
        <w:rPr>
          <w:rFonts w:hint="eastAsia"/>
          <w:highlight w:val="none"/>
          <w:lang w:val="en-US" w:eastAsia="zh-CN"/>
        </w:rPr>
      </w:pPr>
      <w:r>
        <w:rPr>
          <w:rFonts w:hint="eastAsia"/>
          <w:highlight w:val="none"/>
          <w:lang w:val="en-US" w:eastAsia="zh-CN"/>
        </w:rPr>
        <w:t>助困助学活动127</w:t>
      </w:r>
    </w:p>
    <w:p w14:paraId="7DEC34A1">
      <w:pPr>
        <w:bidi w:val="0"/>
        <w:rPr>
          <w:rFonts w:hint="eastAsia"/>
          <w:highlight w:val="none"/>
          <w:lang w:val="en-US" w:eastAsia="zh-CN"/>
        </w:rPr>
      </w:pPr>
      <w:r>
        <w:rPr>
          <w:rFonts w:hint="eastAsia"/>
          <w:highlight w:val="none"/>
          <w:lang w:val="en-US" w:eastAsia="zh-CN"/>
        </w:rPr>
        <w:t>助力地方国企176</w:t>
      </w:r>
    </w:p>
    <w:p w14:paraId="6F16D233">
      <w:pPr>
        <w:bidi w:val="0"/>
        <w:rPr>
          <w:rFonts w:hint="eastAsia"/>
          <w:highlight w:val="none"/>
          <w:lang w:val="en-US" w:eastAsia="zh-CN"/>
        </w:rPr>
      </w:pPr>
      <w:r>
        <w:rPr>
          <w:rFonts w:hint="eastAsia"/>
          <w:highlight w:val="none"/>
          <w:lang w:val="en-US" w:eastAsia="zh-CN"/>
        </w:rPr>
        <w:t>助学工作274</w:t>
      </w:r>
    </w:p>
    <w:p w14:paraId="29631BF6">
      <w:pPr>
        <w:bidi w:val="0"/>
        <w:rPr>
          <w:rFonts w:hint="eastAsia"/>
          <w:highlight w:val="none"/>
          <w:lang w:val="en-US" w:eastAsia="zh-CN"/>
        </w:rPr>
      </w:pPr>
      <w:r>
        <w:rPr>
          <w:rFonts w:hint="eastAsia"/>
          <w:highlight w:val="none"/>
          <w:lang w:val="en-US" w:eastAsia="zh-CN"/>
        </w:rPr>
        <w:t>住户调查166</w:t>
      </w:r>
    </w:p>
    <w:p w14:paraId="15171AB6">
      <w:pPr>
        <w:bidi w:val="0"/>
        <w:rPr>
          <w:rFonts w:hint="eastAsia"/>
          <w:highlight w:val="none"/>
          <w:lang w:val="en-US" w:eastAsia="zh-CN"/>
        </w:rPr>
      </w:pPr>
      <w:r>
        <w:rPr>
          <w:rFonts w:hint="eastAsia"/>
          <w:highlight w:val="none"/>
          <w:lang w:val="en-US" w:eastAsia="zh-CN"/>
        </w:rPr>
        <w:t>驻湖口检察室142</w:t>
      </w:r>
    </w:p>
    <w:p w14:paraId="6BF29469">
      <w:pPr>
        <w:bidi w:val="0"/>
        <w:rPr>
          <w:rFonts w:hint="eastAsia"/>
          <w:highlight w:val="none"/>
          <w:lang w:val="en-US" w:eastAsia="zh-CN"/>
        </w:rPr>
      </w:pPr>
      <w:r>
        <w:rPr>
          <w:rFonts w:hint="eastAsia"/>
          <w:highlight w:val="none"/>
          <w:lang w:val="en-US" w:eastAsia="zh-CN"/>
        </w:rPr>
        <w:t>专卖管理221</w:t>
      </w:r>
    </w:p>
    <w:p w14:paraId="7E9A7EEC">
      <w:pPr>
        <w:bidi w:val="0"/>
        <w:rPr>
          <w:rFonts w:hint="eastAsia"/>
          <w:highlight w:val="none"/>
          <w:lang w:val="en-US" w:eastAsia="zh-CN"/>
        </w:rPr>
      </w:pPr>
      <w:r>
        <w:rPr>
          <w:rFonts w:hint="eastAsia"/>
          <w:highlight w:val="none"/>
          <w:lang w:val="en-US" w:eastAsia="zh-CN"/>
        </w:rPr>
        <w:t>专项整治工作142</w:t>
      </w:r>
    </w:p>
    <w:p w14:paraId="5B629545">
      <w:pPr>
        <w:bidi w:val="0"/>
        <w:rPr>
          <w:rFonts w:hint="eastAsia"/>
          <w:highlight w:val="none"/>
          <w:lang w:val="en-US" w:eastAsia="zh-CN"/>
        </w:rPr>
      </w:pPr>
      <w:r>
        <w:rPr>
          <w:rFonts w:hint="eastAsia"/>
          <w:highlight w:val="none"/>
          <w:lang w:val="en-US" w:eastAsia="zh-CN"/>
        </w:rPr>
        <w:t>专业领先270</w:t>
      </w:r>
    </w:p>
    <w:p w14:paraId="14BE5415">
      <w:pPr>
        <w:bidi w:val="0"/>
        <w:rPr>
          <w:rFonts w:hint="eastAsia"/>
          <w:highlight w:val="none"/>
          <w:lang w:val="en-US" w:eastAsia="zh-CN"/>
        </w:rPr>
      </w:pPr>
      <w:r>
        <w:rPr>
          <w:rFonts w:hint="eastAsia"/>
          <w:highlight w:val="none"/>
          <w:lang w:val="en-US" w:eastAsia="zh-CN"/>
        </w:rPr>
        <w:t>转变作风，服务基层133</w:t>
      </w:r>
    </w:p>
    <w:p w14:paraId="093F323B">
      <w:pPr>
        <w:bidi w:val="0"/>
        <w:rPr>
          <w:rFonts w:hint="eastAsia"/>
          <w:highlight w:val="none"/>
          <w:lang w:val="en-US" w:eastAsia="zh-CN"/>
        </w:rPr>
      </w:pPr>
      <w:r>
        <w:rPr>
          <w:rFonts w:hint="eastAsia"/>
          <w:highlight w:val="none"/>
          <w:lang w:val="en-US" w:eastAsia="zh-CN"/>
        </w:rPr>
        <w:t>转型期人口计生工作新机制292</w:t>
      </w:r>
    </w:p>
    <w:p w14:paraId="16570022">
      <w:pPr>
        <w:bidi w:val="0"/>
        <w:rPr>
          <w:rFonts w:hint="eastAsia"/>
          <w:highlight w:val="none"/>
          <w:lang w:val="en-US" w:eastAsia="zh-CN"/>
        </w:rPr>
      </w:pPr>
      <w:r>
        <w:rPr>
          <w:rFonts w:hint="eastAsia"/>
          <w:highlight w:val="none"/>
          <w:lang w:val="en-US" w:eastAsia="zh-CN"/>
        </w:rPr>
        <w:t>撰写文艺宣传稿308</w:t>
      </w:r>
    </w:p>
    <w:p w14:paraId="614521A1">
      <w:pPr>
        <w:bidi w:val="0"/>
        <w:rPr>
          <w:rFonts w:hint="eastAsia"/>
          <w:highlight w:val="none"/>
          <w:lang w:val="en-US" w:eastAsia="zh-CN"/>
        </w:rPr>
      </w:pPr>
      <w:r>
        <w:rPr>
          <w:rFonts w:hint="eastAsia"/>
          <w:highlight w:val="none"/>
          <w:lang w:val="en-US" w:eastAsia="zh-CN"/>
        </w:rPr>
        <w:t>壮大工商联会员队伍126</w:t>
      </w:r>
    </w:p>
    <w:p w14:paraId="7FD4863C">
      <w:pPr>
        <w:bidi w:val="0"/>
        <w:rPr>
          <w:rFonts w:hint="eastAsia"/>
          <w:highlight w:val="none"/>
          <w:lang w:val="en-US" w:eastAsia="zh-CN"/>
        </w:rPr>
      </w:pPr>
      <w:r>
        <w:rPr>
          <w:rFonts w:hint="eastAsia"/>
          <w:highlight w:val="none"/>
          <w:lang w:val="en-US" w:eastAsia="zh-CN"/>
        </w:rPr>
        <w:t>着力深化改革，发展活力不断增添41</w:t>
      </w:r>
    </w:p>
    <w:p w14:paraId="5E9165D6">
      <w:pPr>
        <w:bidi w:val="0"/>
        <w:rPr>
          <w:rFonts w:hint="eastAsia"/>
          <w:highlight w:val="none"/>
          <w:lang w:val="en-US" w:eastAsia="zh-CN"/>
        </w:rPr>
      </w:pPr>
      <w:r>
        <w:rPr>
          <w:rFonts w:hint="eastAsia"/>
          <w:highlight w:val="none"/>
          <w:lang w:val="en-US" w:eastAsia="zh-CN"/>
        </w:rPr>
        <w:t>资金筹措208</w:t>
      </w:r>
    </w:p>
    <w:p w14:paraId="698CD1E6">
      <w:pPr>
        <w:bidi w:val="0"/>
        <w:rPr>
          <w:rFonts w:hint="eastAsia"/>
          <w:highlight w:val="none"/>
          <w:lang w:val="en-US" w:eastAsia="zh-CN"/>
        </w:rPr>
      </w:pPr>
      <w:r>
        <w:rPr>
          <w:rFonts w:hint="eastAsia"/>
          <w:highlight w:val="none"/>
          <w:lang w:val="en-US" w:eastAsia="zh-CN"/>
        </w:rPr>
        <w:t>资源保护与利用211</w:t>
      </w:r>
    </w:p>
    <w:p w14:paraId="0EE30978">
      <w:pPr>
        <w:bidi w:val="0"/>
        <w:rPr>
          <w:rFonts w:hint="eastAsia"/>
          <w:highlight w:val="none"/>
          <w:lang w:val="en-US" w:eastAsia="zh-CN"/>
        </w:rPr>
      </w:pPr>
      <w:r>
        <w:rPr>
          <w:rFonts w:hint="eastAsia"/>
          <w:highlight w:val="none"/>
          <w:lang w:val="en-US" w:eastAsia="zh-CN"/>
        </w:rPr>
        <w:t>资源状况210</w:t>
      </w:r>
    </w:p>
    <w:p w14:paraId="773EE85C">
      <w:pPr>
        <w:bidi w:val="0"/>
        <w:rPr>
          <w:rFonts w:hint="eastAsia"/>
          <w:highlight w:val="none"/>
          <w:lang w:val="en-US" w:eastAsia="zh-CN"/>
        </w:rPr>
      </w:pPr>
      <w:r>
        <w:rPr>
          <w:rFonts w:hint="eastAsia"/>
          <w:highlight w:val="none"/>
          <w:lang w:val="en-US" w:eastAsia="zh-CN"/>
        </w:rPr>
        <w:t>自然条件324 330 334</w:t>
      </w:r>
    </w:p>
    <w:p w14:paraId="4C05B745">
      <w:pPr>
        <w:bidi w:val="0"/>
        <w:rPr>
          <w:rFonts w:hint="eastAsia"/>
          <w:highlight w:val="none"/>
          <w:lang w:val="en-US" w:eastAsia="zh-CN"/>
        </w:rPr>
      </w:pPr>
      <w:r>
        <w:rPr>
          <w:rFonts w:hint="eastAsia"/>
          <w:highlight w:val="none"/>
          <w:lang w:val="en-US" w:eastAsia="zh-CN"/>
        </w:rPr>
        <w:t>自然资源保护208</w:t>
      </w:r>
    </w:p>
    <w:p w14:paraId="64665B0F">
      <w:pPr>
        <w:bidi w:val="0"/>
        <w:rPr>
          <w:rFonts w:hint="eastAsia"/>
          <w:highlight w:val="none"/>
          <w:lang w:val="en-US" w:eastAsia="zh-CN"/>
        </w:rPr>
      </w:pPr>
      <w:r>
        <w:rPr>
          <w:rFonts w:hint="eastAsia"/>
          <w:highlight w:val="none"/>
          <w:lang w:val="en-US" w:eastAsia="zh-CN"/>
        </w:rPr>
        <w:t>自身建设50 73 111 116</w:t>
      </w:r>
    </w:p>
    <w:p w14:paraId="3C6D99B0">
      <w:pPr>
        <w:bidi w:val="0"/>
        <w:rPr>
          <w:rFonts w:hint="eastAsia"/>
          <w:highlight w:val="none"/>
          <w:lang w:val="en-US" w:eastAsia="zh-CN"/>
        </w:rPr>
      </w:pPr>
      <w:r>
        <w:rPr>
          <w:rFonts w:hint="eastAsia"/>
          <w:highlight w:val="none"/>
          <w:lang w:val="en-US" w:eastAsia="zh-CN"/>
        </w:rPr>
        <w:t>宗教37</w:t>
      </w:r>
    </w:p>
    <w:p w14:paraId="75FA85B2">
      <w:pPr>
        <w:bidi w:val="0"/>
        <w:rPr>
          <w:rFonts w:hint="eastAsia"/>
          <w:highlight w:val="none"/>
          <w:lang w:val="en-US" w:eastAsia="zh-CN"/>
        </w:rPr>
      </w:pPr>
      <w:r>
        <w:rPr>
          <w:rFonts w:hint="eastAsia"/>
          <w:highlight w:val="none"/>
          <w:lang w:val="en-US" w:eastAsia="zh-CN"/>
        </w:rPr>
        <w:t>宗教场所建设132</w:t>
      </w:r>
    </w:p>
    <w:p w14:paraId="5BE7D5C6">
      <w:pPr>
        <w:bidi w:val="0"/>
        <w:rPr>
          <w:rFonts w:hint="eastAsia"/>
          <w:highlight w:val="none"/>
          <w:lang w:val="en-US" w:eastAsia="zh-CN"/>
        </w:rPr>
      </w:pPr>
      <w:r>
        <w:rPr>
          <w:rFonts w:hint="eastAsia"/>
          <w:highlight w:val="none"/>
          <w:lang w:val="en-US" w:eastAsia="zh-CN"/>
        </w:rPr>
        <w:t>总工会116</w:t>
      </w:r>
    </w:p>
    <w:p w14:paraId="4E4C31D9">
      <w:pPr>
        <w:bidi w:val="0"/>
        <w:rPr>
          <w:rFonts w:hint="eastAsia"/>
          <w:highlight w:val="none"/>
          <w:lang w:val="en-US" w:eastAsia="zh-CN"/>
        </w:rPr>
      </w:pPr>
      <w:r>
        <w:rPr>
          <w:rFonts w:hint="eastAsia"/>
          <w:highlight w:val="none"/>
          <w:lang w:val="en-US" w:eastAsia="zh-CN"/>
        </w:rPr>
        <w:t>综合管控233</w:t>
      </w:r>
    </w:p>
    <w:p w14:paraId="1F080133">
      <w:pPr>
        <w:bidi w:val="0"/>
        <w:rPr>
          <w:rFonts w:hint="eastAsia"/>
          <w:highlight w:val="none"/>
          <w:lang w:val="en-US" w:eastAsia="zh-CN"/>
        </w:rPr>
      </w:pPr>
      <w:r>
        <w:rPr>
          <w:rFonts w:hint="eastAsia"/>
          <w:highlight w:val="none"/>
          <w:lang w:val="en-US" w:eastAsia="zh-CN"/>
        </w:rPr>
        <w:t>走访慰问老干部57</w:t>
      </w:r>
    </w:p>
    <w:p w14:paraId="35345E3C">
      <w:pPr>
        <w:bidi w:val="0"/>
        <w:rPr>
          <w:rFonts w:hint="eastAsia"/>
          <w:highlight w:val="none"/>
          <w:lang w:val="en-US" w:eastAsia="zh-CN"/>
        </w:rPr>
      </w:pPr>
      <w:r>
        <w:rPr>
          <w:rFonts w:hint="eastAsia"/>
          <w:highlight w:val="none"/>
          <w:lang w:val="en-US" w:eastAsia="zh-CN"/>
        </w:rPr>
        <w:t>组成机构136</w:t>
      </w:r>
    </w:p>
    <w:p w14:paraId="4DEFC334">
      <w:pPr>
        <w:bidi w:val="0"/>
        <w:rPr>
          <w:rFonts w:hint="eastAsia"/>
          <w:highlight w:val="none"/>
          <w:lang w:val="en-US" w:eastAsia="zh-CN"/>
        </w:rPr>
      </w:pPr>
      <w:r>
        <w:rPr>
          <w:rFonts w:hint="eastAsia"/>
          <w:highlight w:val="none"/>
          <w:lang w:val="en-US" w:eastAsia="zh-CN"/>
        </w:rPr>
        <w:t>组工信息调研50</w:t>
      </w:r>
    </w:p>
    <w:p w14:paraId="437B20DE">
      <w:pPr>
        <w:bidi w:val="0"/>
        <w:rPr>
          <w:rFonts w:hint="eastAsia"/>
          <w:highlight w:val="none"/>
          <w:lang w:val="en-US" w:eastAsia="zh-CN"/>
        </w:rPr>
      </w:pPr>
      <w:r>
        <w:rPr>
          <w:rFonts w:hint="eastAsia"/>
          <w:highlight w:val="none"/>
          <w:lang w:val="en-US" w:eastAsia="zh-CN"/>
        </w:rPr>
        <w:t>组织编制发展规划160</w:t>
      </w:r>
    </w:p>
    <w:p w14:paraId="239024EE">
      <w:pPr>
        <w:bidi w:val="0"/>
        <w:rPr>
          <w:rFonts w:hint="eastAsia"/>
          <w:highlight w:val="none"/>
          <w:lang w:val="en-US" w:eastAsia="zh-CN"/>
        </w:rPr>
      </w:pPr>
      <w:r>
        <w:rPr>
          <w:rFonts w:hint="eastAsia"/>
          <w:highlight w:val="none"/>
          <w:lang w:val="en-US" w:eastAsia="zh-CN"/>
        </w:rPr>
        <w:t>组织工作47</w:t>
      </w:r>
    </w:p>
    <w:p w14:paraId="0505AFF1">
      <w:pPr>
        <w:bidi w:val="0"/>
        <w:rPr>
          <w:rFonts w:hint="eastAsia"/>
          <w:highlight w:val="none"/>
          <w:lang w:val="en-US" w:eastAsia="zh-CN"/>
        </w:rPr>
      </w:pPr>
      <w:r>
        <w:rPr>
          <w:rFonts w:hint="eastAsia"/>
          <w:highlight w:val="none"/>
          <w:lang w:val="en-US" w:eastAsia="zh-CN"/>
        </w:rPr>
        <w:t>组织建设113</w:t>
      </w:r>
    </w:p>
    <w:p w14:paraId="635F7071">
      <w:pPr>
        <w:bidi w:val="0"/>
        <w:rPr>
          <w:rFonts w:hint="eastAsia"/>
          <w:highlight w:val="none"/>
          <w:lang w:val="en-US" w:eastAsia="zh-CN"/>
        </w:rPr>
      </w:pPr>
      <w:r>
        <w:rPr>
          <w:rFonts w:hint="eastAsia"/>
          <w:highlight w:val="none"/>
          <w:lang w:val="en-US" w:eastAsia="zh-CN"/>
        </w:rPr>
        <w:t>组织建设工作65</w:t>
      </w:r>
    </w:p>
    <w:p w14:paraId="3D1F4169">
      <w:pPr>
        <w:bidi w:val="0"/>
        <w:rPr>
          <w:rFonts w:hint="eastAsia"/>
          <w:highlight w:val="none"/>
          <w:lang w:val="en-US" w:eastAsia="zh-CN"/>
        </w:rPr>
      </w:pPr>
      <w:r>
        <w:rPr>
          <w:rFonts w:hint="eastAsia"/>
          <w:highlight w:val="none"/>
          <w:lang w:val="en-US" w:eastAsia="zh-CN"/>
        </w:rPr>
        <w:t>组织老干部开展各项文体活动58</w:t>
      </w:r>
    </w:p>
    <w:p w14:paraId="7B5CEAAD">
      <w:pPr>
        <w:bidi w:val="0"/>
        <w:rPr>
          <w:rFonts w:hint="eastAsia"/>
          <w:highlight w:val="none"/>
          <w:lang w:val="en-US" w:eastAsia="zh-CN"/>
        </w:rPr>
      </w:pPr>
      <w:r>
        <w:rPr>
          <w:rFonts w:hint="eastAsia"/>
          <w:highlight w:val="none"/>
          <w:lang w:val="en-US" w:eastAsia="zh-CN"/>
        </w:rPr>
        <w:t>作风建设110</w:t>
      </w:r>
    </w:p>
    <w:p w14:paraId="24E2AB1D">
      <w:pPr>
        <w:bidi w:val="0"/>
        <w:rPr>
          <w:rFonts w:hint="eastAsia"/>
          <w:highlight w:val="none"/>
          <w:lang w:val="en-US" w:eastAsia="zh-CN"/>
        </w:rPr>
      </w:pPr>
      <w:r>
        <w:rPr>
          <w:rFonts w:hint="eastAsia"/>
          <w:highlight w:val="none"/>
          <w:lang w:val="en-US" w:eastAsia="zh-CN"/>
        </w:rPr>
        <w:t>做好非公有制经济人士政治安排126</w:t>
      </w:r>
    </w:p>
    <w:p w14:paraId="22086F6F">
      <w:pPr>
        <w:bidi w:val="0"/>
        <w:rPr>
          <w:rFonts w:hint="eastAsia"/>
          <w:highlight w:val="none"/>
          <w:lang w:val="en-US" w:eastAsia="zh-CN"/>
        </w:rPr>
        <w:sectPr>
          <w:pgSz w:w="11906" w:h="16838"/>
          <w:pgMar w:top="1440" w:right="1752" w:bottom="1440" w:left="1752" w:header="851" w:footer="992" w:gutter="0"/>
          <w:cols w:space="720" w:num="1"/>
          <w:docGrid w:type="lines" w:linePitch="312" w:charSpace="0"/>
        </w:sectPr>
      </w:pPr>
      <w:r>
        <w:rPr>
          <w:rFonts w:hint="eastAsia"/>
          <w:highlight w:val="none"/>
          <w:lang w:val="en-US" w:eastAsia="zh-CN"/>
        </w:rPr>
        <w:t>做好老区宣传报道318</w:t>
      </w:r>
    </w:p>
    <w:p w14:paraId="019E99AB">
      <w:pPr>
        <w:pStyle w:val="3"/>
        <w:bidi w:val="0"/>
        <w:rPr>
          <w:rFonts w:hint="eastAsia"/>
          <w:highlight w:val="none"/>
        </w:rPr>
      </w:pPr>
      <w:r>
        <w:rPr>
          <w:rFonts w:hint="eastAsia"/>
          <w:highlight w:val="none"/>
        </w:rPr>
        <w:t>表格索引</w:t>
      </w:r>
    </w:p>
    <w:p w14:paraId="7F3C4C83">
      <w:pPr>
        <w:rPr>
          <w:rFonts w:hint="eastAsia"/>
          <w:highlight w:val="none"/>
        </w:rPr>
      </w:pPr>
      <w:r>
        <w:rPr>
          <w:rFonts w:hint="eastAsia"/>
          <w:highlight w:val="none"/>
        </w:rPr>
        <w:t>表1南雄市各镇（街道）的村（居、社区）委会名称表...........36</w:t>
      </w:r>
    </w:p>
    <w:p w14:paraId="4EF938FC">
      <w:pPr>
        <w:rPr>
          <w:rFonts w:hint="eastAsia"/>
          <w:highlight w:val="none"/>
        </w:rPr>
      </w:pPr>
      <w:r>
        <w:rPr>
          <w:rFonts w:hint="eastAsia"/>
          <w:highlight w:val="none"/>
        </w:rPr>
        <w:t>表2 2015年组织各类培训情况表…62</w:t>
      </w:r>
    </w:p>
    <w:p w14:paraId="27D7300B">
      <w:pPr>
        <w:rPr>
          <w:rFonts w:hint="eastAsia"/>
          <w:highlight w:val="none"/>
        </w:rPr>
      </w:pPr>
      <w:r>
        <w:rPr>
          <w:rFonts w:hint="eastAsia"/>
          <w:highlight w:val="none"/>
        </w:rPr>
        <w:t>表3 2015年南雄市新增治理河段达标长度.......................213</w:t>
      </w:r>
    </w:p>
    <w:p w14:paraId="503F8AFD">
      <w:pPr>
        <w:rPr>
          <w:rFonts w:hint="eastAsia"/>
          <w:highlight w:val="none"/>
        </w:rPr>
      </w:pPr>
      <w:r>
        <w:rPr>
          <w:rFonts w:hint="eastAsia"/>
          <w:highlight w:val="none"/>
        </w:rPr>
        <w:t>表4 2015年南雄市新增耕地灌溉面积（有效灌）信息表...........214</w:t>
      </w:r>
    </w:p>
    <w:p w14:paraId="1FB6DC72">
      <w:pPr>
        <w:rPr>
          <w:rFonts w:hint="eastAsia"/>
          <w:highlight w:val="none"/>
        </w:rPr>
      </w:pPr>
      <w:r>
        <w:rPr>
          <w:rFonts w:hint="eastAsia"/>
          <w:highlight w:val="none"/>
        </w:rPr>
        <w:t>表5南雄市大中型水库特性表……215</w:t>
      </w:r>
    </w:p>
    <w:p w14:paraId="5760A9FD">
      <w:pPr>
        <w:rPr>
          <w:rFonts w:hint="eastAsia"/>
          <w:highlight w:val="none"/>
        </w:rPr>
      </w:pPr>
      <w:r>
        <w:rPr>
          <w:rFonts w:hint="eastAsia"/>
          <w:highlight w:val="none"/>
        </w:rPr>
        <w:t>表6南雄市灌区工程特性表.....215</w:t>
      </w:r>
    </w:p>
    <w:p w14:paraId="47814AE9">
      <w:pPr>
        <w:bidi w:val="0"/>
        <w:rPr>
          <w:rFonts w:hint="eastAsia"/>
          <w:highlight w:val="none"/>
        </w:rPr>
      </w:pPr>
      <w:r>
        <w:rPr>
          <w:rFonts w:hint="eastAsia"/>
          <w:highlight w:val="none"/>
        </w:rPr>
        <w:t>表7南雄市小水电站基本表2015年）</w:t>
      </w:r>
    </w:p>
    <w:p w14:paraId="29913B72">
      <w:pPr>
        <w:bidi w:val="0"/>
        <w:rPr>
          <w:rFonts w:hint="eastAsia"/>
          <w:highlight w:val="none"/>
        </w:rPr>
      </w:pPr>
      <w:r>
        <w:rPr>
          <w:rFonts w:hint="eastAsia"/>
          <w:highlight w:val="none"/>
        </w:rPr>
        <w:t>.....................................................216</w:t>
      </w:r>
    </w:p>
    <w:p w14:paraId="69C2FB64">
      <w:pPr>
        <w:bidi w:val="0"/>
        <w:rPr>
          <w:rFonts w:hint="eastAsia"/>
          <w:highlight w:val="none"/>
        </w:rPr>
      </w:pPr>
      <w:r>
        <w:rPr>
          <w:rFonts w:hint="eastAsia"/>
          <w:highlight w:val="none"/>
        </w:rPr>
        <w:t>表8南雄市年降水量2015年）……</w:t>
      </w:r>
    </w:p>
    <w:p w14:paraId="523A3F7F">
      <w:pPr>
        <w:bidi w:val="0"/>
        <w:rPr>
          <w:rFonts w:hint="eastAsia"/>
          <w:highlight w:val="none"/>
        </w:rPr>
      </w:pPr>
      <w:r>
        <w:rPr>
          <w:rFonts w:hint="eastAsia"/>
          <w:highlight w:val="none"/>
        </w:rPr>
        <w:t>.........................................................216</w:t>
      </w:r>
    </w:p>
    <w:p w14:paraId="02127FDE">
      <w:pPr>
        <w:bidi w:val="0"/>
        <w:rPr>
          <w:rFonts w:hint="eastAsia"/>
          <w:highlight w:val="none"/>
        </w:rPr>
      </w:pPr>
      <w:r>
        <w:rPr>
          <w:rFonts w:hint="eastAsia"/>
          <w:highlight w:val="none"/>
        </w:rPr>
        <w:t>表9南雄市地表水资源量（2015年）</w:t>
      </w:r>
    </w:p>
    <w:p w14:paraId="1A2DC880">
      <w:pPr>
        <w:bidi w:val="0"/>
        <w:rPr>
          <w:rFonts w:hint="eastAsia"/>
          <w:highlight w:val="none"/>
        </w:rPr>
      </w:pPr>
      <w:r>
        <w:rPr>
          <w:rFonts w:hint="eastAsia"/>
          <w:highlight w:val="none"/>
        </w:rPr>
        <w:t>........................................................217</w:t>
      </w:r>
    </w:p>
    <w:p w14:paraId="32B25378">
      <w:pPr>
        <w:rPr>
          <w:rFonts w:hint="eastAsia"/>
          <w:highlight w:val="none"/>
        </w:rPr>
      </w:pPr>
      <w:r>
        <w:rPr>
          <w:rFonts w:hint="eastAsia"/>
          <w:highlight w:val="none"/>
        </w:rPr>
        <w:t>表10南雄市地下水资源量2015年）</w:t>
      </w:r>
    </w:p>
    <w:p w14:paraId="5252C55F">
      <w:pPr>
        <w:rPr>
          <w:rFonts w:hint="eastAsia"/>
          <w:highlight w:val="none"/>
        </w:rPr>
      </w:pPr>
      <w:r>
        <w:rPr>
          <w:rFonts w:hint="eastAsia"/>
          <w:highlight w:val="none"/>
        </w:rPr>
        <w:t>............................................................217</w:t>
      </w:r>
    </w:p>
    <w:p w14:paraId="50F0658F">
      <w:pPr>
        <w:rPr>
          <w:rFonts w:hint="eastAsia"/>
          <w:highlight w:val="none"/>
        </w:rPr>
      </w:pPr>
      <w:r>
        <w:rPr>
          <w:rFonts w:hint="eastAsia"/>
          <w:highlight w:val="none"/>
        </w:rPr>
        <w:t>表11南雄市年供水量2015年）……</w:t>
      </w:r>
    </w:p>
    <w:p w14:paraId="60345A78">
      <w:pPr>
        <w:rPr>
          <w:rFonts w:hint="eastAsia"/>
          <w:highlight w:val="none"/>
        </w:rPr>
      </w:pPr>
      <w:r>
        <w:rPr>
          <w:rFonts w:hint="eastAsia"/>
          <w:highlight w:val="none"/>
        </w:rPr>
        <w:t>............................................................217</w:t>
      </w:r>
    </w:p>
    <w:p w14:paraId="6478F3DE">
      <w:pPr>
        <w:rPr>
          <w:rFonts w:hint="eastAsia"/>
          <w:highlight w:val="none"/>
        </w:rPr>
      </w:pPr>
      <w:r>
        <w:rPr>
          <w:rFonts w:hint="eastAsia"/>
          <w:highlight w:val="none"/>
        </w:rPr>
        <w:t>表12南雄市年用水量2015年）……</w:t>
      </w:r>
    </w:p>
    <w:p w14:paraId="1A5CEE8F">
      <w:pPr>
        <w:rPr>
          <w:rFonts w:hint="eastAsia"/>
          <w:highlight w:val="none"/>
        </w:rPr>
      </w:pPr>
      <w:r>
        <w:rPr>
          <w:rFonts w:hint="eastAsia"/>
          <w:highlight w:val="none"/>
        </w:rPr>
        <w:t>............................................................217</w:t>
      </w:r>
    </w:p>
    <w:p w14:paraId="2BBBFA9C">
      <w:pPr>
        <w:rPr>
          <w:rFonts w:hint="eastAsia"/>
          <w:highlight w:val="none"/>
        </w:rPr>
      </w:pPr>
      <w:r>
        <w:rPr>
          <w:rFonts w:hint="eastAsia"/>
          <w:highlight w:val="none"/>
        </w:rPr>
        <w:t>表13南雄市主要用水指标2015年）</w:t>
      </w:r>
    </w:p>
    <w:p w14:paraId="37BF3AC8">
      <w:pPr>
        <w:rPr>
          <w:rFonts w:hint="eastAsia"/>
          <w:highlight w:val="none"/>
        </w:rPr>
      </w:pPr>
      <w:r>
        <w:rPr>
          <w:rFonts w:hint="eastAsia"/>
          <w:highlight w:val="none"/>
        </w:rPr>
        <w:t>........................................................217</w:t>
      </w:r>
    </w:p>
    <w:p w14:paraId="33BC3FDF">
      <w:pPr>
        <w:rPr>
          <w:rFonts w:hint="eastAsia"/>
          <w:highlight w:val="none"/>
        </w:rPr>
      </w:pPr>
      <w:r>
        <w:rPr>
          <w:rFonts w:hint="eastAsia"/>
          <w:highlight w:val="none"/>
        </w:rPr>
        <w:t>表14南雄市水资源利用表2015年）</w:t>
      </w:r>
    </w:p>
    <w:p w14:paraId="4FC108C7">
      <w:pPr>
        <w:rPr>
          <w:rFonts w:hint="eastAsia"/>
          <w:highlight w:val="none"/>
        </w:rPr>
      </w:pPr>
      <w:r>
        <w:rPr>
          <w:rFonts w:hint="eastAsia"/>
          <w:highlight w:val="none"/>
        </w:rPr>
        <w:t>.....................................................218</w:t>
      </w:r>
    </w:p>
    <w:p w14:paraId="70E87F90">
      <w:pPr>
        <w:rPr>
          <w:rFonts w:hint="eastAsia"/>
          <w:highlight w:val="none"/>
        </w:rPr>
      </w:pPr>
      <w:r>
        <w:rPr>
          <w:rFonts w:hint="eastAsia"/>
          <w:highlight w:val="none"/>
        </w:rPr>
        <w:t>表15南雄市水库蓄水动态2015年）</w:t>
      </w:r>
    </w:p>
    <w:p w14:paraId="0F80AC21">
      <w:pPr>
        <w:rPr>
          <w:rFonts w:hint="eastAsia"/>
          <w:highlight w:val="none"/>
        </w:rPr>
      </w:pPr>
      <w:r>
        <w:rPr>
          <w:rFonts w:hint="eastAsia"/>
          <w:highlight w:val="none"/>
        </w:rPr>
        <w:t>.....................................................218</w:t>
      </w:r>
    </w:p>
    <w:p w14:paraId="4C3D0074">
      <w:pPr>
        <w:rPr>
          <w:rFonts w:hint="eastAsia"/>
          <w:highlight w:val="none"/>
        </w:rPr>
      </w:pPr>
      <w:r>
        <w:rPr>
          <w:rFonts w:hint="eastAsia"/>
          <w:highlight w:val="none"/>
        </w:rPr>
        <w:t>表16韶关水文分局管辖的降水量站点一览表（南雄部分）.......218</w:t>
      </w:r>
    </w:p>
    <w:p w14:paraId="6C2CD03F">
      <w:pPr>
        <w:rPr>
          <w:rFonts w:hint="eastAsia"/>
          <w:highlight w:val="none"/>
        </w:rPr>
      </w:pPr>
      <w:r>
        <w:rPr>
          <w:rFonts w:hint="eastAsia"/>
          <w:highlight w:val="none"/>
        </w:rPr>
        <w:t>表17韶关市水环境监测水质监测站点一览表（南雄部分）.......218</w:t>
      </w:r>
    </w:p>
    <w:p w14:paraId="44FA222C">
      <w:pPr>
        <w:rPr>
          <w:rFonts w:hint="eastAsia"/>
          <w:highlight w:val="none"/>
        </w:rPr>
      </w:pPr>
      <w:r>
        <w:rPr>
          <w:rFonts w:hint="eastAsia"/>
          <w:highlight w:val="none"/>
        </w:rPr>
        <w:t>表18南雄汽车站发送至各地时间表</w:t>
      </w:r>
    </w:p>
    <w:p w14:paraId="5F54815C">
      <w:pPr>
        <w:rPr>
          <w:rFonts w:hint="eastAsia"/>
          <w:highlight w:val="none"/>
        </w:rPr>
      </w:pPr>
      <w:r>
        <w:rPr>
          <w:rFonts w:hint="eastAsia"/>
          <w:highlight w:val="none"/>
        </w:rPr>
        <w:t>.......................................................229</w:t>
      </w:r>
    </w:p>
    <w:p w14:paraId="448973FB">
      <w:pPr>
        <w:rPr>
          <w:rFonts w:hint="eastAsia"/>
          <w:highlight w:val="none"/>
        </w:rPr>
      </w:pPr>
      <w:r>
        <w:rPr>
          <w:rFonts w:hint="eastAsia"/>
          <w:highlight w:val="none"/>
        </w:rPr>
        <w:t>表19南雄市公共汽车发班时间表……</w:t>
      </w:r>
    </w:p>
    <w:p w14:paraId="56C22A9A">
      <w:pPr>
        <w:rPr>
          <w:rFonts w:hint="eastAsia"/>
          <w:highlight w:val="none"/>
        </w:rPr>
      </w:pPr>
      <w:r>
        <w:rPr>
          <w:rFonts w:hint="eastAsia"/>
          <w:highlight w:val="none"/>
        </w:rPr>
        <w:t>............................................................230</w:t>
      </w:r>
    </w:p>
    <w:p w14:paraId="297A0C7E">
      <w:pPr>
        <w:rPr>
          <w:rFonts w:hint="eastAsia"/>
          <w:highlight w:val="none"/>
        </w:rPr>
      </w:pPr>
      <w:r>
        <w:rPr>
          <w:rFonts w:hint="eastAsia"/>
          <w:highlight w:val="none"/>
        </w:rPr>
        <w:t>表20南雄市乡镇公交线路表.....231</w:t>
      </w:r>
    </w:p>
    <w:p w14:paraId="55E540E8">
      <w:pPr>
        <w:rPr>
          <w:rFonts w:hint="eastAsia"/>
          <w:highlight w:val="none"/>
        </w:rPr>
      </w:pPr>
      <w:r>
        <w:rPr>
          <w:rFonts w:hint="eastAsia"/>
          <w:highlight w:val="none"/>
        </w:rPr>
        <w:t>表21南雄市省际班线发班时间表……</w:t>
      </w:r>
    </w:p>
    <w:p w14:paraId="007E48F4">
      <w:pPr>
        <w:rPr>
          <w:rFonts w:hint="eastAsia"/>
          <w:highlight w:val="none"/>
        </w:rPr>
      </w:pPr>
      <w:r>
        <w:rPr>
          <w:rFonts w:hint="eastAsia"/>
          <w:highlight w:val="none"/>
        </w:rPr>
        <w:t>............................................................231</w:t>
      </w:r>
    </w:p>
    <w:p w14:paraId="29B8AC59">
      <w:pPr>
        <w:rPr>
          <w:rFonts w:hint="eastAsia"/>
          <w:highlight w:val="none"/>
        </w:rPr>
      </w:pPr>
      <w:r>
        <w:rPr>
          <w:rFonts w:hint="eastAsia"/>
          <w:highlight w:val="none"/>
        </w:rPr>
        <w:t>表22南雄市饮用水水源地水质年度比较情况...................246</w:t>
      </w:r>
    </w:p>
    <w:p w14:paraId="027FEBBC">
      <w:pPr>
        <w:rPr>
          <w:rFonts w:hint="eastAsia"/>
          <w:highlight w:val="none"/>
        </w:rPr>
      </w:pPr>
      <w:r>
        <w:rPr>
          <w:rFonts w:hint="eastAsia"/>
          <w:highlight w:val="none"/>
        </w:rPr>
        <w:t>表23河流、流域（水系）水质定性评价分级...................247</w:t>
      </w:r>
    </w:p>
    <w:p w14:paraId="3E74328A">
      <w:pPr>
        <w:rPr>
          <w:rFonts w:hint="eastAsia"/>
          <w:highlight w:val="none"/>
        </w:rPr>
      </w:pPr>
      <w:r>
        <w:rPr>
          <w:rFonts w:hint="eastAsia"/>
          <w:highlight w:val="none"/>
        </w:rPr>
        <w:t>表24全河段各断面水质类别占评价断面总数的比例.............247</w:t>
      </w:r>
    </w:p>
    <w:p w14:paraId="5C3F21D5">
      <w:pPr>
        <w:rPr>
          <w:rFonts w:hint="eastAsia"/>
          <w:highlight w:val="none"/>
        </w:rPr>
      </w:pPr>
      <w:r>
        <w:rPr>
          <w:rFonts w:hint="eastAsia"/>
          <w:highlight w:val="none"/>
        </w:rPr>
        <w:t>表25南雄市空气环境质量状况年度比较.......................247</w:t>
      </w:r>
    </w:p>
    <w:p w14:paraId="3C4A1FF7">
      <w:pPr>
        <w:rPr>
          <w:rFonts w:hint="eastAsia"/>
          <w:highlight w:val="none"/>
        </w:rPr>
      </w:pPr>
      <w:r>
        <w:rPr>
          <w:rFonts w:hint="eastAsia"/>
          <w:highlight w:val="none"/>
        </w:rPr>
        <w:t>表26 2015年南雄市城区及各监测点位环境空气污染特征统计……248</w:t>
      </w:r>
    </w:p>
    <w:p w14:paraId="100DEC1D">
      <w:pPr>
        <w:rPr>
          <w:rFonts w:hint="eastAsia"/>
          <w:highlight w:val="none"/>
        </w:rPr>
      </w:pPr>
      <w:r>
        <w:rPr>
          <w:rFonts w:hint="eastAsia"/>
          <w:highlight w:val="none"/>
        </w:rPr>
        <w:t>表27 2015年南雄市城区道路交通噪声（昼间）监测结果统计表……</w:t>
      </w:r>
    </w:p>
    <w:p w14:paraId="749BA837">
      <w:pPr>
        <w:rPr>
          <w:rFonts w:hint="eastAsia"/>
          <w:highlight w:val="none"/>
        </w:rPr>
      </w:pPr>
      <w:r>
        <w:rPr>
          <w:rFonts w:hint="eastAsia"/>
          <w:highlight w:val="none"/>
        </w:rPr>
        <w:t>...............................................248</w:t>
      </w:r>
    </w:p>
    <w:p w14:paraId="73965856">
      <w:pPr>
        <w:rPr>
          <w:rFonts w:hint="eastAsia"/>
          <w:highlight w:val="none"/>
        </w:rPr>
      </w:pPr>
      <w:r>
        <w:rPr>
          <w:rFonts w:hint="eastAsia"/>
          <w:highlight w:val="none"/>
        </w:rPr>
        <w:t>表28南雄市旅行社基本情况表……257</w:t>
      </w:r>
    </w:p>
    <w:p w14:paraId="7EF683A7">
      <w:pPr>
        <w:rPr>
          <w:rFonts w:hint="eastAsia"/>
          <w:highlight w:val="none"/>
        </w:rPr>
      </w:pPr>
      <w:r>
        <w:rPr>
          <w:rFonts w:hint="eastAsia"/>
          <w:highlight w:val="none"/>
        </w:rPr>
        <w:t>表29南雄市星级酒店基本情况表……</w:t>
      </w:r>
    </w:p>
    <w:p w14:paraId="6666A2DA">
      <w:pPr>
        <w:rPr>
          <w:rFonts w:hint="eastAsia"/>
          <w:highlight w:val="none"/>
        </w:rPr>
      </w:pPr>
      <w:r>
        <w:rPr>
          <w:rFonts w:hint="eastAsia"/>
          <w:highlight w:val="none"/>
        </w:rPr>
        <w:t>............................................................257</w:t>
      </w:r>
    </w:p>
    <w:p w14:paraId="41D67534">
      <w:pPr>
        <w:rPr>
          <w:rFonts w:hint="eastAsia"/>
          <w:highlight w:val="none"/>
        </w:rPr>
      </w:pPr>
      <w:r>
        <w:rPr>
          <w:rFonts w:hint="eastAsia"/>
          <w:highlight w:val="none"/>
        </w:rPr>
        <w:t>表30 2015年雄州街道各村委会（社区）基本情况.............322</w:t>
      </w:r>
    </w:p>
    <w:p w14:paraId="3C7D23B4">
      <w:pPr>
        <w:rPr>
          <w:rFonts w:hint="eastAsia"/>
          <w:highlight w:val="none"/>
        </w:rPr>
      </w:pPr>
      <w:r>
        <w:rPr>
          <w:rFonts w:hint="eastAsia"/>
          <w:highlight w:val="none"/>
        </w:rPr>
        <w:t>表31 2015年乌迳镇各村（居）委会基本情况...................329</w:t>
      </w:r>
    </w:p>
    <w:p w14:paraId="428F705F">
      <w:pPr>
        <w:rPr>
          <w:rFonts w:hint="eastAsia"/>
          <w:highlight w:val="none"/>
        </w:rPr>
      </w:pPr>
      <w:r>
        <w:rPr>
          <w:rFonts w:hint="eastAsia"/>
          <w:highlight w:val="none"/>
        </w:rPr>
        <w:t>表32 2015年油山镇各村委会（社区）基本情况...................341</w:t>
      </w:r>
    </w:p>
    <w:p w14:paraId="75AAFFCD">
      <w:pPr>
        <w:rPr>
          <w:rFonts w:hint="eastAsia"/>
          <w:highlight w:val="none"/>
        </w:rPr>
      </w:pPr>
      <w:r>
        <w:rPr>
          <w:rFonts w:hint="eastAsia"/>
          <w:highlight w:val="none"/>
        </w:rPr>
        <w:t>表33 2015年界址镇各村（居）委会基本情况...................352</w:t>
      </w:r>
    </w:p>
    <w:p w14:paraId="1175C9B3">
      <w:pPr>
        <w:rPr>
          <w:rFonts w:hint="eastAsia"/>
          <w:highlight w:val="none"/>
        </w:rPr>
      </w:pPr>
      <w:r>
        <w:rPr>
          <w:rFonts w:hint="eastAsia"/>
          <w:highlight w:val="none"/>
        </w:rPr>
        <w:t>表34 2015年湖口镇各村（居）委会基本情况...................356</w:t>
      </w:r>
    </w:p>
    <w:p w14:paraId="2A8F023A">
      <w:pPr>
        <w:rPr>
          <w:rFonts w:hint="eastAsia"/>
          <w:highlight w:val="none"/>
        </w:rPr>
      </w:pPr>
      <w:r>
        <w:rPr>
          <w:rFonts w:hint="eastAsia"/>
          <w:highlight w:val="none"/>
        </w:rPr>
        <w:t>表35 2015年全安镇各村委会（社区）基本情况...................359</w:t>
      </w:r>
    </w:p>
    <w:p w14:paraId="56E70927">
      <w:pPr>
        <w:rPr>
          <w:rFonts w:hint="eastAsia"/>
          <w:highlight w:val="none"/>
        </w:rPr>
      </w:pPr>
      <w:r>
        <w:rPr>
          <w:rFonts w:hint="eastAsia"/>
          <w:highlight w:val="none"/>
        </w:rPr>
        <w:t>表36 2015年坪田镇各村委会（社区）基本情况...................367</w:t>
      </w:r>
    </w:p>
    <w:p w14:paraId="572CEAFA">
      <w:pPr>
        <w:rPr>
          <w:rFonts w:hint="eastAsia"/>
          <w:highlight w:val="none"/>
        </w:rPr>
      </w:pPr>
      <w:r>
        <w:rPr>
          <w:rFonts w:hint="eastAsia"/>
          <w:highlight w:val="none"/>
        </w:rPr>
        <w:t>表37 2015年江头镇各村（居）委会基本情况...................374</w:t>
      </w:r>
    </w:p>
    <w:p w14:paraId="0A897A71">
      <w:pPr>
        <w:rPr>
          <w:rFonts w:hint="eastAsia"/>
          <w:highlight w:val="none"/>
        </w:rPr>
      </w:pPr>
      <w:r>
        <w:rPr>
          <w:rFonts w:hint="eastAsia"/>
          <w:highlight w:val="none"/>
        </w:rPr>
        <w:t>表38 2015年南雄市地区生产总值……</w:t>
      </w:r>
    </w:p>
    <w:p w14:paraId="56B9DB19">
      <w:pPr>
        <w:rPr>
          <w:rFonts w:hint="eastAsia"/>
          <w:highlight w:val="none"/>
        </w:rPr>
      </w:pPr>
      <w:r>
        <w:rPr>
          <w:rFonts w:hint="eastAsia"/>
          <w:highlight w:val="none"/>
        </w:rPr>
        <w:t>............................................................378</w:t>
      </w:r>
    </w:p>
    <w:p w14:paraId="4E55D6C9">
      <w:pPr>
        <w:rPr>
          <w:rFonts w:hint="eastAsia"/>
          <w:highlight w:val="none"/>
        </w:rPr>
      </w:pPr>
      <w:r>
        <w:rPr>
          <w:rFonts w:hint="eastAsia"/>
          <w:highlight w:val="none"/>
        </w:rPr>
        <w:t>表39 2015年南雄市主要农产品产量</w:t>
      </w:r>
    </w:p>
    <w:p w14:paraId="40D946DD">
      <w:pPr>
        <w:rPr>
          <w:rFonts w:hint="eastAsia"/>
          <w:highlight w:val="none"/>
        </w:rPr>
      </w:pPr>
      <w:r>
        <w:rPr>
          <w:rFonts w:hint="eastAsia"/>
          <w:highlight w:val="none"/>
        </w:rPr>
        <w:t>........................................................381</w:t>
      </w:r>
    </w:p>
    <w:p w14:paraId="6B6A5CD9">
      <w:pPr>
        <w:rPr>
          <w:rFonts w:hint="eastAsia"/>
          <w:highlight w:val="none"/>
        </w:rPr>
      </w:pPr>
      <w:r>
        <w:rPr>
          <w:rFonts w:hint="eastAsia"/>
          <w:highlight w:val="none"/>
        </w:rPr>
        <w:t>表40 2015年南雄市规模以上工业主要产品产量.................382</w:t>
      </w:r>
    </w:p>
    <w:p w14:paraId="11D2AB73">
      <w:pPr>
        <w:rPr>
          <w:rFonts w:hint="eastAsia"/>
          <w:highlight w:val="none"/>
        </w:rPr>
      </w:pPr>
      <w:r>
        <w:rPr>
          <w:rFonts w:hint="eastAsia"/>
          <w:highlight w:val="none"/>
        </w:rPr>
        <w:t>表41各类学校教育发展情况.....385</w:t>
      </w:r>
    </w:p>
    <w:p w14:paraId="0D8A4594">
      <w:pPr>
        <w:rPr>
          <w:rFonts w:hint="eastAsia"/>
          <w:highlight w:val="none"/>
        </w:rPr>
      </w:pPr>
      <w:r>
        <w:rPr>
          <w:rFonts w:hint="eastAsia"/>
          <w:highlight w:val="none"/>
        </w:rPr>
        <w:t>表42南雄市基本情况.............389</w:t>
      </w:r>
    </w:p>
    <w:p w14:paraId="431A5E6C">
      <w:pPr>
        <w:rPr>
          <w:rFonts w:hint="eastAsia"/>
          <w:highlight w:val="none"/>
        </w:rPr>
      </w:pPr>
      <w:r>
        <w:rPr>
          <w:rFonts w:hint="eastAsia"/>
          <w:highlight w:val="none"/>
        </w:rPr>
        <w:t>表43全市分镇（街道）行政区与人口</w:t>
      </w:r>
    </w:p>
    <w:p w14:paraId="37826AAF">
      <w:pPr>
        <w:rPr>
          <w:rFonts w:hint="eastAsia"/>
          <w:highlight w:val="none"/>
        </w:rPr>
      </w:pPr>
      <w:r>
        <w:rPr>
          <w:rFonts w:hint="eastAsia"/>
          <w:highlight w:val="none"/>
        </w:rPr>
        <w:t>........................................................390</w:t>
      </w:r>
    </w:p>
    <w:p w14:paraId="6270F41E">
      <w:pPr>
        <w:rPr>
          <w:rFonts w:hint="eastAsia"/>
          <w:highlight w:val="none"/>
        </w:rPr>
      </w:pPr>
      <w:r>
        <w:rPr>
          <w:rFonts w:hint="eastAsia"/>
          <w:highlight w:val="none"/>
        </w:rPr>
        <w:t>表44全市分镇（街道）人口计划生育主要指标.................391</w:t>
      </w:r>
    </w:p>
    <w:p w14:paraId="18143722">
      <w:pPr>
        <w:rPr>
          <w:rFonts w:hint="eastAsia"/>
          <w:highlight w:val="none"/>
        </w:rPr>
      </w:pPr>
      <w:r>
        <w:rPr>
          <w:rFonts w:hint="eastAsia"/>
          <w:highlight w:val="none"/>
        </w:rPr>
        <w:t>表45全市分镇（街道）行政区面积</w:t>
      </w:r>
    </w:p>
    <w:p w14:paraId="6003D771">
      <w:pPr>
        <w:rPr>
          <w:rFonts w:hint="eastAsia"/>
          <w:highlight w:val="none"/>
        </w:rPr>
      </w:pPr>
      <w:r>
        <w:rPr>
          <w:rFonts w:hint="eastAsia"/>
          <w:highlight w:val="none"/>
        </w:rPr>
        <w:t>........................................................392</w:t>
      </w:r>
    </w:p>
    <w:p w14:paraId="245C5048">
      <w:pPr>
        <w:rPr>
          <w:rFonts w:hint="eastAsia"/>
          <w:highlight w:val="none"/>
        </w:rPr>
      </w:pPr>
      <w:r>
        <w:rPr>
          <w:rFonts w:hint="eastAsia"/>
          <w:highlight w:val="none"/>
        </w:rPr>
        <w:t>表46全市环境保护情况...........393</w:t>
      </w:r>
    </w:p>
    <w:p w14:paraId="2FE560E2">
      <w:pPr>
        <w:rPr>
          <w:rFonts w:hint="eastAsia"/>
          <w:highlight w:val="none"/>
        </w:rPr>
      </w:pPr>
      <w:r>
        <w:rPr>
          <w:rFonts w:hint="eastAsia"/>
          <w:highlight w:val="none"/>
        </w:rPr>
        <w:t>表47全市法人与产业活动单位数情况.......................395</w:t>
      </w:r>
    </w:p>
    <w:p w14:paraId="122A7C91">
      <w:pPr>
        <w:rPr>
          <w:rFonts w:hint="eastAsia"/>
          <w:highlight w:val="none"/>
        </w:rPr>
      </w:pPr>
      <w:r>
        <w:rPr>
          <w:rFonts w:hint="eastAsia"/>
          <w:highlight w:val="none"/>
        </w:rPr>
        <w:t>表48全市农村基本情况及农业生产条件（一）.............401</w:t>
      </w:r>
    </w:p>
    <w:p w14:paraId="49235B9D">
      <w:pPr>
        <w:rPr>
          <w:rFonts w:hint="eastAsia"/>
          <w:highlight w:val="none"/>
        </w:rPr>
      </w:pPr>
      <w:r>
        <w:rPr>
          <w:rFonts w:hint="eastAsia"/>
          <w:highlight w:val="none"/>
        </w:rPr>
        <w:t>表49全市农村基本情况及农业生产条件（二）.............402</w:t>
      </w:r>
    </w:p>
    <w:p w14:paraId="59E5E36C">
      <w:pPr>
        <w:rPr>
          <w:rFonts w:hint="eastAsia"/>
          <w:highlight w:val="none"/>
        </w:rPr>
      </w:pPr>
      <w:r>
        <w:rPr>
          <w:rFonts w:hint="eastAsia"/>
          <w:highlight w:val="none"/>
        </w:rPr>
        <w:t>表50全市分镇（街道）农村经济总收入.....................403</w:t>
      </w:r>
    </w:p>
    <w:p w14:paraId="447087A6">
      <w:pPr>
        <w:rPr>
          <w:rFonts w:hint="eastAsia"/>
          <w:highlight w:val="none"/>
        </w:rPr>
      </w:pPr>
      <w:r>
        <w:rPr>
          <w:rFonts w:hint="eastAsia"/>
          <w:highlight w:val="none"/>
        </w:rPr>
        <w:t>表51全市规模以上工业主要产品产量.......................404</w:t>
      </w:r>
    </w:p>
    <w:p w14:paraId="4E441646">
      <w:pPr>
        <w:rPr>
          <w:rFonts w:hint="eastAsia"/>
          <w:highlight w:val="none"/>
        </w:rPr>
      </w:pPr>
      <w:r>
        <w:rPr>
          <w:rFonts w:hint="eastAsia"/>
          <w:highlight w:val="none"/>
        </w:rPr>
        <w:t>表52全市用电量.................405</w:t>
      </w:r>
    </w:p>
    <w:p w14:paraId="6831FD80">
      <w:pPr>
        <w:rPr>
          <w:rFonts w:hint="eastAsia"/>
          <w:highlight w:val="none"/>
        </w:rPr>
      </w:pPr>
      <w:r>
        <w:rPr>
          <w:rFonts w:hint="eastAsia"/>
          <w:highlight w:val="none"/>
        </w:rPr>
        <w:t>表53全市能源消费情况表.........406</w:t>
      </w:r>
    </w:p>
    <w:p w14:paraId="05131069">
      <w:pPr>
        <w:rPr>
          <w:rFonts w:hint="eastAsia"/>
          <w:highlight w:val="none"/>
        </w:rPr>
      </w:pPr>
      <w:r>
        <w:rPr>
          <w:rFonts w:hint="eastAsia"/>
          <w:highlight w:val="none"/>
        </w:rPr>
        <w:t>表54全市交通运输主要指标.....407</w:t>
      </w:r>
    </w:p>
    <w:p w14:paraId="65A97CE5">
      <w:pPr>
        <w:rPr>
          <w:rFonts w:hint="eastAsia"/>
          <w:highlight w:val="none"/>
        </w:rPr>
      </w:pPr>
      <w:r>
        <w:rPr>
          <w:rFonts w:hint="eastAsia"/>
          <w:highlight w:val="none"/>
        </w:rPr>
        <w:t>表55全市民用车辆保有量.........408</w:t>
      </w:r>
    </w:p>
    <w:p w14:paraId="49D9F412">
      <w:pPr>
        <w:rPr>
          <w:rFonts w:hint="eastAsia"/>
          <w:highlight w:val="none"/>
        </w:rPr>
      </w:pPr>
      <w:r>
        <w:rPr>
          <w:rFonts w:hint="eastAsia"/>
          <w:highlight w:val="none"/>
        </w:rPr>
        <w:t>表56全市从业人员情况...........409</w:t>
      </w:r>
    </w:p>
    <w:p w14:paraId="4E747C77">
      <w:pPr>
        <w:rPr>
          <w:rFonts w:hint="eastAsia"/>
          <w:highlight w:val="none"/>
        </w:rPr>
      </w:pPr>
      <w:r>
        <w:rPr>
          <w:rFonts w:hint="eastAsia"/>
          <w:highlight w:val="none"/>
        </w:rPr>
        <w:t>表57全市教育情况...............410</w:t>
      </w:r>
    </w:p>
    <w:p w14:paraId="49C76333">
      <w:pPr>
        <w:rPr>
          <w:rFonts w:hint="eastAsia"/>
          <w:highlight w:val="none"/>
        </w:rPr>
      </w:pPr>
      <w:r>
        <w:rPr>
          <w:rFonts w:hint="eastAsia"/>
          <w:highlight w:val="none"/>
        </w:rPr>
        <w:t>表58全市医疗卫生机构、床位、人员数.....................411</w:t>
      </w:r>
    </w:p>
    <w:p w14:paraId="7038AB41">
      <w:pPr>
        <w:rPr>
          <w:rFonts w:hint="default" w:hAnsi="宋体" w:eastAsia="宋体" w:cs="宋体"/>
          <w:highlight w:val="none"/>
          <w:lang w:val="en-US" w:eastAsia="zh-CN"/>
        </w:rPr>
      </w:pPr>
      <w:r>
        <w:rPr>
          <w:rFonts w:hint="eastAsia"/>
          <w:highlight w:val="none"/>
        </w:rPr>
        <w:t>表59全市文化体育事业情况.....412</w:t>
      </w:r>
    </w:p>
    <w:sectPr>
      <w:pgSz w:w="11906" w:h="16838"/>
      <w:pgMar w:top="1440" w:right="1752" w:bottom="1440" w:left="1752" w:header="851" w:footer="992" w:gutter="0"/>
      <w:cols w:space="720"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441">
      <wne:acd wne:acdName="acd0"/>
    </wne:keymap>
    <wne:keymap wne:kcmPrimary="0456">
      <wne:acd wne:acdName="acd1"/>
    </wne:keymap>
    <wne:keymap wne:kcmPrimary="0443">
      <wne:acd wne:acdName="acd2"/>
    </wne:keymap>
    <wne:keymap wne:kcmPrimary="0458">
      <wne:acd wne:acdName="acd3"/>
    </wne:keymap>
  </wne:keymaps>
  <wne:acds>
    <wne:acd wne:argValue="AQAAAAAA" wne:acdName="acd0" wne:fciIndexBasedOn="0065"/>
    <wne:acd wne:argValue="AQAAAAIA" wne:acdName="acd1" wne:fciIndexBasedOn="0065"/>
    <wne:acd wne:argValue="AQAAAAMA" wne:acdName="acd2" wne:fciIndexBasedOn="0065"/>
    <wne:acd wne:argValue="AQAAAAQA" wne:acdName="acd3"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_HKSCS">
    <w:panose1 w:val="02020500000000000000"/>
    <w:charset w:val="88"/>
    <w:family w:val="roman"/>
    <w:pitch w:val="default"/>
    <w:sig w:usb0="A00002FF" w:usb1="38CFFCFA" w:usb2="00000016"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009813CB"/>
    <w:rsid w:val="00016757"/>
    <w:rsid w:val="0004627F"/>
    <w:rsid w:val="00082CCB"/>
    <w:rsid w:val="000A0D38"/>
    <w:rsid w:val="000B3D85"/>
    <w:rsid w:val="000C4D0D"/>
    <w:rsid w:val="00122CA1"/>
    <w:rsid w:val="001263EA"/>
    <w:rsid w:val="001345FD"/>
    <w:rsid w:val="00152D1C"/>
    <w:rsid w:val="0017232C"/>
    <w:rsid w:val="002A2DB4"/>
    <w:rsid w:val="002C117A"/>
    <w:rsid w:val="002C78E0"/>
    <w:rsid w:val="002E0BDA"/>
    <w:rsid w:val="004D7545"/>
    <w:rsid w:val="004E332F"/>
    <w:rsid w:val="00531424"/>
    <w:rsid w:val="005327F2"/>
    <w:rsid w:val="00587915"/>
    <w:rsid w:val="005D2381"/>
    <w:rsid w:val="00601BC9"/>
    <w:rsid w:val="0076392F"/>
    <w:rsid w:val="007A00C5"/>
    <w:rsid w:val="007F0A58"/>
    <w:rsid w:val="008318CF"/>
    <w:rsid w:val="00836267"/>
    <w:rsid w:val="0094095F"/>
    <w:rsid w:val="009730F4"/>
    <w:rsid w:val="009813CB"/>
    <w:rsid w:val="009C5B11"/>
    <w:rsid w:val="009F5F1B"/>
    <w:rsid w:val="00A0743F"/>
    <w:rsid w:val="00A11273"/>
    <w:rsid w:val="00A15B29"/>
    <w:rsid w:val="00AF30A0"/>
    <w:rsid w:val="00B97513"/>
    <w:rsid w:val="00C404D5"/>
    <w:rsid w:val="00C463A2"/>
    <w:rsid w:val="00C66D0B"/>
    <w:rsid w:val="00C81ADE"/>
    <w:rsid w:val="00D364DE"/>
    <w:rsid w:val="00D63CA7"/>
    <w:rsid w:val="00DB49D6"/>
    <w:rsid w:val="00DE08D5"/>
    <w:rsid w:val="00DF1273"/>
    <w:rsid w:val="00E31421"/>
    <w:rsid w:val="00EA62B5"/>
    <w:rsid w:val="00EB1113"/>
    <w:rsid w:val="00EE5B8B"/>
    <w:rsid w:val="00F2155A"/>
    <w:rsid w:val="00F32A96"/>
    <w:rsid w:val="03AE1E9A"/>
    <w:rsid w:val="059E1945"/>
    <w:rsid w:val="06635091"/>
    <w:rsid w:val="07CC0E15"/>
    <w:rsid w:val="08C20CCF"/>
    <w:rsid w:val="09B92ABD"/>
    <w:rsid w:val="0C531DDB"/>
    <w:rsid w:val="0F617FA3"/>
    <w:rsid w:val="121F17B9"/>
    <w:rsid w:val="128C1B23"/>
    <w:rsid w:val="17890E1E"/>
    <w:rsid w:val="1ABE7EAD"/>
    <w:rsid w:val="1C086A3D"/>
    <w:rsid w:val="20243B73"/>
    <w:rsid w:val="21B57A7C"/>
    <w:rsid w:val="22583E62"/>
    <w:rsid w:val="23096CC1"/>
    <w:rsid w:val="24857B00"/>
    <w:rsid w:val="25AF646D"/>
    <w:rsid w:val="27742F3B"/>
    <w:rsid w:val="28A644E9"/>
    <w:rsid w:val="28E1519D"/>
    <w:rsid w:val="2D0A7177"/>
    <w:rsid w:val="2F920673"/>
    <w:rsid w:val="30400EEE"/>
    <w:rsid w:val="308E45E2"/>
    <w:rsid w:val="30E1273E"/>
    <w:rsid w:val="34217702"/>
    <w:rsid w:val="343A31B9"/>
    <w:rsid w:val="364C4922"/>
    <w:rsid w:val="366C5010"/>
    <w:rsid w:val="3B624272"/>
    <w:rsid w:val="3BE60243"/>
    <w:rsid w:val="3C2B55BF"/>
    <w:rsid w:val="3F670E16"/>
    <w:rsid w:val="442F3C3D"/>
    <w:rsid w:val="445D75B3"/>
    <w:rsid w:val="49117ACC"/>
    <w:rsid w:val="4A1E4A63"/>
    <w:rsid w:val="4BBB0C87"/>
    <w:rsid w:val="54AC7045"/>
    <w:rsid w:val="5A6E4A37"/>
    <w:rsid w:val="5C5A3DB6"/>
    <w:rsid w:val="5CEF3BE5"/>
    <w:rsid w:val="5DD303D0"/>
    <w:rsid w:val="62AD650F"/>
    <w:rsid w:val="66476844"/>
    <w:rsid w:val="67D14A34"/>
    <w:rsid w:val="682C5449"/>
    <w:rsid w:val="6940349D"/>
    <w:rsid w:val="6DC9057F"/>
    <w:rsid w:val="6E611A2C"/>
    <w:rsid w:val="6E8255FF"/>
    <w:rsid w:val="73317B7B"/>
    <w:rsid w:val="73E01244"/>
    <w:rsid w:val="795274BD"/>
    <w:rsid w:val="7A2B2443"/>
    <w:rsid w:val="7A4D3D91"/>
    <w:rsid w:val="7B236F10"/>
    <w:rsid w:val="7CBE6669"/>
    <w:rsid w:val="7CC47E0C"/>
    <w:rsid w:val="7F7950DC"/>
    <w:rsid w:val="7FCB6A19"/>
    <w:rsid w:val="7FD51DE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1044" w:firstLineChars="200"/>
      <w:jc w:val="left"/>
    </w:pPr>
    <w:rPr>
      <w:rFonts w:ascii="宋体" w:hAnsi="宋体" w:eastAsia="宋体" w:cs="Times New Roman"/>
      <w:kern w:val="2"/>
      <w:sz w:val="21"/>
      <w:szCs w:val="24"/>
      <w:lang w:val="en-US" w:eastAsia="zh-CN" w:bidi="ar-SA"/>
    </w:rPr>
  </w:style>
  <w:style w:type="paragraph" w:styleId="2">
    <w:name w:val="heading 1"/>
    <w:basedOn w:val="1"/>
    <w:next w:val="1"/>
    <w:link w:val="10"/>
    <w:qFormat/>
    <w:uiPriority w:val="0"/>
    <w:pPr>
      <w:keepNext/>
      <w:keepLines/>
      <w:spacing w:before="340" w:after="330" w:line="360" w:lineRule="auto"/>
      <w:ind w:firstLine="0" w:firstLineChars="0"/>
      <w:jc w:val="center"/>
      <w:outlineLvl w:val="0"/>
    </w:pPr>
    <w:rPr>
      <w:b/>
      <w:bCs/>
      <w:kern w:val="44"/>
      <w:sz w:val="52"/>
      <w:szCs w:val="44"/>
    </w:rPr>
  </w:style>
  <w:style w:type="paragraph" w:styleId="3">
    <w:name w:val="heading 2"/>
    <w:basedOn w:val="1"/>
    <w:next w:val="1"/>
    <w:link w:val="11"/>
    <w:qFormat/>
    <w:uiPriority w:val="0"/>
    <w:pPr>
      <w:keepNext/>
      <w:keepLines/>
      <w:spacing w:before="260" w:after="260" w:line="360" w:lineRule="auto"/>
      <w:ind w:firstLine="0" w:firstLineChars="0"/>
      <w:jc w:val="center"/>
      <w:outlineLvl w:val="1"/>
    </w:pPr>
    <w:rPr>
      <w:rFonts w:ascii="宋体" w:hAnsi="宋体" w:eastAsia="宋体"/>
      <w:b/>
      <w:bCs/>
      <w:sz w:val="44"/>
      <w:szCs w:val="32"/>
    </w:rPr>
  </w:style>
  <w:style w:type="paragraph" w:styleId="4">
    <w:name w:val="heading 3"/>
    <w:basedOn w:val="1"/>
    <w:next w:val="1"/>
    <w:qFormat/>
    <w:uiPriority w:val="0"/>
    <w:pPr>
      <w:keepNext/>
      <w:keepLines/>
      <w:spacing w:before="260" w:after="260" w:line="360" w:lineRule="auto"/>
      <w:ind w:firstLine="0" w:firstLineChars="0"/>
      <w:jc w:val="center"/>
      <w:outlineLvl w:val="2"/>
    </w:pPr>
    <w:rPr>
      <w:b/>
      <w:bCs/>
      <w:sz w:val="32"/>
      <w:szCs w:val="32"/>
    </w:rPr>
  </w:style>
  <w:style w:type="paragraph" w:styleId="5">
    <w:name w:val="heading 4"/>
    <w:basedOn w:val="1"/>
    <w:next w:val="1"/>
    <w:unhideWhenUsed/>
    <w:qFormat/>
    <w:uiPriority w:val="0"/>
    <w:pPr>
      <w:keepNext/>
      <w:keepLines/>
      <w:spacing w:before="280" w:beforeLines="0" w:beforeAutospacing="0" w:after="290" w:afterLines="0" w:afterAutospacing="0" w:line="360" w:lineRule="auto"/>
      <w:ind w:firstLine="0" w:firstLineChars="0"/>
      <w:outlineLvl w:val="3"/>
    </w:pPr>
    <w:rPr>
      <w:rFonts w:ascii="宋体" w:hAnsi="宋体" w:eastAsia="宋体"/>
      <w:b/>
      <w:sz w:val="28"/>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6">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标题 1 Char"/>
    <w:link w:val="2"/>
    <w:qFormat/>
    <w:uiPriority w:val="0"/>
    <w:rPr>
      <w:b/>
      <w:bCs/>
      <w:kern w:val="44"/>
      <w:sz w:val="52"/>
      <w:szCs w:val="44"/>
    </w:rPr>
  </w:style>
  <w:style w:type="character" w:customStyle="1" w:styleId="11">
    <w:name w:val="标题 2 Char"/>
    <w:link w:val="3"/>
    <w:qFormat/>
    <w:uiPriority w:val="0"/>
    <w:rPr>
      <w:rFonts w:ascii="宋体" w:hAnsi="宋体" w:eastAsia="宋体"/>
      <w:b/>
      <w:bCs/>
      <w:sz w:val="44"/>
      <w:szCs w:val="32"/>
    </w:rPr>
  </w:style>
  <w:style w:type="paragraph" w:customStyle="1" w:styleId="12">
    <w:name w:val="正文首行缩进 New"/>
    <w:basedOn w:val="1"/>
    <w:qFormat/>
    <w:uiPriority w:val="0"/>
    <w:pPr>
      <w:spacing w:after="120"/>
      <w:ind w:firstLine="420" w:firstLineChars="100"/>
    </w:pPr>
  </w:style>
  <w:style w:type="paragraph" w:customStyle="1" w:styleId="13">
    <w:name w:val="_Style 6"/>
    <w:basedOn w:val="1"/>
    <w:qFormat/>
    <w:uiPriority w:val="0"/>
  </w:style>
  <w:style w:type="paragraph" w:customStyle="1" w:styleId="14">
    <w:name w:val="No Spacing"/>
    <w:basedOn w:val="1"/>
    <w:qFormat/>
    <w:uiPriority w:val="0"/>
    <w:rPr>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5" Type="http://schemas.openxmlformats.org/officeDocument/2006/relationships/fontTable" Target="fontTable.xml"/><Relationship Id="rId144" Type="http://schemas.microsoft.com/office/2006/relationships/keyMapCustomizations" Target="customizations.xml"/><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Template>
  <Pages>646</Pages>
  <Words>8039</Words>
  <Characters>8310</Characters>
  <Lines>3168</Lines>
  <Paragraphs>891</Paragraphs>
  <TotalTime>5</TotalTime>
  <ScaleCrop>false</ScaleCrop>
  <LinksUpToDate>false</LinksUpToDate>
  <CharactersWithSpaces>8405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2017-07-08T09:05:00Z</dcterms:created>
  <dc:creator>Windows 用户</dc:creator>
  <cp:lastModifiedBy>叶子</cp:lastModifiedBy>
  <dcterms:modified xsi:type="dcterms:W3CDTF">2025-04-23T07:26:03Z</dcterms:modified>
  <dc:title>特载</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CB5742A41B794A88AB7A68DB3D8F2FB4</vt:lpwstr>
  </property>
  <property fmtid="{D5CDD505-2E9C-101B-9397-08002B2CF9AE}" pid="4" name="KSOTemplateDocerSaveRecord">
    <vt:lpwstr>eyJoZGlkIjoiMDkwNjc2OWNjMmQ3ZDNiMmE4OTE5ZmNmMzZkZWE4ZDkiLCJ1c2VySWQiOiIzNzk0ODUwMTYifQ==</vt:lpwstr>
  </property>
</Properties>
</file>